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  <w:jc w:val="center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FULL-CORPUS COMPARATIVE FORENSIC TIMELINE — FISCAL YEAR 2023</w:t>
      </w:r>
    </w:p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THE REGULATORY INFLECTION YEAR: SEC 10b5-1 Rules Take Effect April 1, 2023</w:t>
      </w:r>
    </w:p>
    <w:p>
      <w:pPr>
        <w:spacing w:after="15"/>
        <w:jc w:val="center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12 Filing Types: 10-K • 10-Q (x3) • 8-K (x12) • DEF 14A • Form 3/4/5 • S-8 • SC 13D/G • CORRESP • 13F • 424B • Exhibits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Nike Inc. (NKE) | CIK 0000320187 | FY Ending May 31, 2023 | Generated: March 11, 2026</w:t>
      </w:r>
    </w:p>
    <w:p>
      <w:pPr>
        <w:spacing w:before="30" w:after="35"/>
      </w:pPr>
      <w:r>
        <w:rPr>
          <w:rFonts w:ascii="Arial" w:cs="Arial" w:eastAsia="Arial" w:hAnsi="Arial"/>
          <w:b/>
          <w:bCs/>
          <w:color w:val="0F1B2D"/>
          <w:sz w:val="13"/>
          <w:szCs w:val="13"/>
        </w:rPr>
        <w:t xml:space="preserve">FLAGS  </w:t>
      </w:r>
      <w:r>
        <w:rPr>
          <w:rFonts w:ascii="Arial" w:cs="Arial" w:eastAsia="Arial" w:hAnsi="Arial"/>
          <w:color w:val="4B5563"/>
          <w:sz w:val="12"/>
          <w:szCs w:val="12"/>
        </w:rPr>
        <w:t xml:space="preserve">RED = NEW FY2023 anomaly  |  AMBER = Procedural irregularity  |  GREEN = Confirmed compliant  |  GREY = Calendar  |  BLUE = Regulatory milestone  |  GOLD = Compliance inflection</w:t>
      </w:r>
    </w:p>
    <w:tbl>
      <w:tblPr>
        <w:tblW w:type="dxa" w:w="8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00"/>
        <w:gridCol w:w="2300"/>
        <w:gridCol w:w="2000"/>
        <w:gridCol w:w="2300"/>
        <w:gridCol w:w="500"/>
      </w:tblGrid>
      <w:tr>
        <w:trPr>
          <w:tblHeader/>
        </w:trP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FILING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PROXY / PERIODIC FILING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FORM 4 / SECTION 16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GOVERNANCE / CORPORATE / CAPITAL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FLAG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Jun 1,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FY2023 begins. Donahoe 3rd year as CEO. Triple-insider Swoosh board: year 3.5. Securities fraud class period active (Mar 2021–Oct 2024)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~Jul 21,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10-K/DEF14A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FY2022 10-K + proxy filed simultaneously. §16(a) DROPPED (1-year disappearance). Zero 10b5-1 (4th yr). 30+ risk factors — ZERO dual-class/ITP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Aug 15,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Q1 FY2023 blackout opens. Inventory approaching crisis: $9.7B peak imminent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Sep 9,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8-K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FY2022 annual meeting. 1 shareholder proposal (Uyghur cotton) — defeated. Say-on-pay ~65%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1"/>
                <w:szCs w:val="11"/>
              </w:rPr>
              <w:t xml:space="preserve">AMBER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Sep 20,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8-K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8-K (0000320187-22-000049): Mónica Gil + Robert Swan appointed directors (Item 5.02). Board 10→12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1"/>
                <w:szCs w:val="11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Sep 21,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Form 3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Swan files initial Form 3 (0001127602-22-022791). Indirect holdings INADVERTENTLY OMITTED — triggers amended Form 3 eight months later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1"/>
                <w:szCs w:val="11"/>
              </w:rPr>
              <w:t xml:space="preserve">AMBER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Sep 29,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8-K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Q1 FY2023 earnings. Revenue $12.7B (+4%). INVENTORY $9,662M (+44% YoY) — ALL-TIME HIGH. North America inv. +65%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~Oct 6,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10-Q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Q1 10-Q filed (0000320187-22-000058). Inventory crisis disclosed. No ITP references. No 10b5-1 disclosure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1"/>
                <w:szCs w:val="11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Nov 15,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Q2 FY2023 blackout opens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Dec 14,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SEC ADOPTS FINAL 10b5-1 RULES (Release 34-96492). Form 4 checkbox Apr 1, 2023. Exhibit 19 for FY beginning after Apr 1, 2023. Nike makes ZERO proactive disclosure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1"/>
                <w:szCs w:val="11"/>
              </w:rPr>
              <w:t xml:space="preserve">BLUE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Dec 20, 2022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8-K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Q2 FY2023 earnings. Revenue $13.3B (+17%). Inventory $9,326M (+43%). Markdowns accelerating. Gross margin: 42.9% (−300bps)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~Jan 5,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10-Q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Q2 10-Q filed (0000320187-23-000003). Inventory $9.3B. “Higher markdowns to liquidate inventory.” Zero ITP/10b5-1 references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1"/>
                <w:szCs w:val="11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Feb 15,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Q3 FY2023 blackout opens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~Mar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Nike RESTORES Foot Locker wholesale relationship. CDA strategy reversal begins — NOT disclosed as risk factor or strategic change in any filing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1"/>
                <w:szCs w:val="11"/>
              </w:rPr>
              <w:t xml:space="preserve">AMBER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Mar 21,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8-K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Q3 FY2023 earnings. Revenue $12.4B (+14%). Inventory $8.9B (+16%). Gross margin: 43.3% (−330bps — WORST in FY2023)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~Apr 1,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SEC 10b5-1 FORM 4 CHECKBOX TAKES EFFECT. Nike’s first mandatory insider trading plan disclosure mechanism activated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1"/>
                <w:szCs w:val="11"/>
              </w:rPr>
              <w:t xml:space="preserve">GOLD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~Apr 6,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PARKER FIRST 10b5-1 CHECKBOX: Exercises 110K options @ $31.675, sells @ ~$119.57 ($13.15M). Form 4 includes &lt;aff10b5One&gt;1&lt;/aff10b5One&gt; for FIRST TIME. Schema X0508 replaces X0306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1"/>
                <w:szCs w:val="11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~Apr 6,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10-Q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Q3 10-Q filed (0000320187-23-000013). Period ending Feb 28, 2023. NO Item 408(a) trading arrangement disclosure yet (not required until Q1 FY2024 10-Q)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1"/>
                <w:szCs w:val="11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~May 12,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Parker exercises 110K options, sells @ ~$120.86 ($13.29M). 10b5-1 confirmed. Plan adoption date NOT disclosed in FY2023 filings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1"/>
                <w:szCs w:val="11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May 24,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8-K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8-K (0000320187-23-000020): LEADERSHIP RESTRUCTURING. Campion ceases COO role (moved to “Managing Director, Strategic Business Ventures”). Friend absorbs operations. O’Neill title expanded. COO position ELIMINATED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1"/>
                <w:szCs w:val="11"/>
              </w:rPr>
              <w:t xml:space="preserve">AMBER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May 31,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N/A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FY2023 ends. Revenue $51.2B (+10%). Net income $5.1B (−1%). NKE ~$109. Cumulative Parker sales FY19–23: ~$465M+. Inventory normalized to $8.5B from $9.7B peak. Gross margin: 43.5% (−250bps FY)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Jun 1,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Form 3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Maria Henry files Form 3 (new director). Appointed to Audit &amp; Finance Committee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1"/>
                <w:szCs w:val="11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Jun 22,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Form 3/A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Swan files AMENDED Form 3 correcting omitted indirect holdings (8 months after initial). THIS triggers §16(a) delinquency disclosure in FY2023 proxy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1"/>
                <w:szCs w:val="11"/>
              </w:rPr>
              <w:t xml:space="preserve">AMBER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Jun 29,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8-K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Q4/FY2023 earnings. Q4 revenue $12.8B (+5%). Full-year $51.2B. Inventory $8.5B normalized. Buybacks $5.5B (50M shares)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GREY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Jul 12,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SWOOSH LLC FIRST DISTRIBUTION: 2,750,000 Class A shares distributed pro rata to members. Holdings: 233.5M → 230.75M. Signed by Raymond Durham, VP of Swoosh. NO 13D/A FILED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~Jul 18,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Parker exercises 110K options, sells @ ~$108.58 ($11.94M). 10b5-1 confirmed via checkbox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1"/>
                <w:szCs w:val="11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Jul 20,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10-K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FY2023 10-K filed (0000320187-23-000039). Part III inc. by ref. Risk factors: STILL ZERO on dual-class/Swoosh/ITP/§16. NO Exhibit 19 (not yet required). No CDA reversal risk factor. S-8 filed same day (11M ESPP shares)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Jul 20,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DEF 14A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FY2023 proxy filed (0000320187-23-000040). §16(a) RESTORED (p.67): Swan amended Form 3 delinquency disclosed. Zero 10b5-1 proxy disclosure (5TH YEAR). Swoosh undisclosed in Parker/Donahoe/Graf bios. Say-on-pay ~88% recovery. Donahoe $32.8M total comp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Sep 12,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8-K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FY2023 annual meeting (0000320187-23-000045). All Class A directors: 304,257,348 FOR / 0 withheld (Swoosh block). John Rogers Jr.: 35.5% WITHHELD — highest opposition ever. ISS removed pre-2015 IPO exemption. 2 shareholder proposals defeated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RED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~Oct 16, 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Form 4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Parker sells 58,091 shares @ ~$99.60 ($5.79M). 10b5-1 confirmed. Post-transaction balance declining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1"/>
                <w:szCs w:val="11"/>
              </w:rPr>
              <w:t xml:space="preserve">GREEN</w:t>
            </w:r>
          </w:p>
        </w:tc>
      </w:tr>
      <w:tr>
        <w:tc>
          <w:tcPr>
            <w:tcW w:type="dxa" w:w="8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~2009–2023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CORRESP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spacing w:before="5" w:after="5"/>
            </w:pPr>
            <w:r>
              <w:rPr>
                <w:rFonts w:ascii="Arial" w:cs="Arial" w:eastAsia="Arial" w:hAnsi="Arial"/>
                <w:b/>
                <w:bCs/>
                <w:color w:val="B91C1C"/>
                <w:sz w:val="12"/>
                <w:szCs w:val="12"/>
              </w:rPr>
              <w:t xml:space="preserve">~14-YEAR SEC COMMENT LETTER GAP. Zero UPLOAD/CORRESP. ~4.7x SOX §408 triennial maximum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2"/>
              <w:left w:type="dxa" w:w="70"/>
              <w:bottom w:type="dxa" w:w="42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Convergence Points — FY2023-Specific</w:t>
      </w:r>
    </w:p>
    <w:p>
      <w:pPr>
        <w:pStyle w:val="Heading2"/>
      </w:pPr>
      <w:r>
        <w:t xml:space="preserve">Convergence 1: April 1–6, 2023 (Regulatory Inflection → First Mandatory Disclosure)</w:t>
      </w:r>
    </w:p>
    <w:p>
      <w:pPr>
        <w:spacing w:before="0" w:after="11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The SEC’s 10b5-1 Form 4 checkbox took effect April 1, 2023. Parker’s first post-rule Form 4 was filed approximately April 6, containing &lt;aff10b5One&gt;1&lt;/aff10b5One&gt; for the first time in Nike’s EDGAR history. This single XML element retroactively validates what four years of prior analyses inferred: Parker’s $420M+ in cumulative sales were conducted under 10b5-1 plans. The speed of compliance (5 days) contrasts sharply with the proxy’s continued zero 10b5-1 disclosure — the proxy was filed July 20, over 3 months after the checkbox rule took effect, yet contained no voluntary insider trading plan narrative.</w:t>
      </w:r>
    </w:p>
    <w:p>
      <w:pPr>
        <w:pStyle w:val="Heading2"/>
      </w:pPr>
      <w:r>
        <w:t xml:space="preserve">Convergence 2: July 12–20, 2023 (Swoosh Distribution + 10-K/Proxy = Triple Event)</w:t>
      </w:r>
    </w:p>
    <w:p>
      <w:pPr>
        <w:spacing w:before="0" w:after="11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Within 8 days: Swoosh LLC distributed 2.75M Class A shares to members (July 12), Nike filed its 10-K (July 20), and the proxy was filed (July 20). The Swoosh distribution — the first identified in the EDGAR corpus — reduced holdings to 230.75M shares without a 13D amendment. The same-day 10-K contained zero dual-class risk factors. The same-day proxy restored the §16(a) section (Swan delinquency) but maintained zero 10b5-1 narrative and zero Swoosh disclosure in Parker/Donahoe/Graf biographies. Three filing types in 8 days, each maintaining a different dimension of governance opacity.</w:t>
      </w:r>
    </w:p>
    <w:p>
      <w:pPr>
        <w:pStyle w:val="Heading2"/>
      </w:pPr>
      <w:r>
        <w:t xml:space="preserve">Convergence 3: September 12, 2023 (Annual Meeting — ISS Policy Bites)</w:t>
      </w:r>
    </w:p>
    <w:p>
      <w:pPr>
        <w:spacing w:before="0" w:after="11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ISS’s February 2023 removal of the pre-2015 IPO dual-class exemption produced immediate results: John Rogers Jr. received 35.5% withheld votes — the highest opposition any Nike director has ever faced. All nine Class A directors received exactly 304,257,348 votes for / 0 withheld — Swoosh’s bloc. The contrast between 100% Class A support and 35.5% Class B opposition for the same directors at the same meeting quantifies the governance bifurcation that the 10-K’s absent risk factors fail to describe.</w:t>
      </w:r>
    </w:p>
    <w:p>
      <w:pPr>
        <w:pStyle w:val="Heading1"/>
      </w:pPr>
      <w:r>
        <w:t xml:space="preserve">Methodology</w:t>
      </w:r>
    </w:p>
    <w:p>
      <w:pPr>
        <w:spacing w:before="0" w:after="110"/>
      </w:pPr>
      <w:r>
        <w:rPr>
          <w:rFonts w:ascii="Arial" w:cs="Arial" w:eastAsia="Arial" w:hAnsi="Arial"/>
          <w:b w:val="false"/>
          <w:bCs w:val="false"/>
          <w:color w:val="4B5563"/>
          <w:sz w:val="15"/>
          <w:szCs w:val="15"/>
        </w:rPr>
        <w:t xml:space="preserve">Ground-up audit of 12 EDGAR filing categories for Nike CIK 0000320187 during June 2022–October 2023. Special focus on SEC 10b5-1 rule compliance transition (Form 4 schema X0306→X0508, Exhibit 19 timing, Item 408 quarterly disclosures). Investor communications (earnings calls, Nike IR) reviewed for governance and CDA reversal references. New GOLD flag category introduced for regulatory compliance inflection points.</w:t>
      </w:r>
    </w:p>
    <w:sectPr>
      <w:headerReference w:type="default" r:id="rId6"/>
      <w:footerReference w:type="default" r:id="rId7"/>
      <w:pgSz w:w="12240" w:h="158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1"/>
        <w:szCs w:val="11"/>
      </w:rPr>
      <w:t xml:space="preserve">Nike Inc. (CIK 0000320187) — FY2023 Full-Corpus Forensic Timeline — Regulatory Inflection Year</w:t>
    </w:r>
    <w:r>
      <w:rPr>
        <w:rFonts w:ascii="Arial" w:cs="Arial" w:eastAsia="Arial" w:hAnsi="Arial"/>
        <w:color w:val="999999"/>
        <w:sz w:val="11"/>
        <w:szCs w:val="11"/>
      </w:rPr>
      <w:ptab w:alignment="right" w:relativeTo="margin" w:leader="none"/>
    </w:r>
    <w:r>
      <w:rPr>
        <w:rFonts w:ascii="Arial" w:cs="Arial" w:eastAsia="Arial" w:hAnsi="Arial"/>
        <w:color w:val="999999"/>
        <w:sz w:val="11"/>
        <w:szCs w:val="11"/>
      </w:rPr>
      <w:t xml:space="preserve">Page </w:t>
    </w:r>
    <w:r>
      <w:rPr>
        <w:rFonts w:ascii="Arial" w:cs="Arial" w:eastAsia="Arial" w:hAnsi="Arial"/>
        <w:color w:val="999999"/>
        <w:sz w:val="11"/>
        <w:szCs w:val="1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B2D" w:sz="4" w:space="4"/>
      </w:pBdr>
    </w:pPr>
    <w:r>
      <w:rPr>
        <w:rFonts w:ascii="Arial" w:cs="Arial" w:eastAsia="Arial" w:hAnsi="Arial"/>
        <w:b/>
        <w:bCs/>
        <w:color w:val="B91C1C"/>
        <w:sz w:val="12"/>
        <w:szCs w:val="12"/>
      </w:rPr>
      <w:t xml:space="preserve">PRIVILEGED &amp; CONFIDENTIAL  |  FULL-CORPUS EDGAR AUDIT  |  ATTORNEY WORK PRODUCT</w:t>
    </w:r>
    <w:r>
      <w:rPr>
        <w:rFonts w:ascii="Arial" w:cs="Arial" w:eastAsia="Arial" w:hAnsi="Arial"/>
        <w:sz w:val="12"/>
        <w:szCs w:val="12"/>
      </w:rPr>
      <w:t xml:space="preserve">                                                                 </w:t>
    </w:r>
    <w:r>
      <w:rPr>
        <w:rFonts w:ascii="Arial" w:cs="Arial" w:eastAsia="Arial" w:hAnsi="Arial"/>
        <w:color w:val="999999"/>
        <w:sz w:val="12"/>
        <w:szCs w:val="12"/>
      </w:rPr>
      <w:t xml:space="preserve">JLAW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50"/>
      <w:outlineLvl w:val="0"/>
    </w:pPr>
    <w:rPr>
      <w:rFonts w:ascii="Arial" w:cs="Arial" w:eastAsia="Arial" w:hAnsi="Arial"/>
      <w:b/>
      <w:bCs/>
      <w:color w:val="0F1B2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1B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2026-03-11T10:34:26.523Z</dcterms:created>
  <dcterms:modified xsi:type="dcterms:W3CDTF">2026-03-11T10:34:26.525Z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