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2545" w:sz="6" w:space="6"/>
        </w:pBdr>
        <w:spacing w:after="100"/>
        <w:jc w:val="center"/>
      </w:pPr>
      <w:r>
        <w:rPr>
          <w:rFonts w:ascii="Arial" w:cs="Arial" w:eastAsia="Arial" w:hAnsi="Arial"/>
          <w:b/>
          <w:bCs/>
          <w:color w:val="0B2545"/>
          <w:sz w:val="28"/>
          <w:szCs w:val="28"/>
        </w:rPr>
        <w:t xml:space="preserve">GOVERNANCE BRIEFING MEMORANDUM — FY2023 FULL-CORPUS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8010"/>
      </w:tblGrid>
      <w:tr>
        <w:tc>
          <w:tcPr>
            <w:tcW w:type="dxa" w:w="1350"/>
            <w:tcBorders>
              <w:top w:val="none"/>
              <w:left w:val="none"/>
              <w:bottom w:val="none"/>
              <w:right w:val="none"/>
            </w:tcBorders>
            <w:tcMar>
              <w:top w:type="dxa" w:w="42"/>
              <w:left w:type="dxa" w:w="75"/>
              <w:bottom w:type="dxa" w:w="42"/>
              <w:right w:type="dxa" w:w="75"/>
            </w:tcMar>
          </w:tcPr>
          <w:p>
            <w:r>
              <w:rPr>
                <w:rFonts w:ascii="Arial" w:cs="Arial" w:eastAsia="Arial" w:hAnsi="Arial"/>
                <w:b/>
                <w:bCs/>
                <w:color w:val="0B2545"/>
                <w:sz w:val="19"/>
                <w:szCs w:val="19"/>
              </w:rPr>
              <w:t xml:space="preserve">TO:</w:t>
            </w:r>
          </w:p>
        </w:tc>
        <w:tc>
          <w:tcPr>
            <w:tcW w:type="dxa" w:w="8010"/>
            <w:tcBorders>
              <w:top w:val="none"/>
              <w:left w:val="none"/>
              <w:bottom w:val="none"/>
              <w:right w:val="none"/>
            </w:tcBorders>
            <w:tcMar>
              <w:top w:type="dxa" w:w="42"/>
              <w:left w:type="dxa" w:w="75"/>
              <w:bottom w:type="dxa" w:w="42"/>
              <w:right w:type="dxa" w:w="75"/>
            </w:tcMar>
          </w:tcPr>
          <w:p>
            <w:r>
              <w:rPr>
                <w:rFonts w:ascii="Arial" w:cs="Arial" w:eastAsia="Arial" w:hAnsi="Arial"/>
                <w:sz w:val="19"/>
                <w:szCs w:val="19"/>
              </w:rPr>
              <w:t xml:space="preserve">ISS Governance Research Division — U.S. Large Cap Coverage</w:t>
            </w:r>
          </w:p>
        </w:tc>
      </w:tr>
      <w:tr>
        <w:tc>
          <w:tcPr>
            <w:tcW w:type="dxa" w:w="1350"/>
            <w:tcBorders>
              <w:top w:val="none"/>
              <w:left w:val="none"/>
              <w:bottom w:val="none"/>
              <w:right w:val="none"/>
            </w:tcBorders>
            <w:tcMar>
              <w:top w:type="dxa" w:w="42"/>
              <w:left w:type="dxa" w:w="75"/>
              <w:bottom w:type="dxa" w:w="42"/>
              <w:right w:type="dxa" w:w="75"/>
            </w:tcMar>
          </w:tcPr>
          <w:p>
            <w:r>
              <w:rPr>
                <w:rFonts w:ascii="Arial" w:cs="Arial" w:eastAsia="Arial" w:hAnsi="Arial"/>
                <w:b/>
                <w:bCs/>
                <w:color w:val="0B2545"/>
                <w:sz w:val="19"/>
                <w:szCs w:val="19"/>
              </w:rPr>
              <w:t xml:space="preserve">FROM:</w:t>
            </w:r>
          </w:p>
        </w:tc>
        <w:tc>
          <w:tcPr>
            <w:tcW w:type="dxa" w:w="8010"/>
            <w:tcBorders>
              <w:top w:val="none"/>
              <w:left w:val="none"/>
              <w:bottom w:val="none"/>
              <w:right w:val="none"/>
            </w:tcBorders>
            <w:tcMar>
              <w:top w:type="dxa" w:w="42"/>
              <w:left w:type="dxa" w:w="75"/>
              <w:bottom w:type="dxa" w:w="42"/>
              <w:right w:type="dxa" w:w="75"/>
            </w:tcMar>
          </w:tcPr>
          <w:p>
            <w:r>
              <w:rPr>
                <w:rFonts w:ascii="Arial" w:cs="Arial" w:eastAsia="Arial" w:hAnsi="Arial"/>
                <w:sz w:val="19"/>
                <w:szCs w:val="19"/>
              </w:rPr>
              <w:t xml:space="preserve">JLAW Forensic Intelligence Platform v4</w:t>
            </w:r>
          </w:p>
        </w:tc>
      </w:tr>
      <w:tr>
        <w:tc>
          <w:tcPr>
            <w:tcW w:type="dxa" w:w="1350"/>
            <w:tcBorders>
              <w:top w:val="none"/>
              <w:left w:val="none"/>
              <w:bottom w:val="none"/>
              <w:right w:val="none"/>
            </w:tcBorders>
            <w:tcMar>
              <w:top w:type="dxa" w:w="42"/>
              <w:left w:type="dxa" w:w="75"/>
              <w:bottom w:type="dxa" w:w="42"/>
              <w:right w:type="dxa" w:w="75"/>
            </w:tcMar>
          </w:tcPr>
          <w:p>
            <w:r>
              <w:rPr>
                <w:rFonts w:ascii="Arial" w:cs="Arial" w:eastAsia="Arial" w:hAnsi="Arial"/>
                <w:b/>
                <w:bCs/>
                <w:color w:val="0B2545"/>
                <w:sz w:val="19"/>
                <w:szCs w:val="19"/>
              </w:rPr>
              <w:t xml:space="preserve">DATE:</w:t>
            </w:r>
          </w:p>
        </w:tc>
        <w:tc>
          <w:tcPr>
            <w:tcW w:type="dxa" w:w="8010"/>
            <w:tcBorders>
              <w:top w:val="none"/>
              <w:left w:val="none"/>
              <w:bottom w:val="none"/>
              <w:right w:val="none"/>
            </w:tcBorders>
            <w:tcMar>
              <w:top w:type="dxa" w:w="42"/>
              <w:left w:type="dxa" w:w="75"/>
              <w:bottom w:type="dxa" w:w="42"/>
              <w:right w:type="dxa" w:w="75"/>
            </w:tcMar>
          </w:tcPr>
          <w:p>
            <w:r>
              <w:rPr>
                <w:rFonts w:ascii="Arial" w:cs="Arial" w:eastAsia="Arial" w:hAnsi="Arial"/>
                <w:sz w:val="19"/>
                <w:szCs w:val="19"/>
              </w:rPr>
              <w:t xml:space="preserve">March 11, 2026</w:t>
            </w:r>
          </w:p>
        </w:tc>
      </w:tr>
      <w:tr>
        <w:tc>
          <w:tcPr>
            <w:tcW w:type="dxa" w:w="1350"/>
            <w:tcBorders>
              <w:top w:val="none"/>
              <w:left w:val="none"/>
              <w:bottom w:val="none"/>
              <w:right w:val="none"/>
            </w:tcBorders>
            <w:tcMar>
              <w:top w:type="dxa" w:w="42"/>
              <w:left w:type="dxa" w:w="75"/>
              <w:bottom w:type="dxa" w:w="42"/>
              <w:right w:type="dxa" w:w="75"/>
            </w:tcMar>
          </w:tcPr>
          <w:p>
            <w:r>
              <w:rPr>
                <w:rFonts w:ascii="Arial" w:cs="Arial" w:eastAsia="Arial" w:hAnsi="Arial"/>
                <w:b/>
                <w:bCs/>
                <w:color w:val="0B2545"/>
                <w:sz w:val="19"/>
                <w:szCs w:val="19"/>
              </w:rPr>
              <w:t xml:space="preserve">RE:</w:t>
            </w:r>
          </w:p>
        </w:tc>
        <w:tc>
          <w:tcPr>
            <w:tcW w:type="dxa" w:w="8010"/>
            <w:tcBorders>
              <w:top w:val="none"/>
              <w:left w:val="none"/>
              <w:bottom w:val="none"/>
              <w:right w:val="none"/>
            </w:tcBorders>
            <w:tcMar>
              <w:top w:type="dxa" w:w="42"/>
              <w:left w:type="dxa" w:w="75"/>
              <w:bottom w:type="dxa" w:w="42"/>
              <w:right w:type="dxa" w:w="75"/>
            </w:tcMar>
          </w:tcPr>
          <w:p>
            <w:r>
              <w:rPr>
                <w:rFonts w:ascii="Arial" w:cs="Arial" w:eastAsia="Arial" w:hAnsi="Arial"/>
                <w:b/>
                <w:bCs/>
                <w:sz w:val="19"/>
                <w:szCs w:val="19"/>
              </w:rPr>
              <w:t xml:space="preserve">ISS POLICY IMPACT CONFIRMED: 35.5% Withhold for Rogers + Swoosh First Distribution + 7-Year Stale 13D</w:t>
            </w:r>
          </w:p>
        </w:tc>
      </w:tr>
      <w:tr>
        <w:tc>
          <w:tcPr>
            <w:tcW w:type="dxa" w:w="1350"/>
            <w:tcBorders>
              <w:top w:val="none"/>
              <w:left w:val="none"/>
              <w:bottom w:val="none"/>
              <w:right w:val="none"/>
            </w:tcBorders>
            <w:tcMar>
              <w:top w:type="dxa" w:w="42"/>
              <w:left w:type="dxa" w:w="75"/>
              <w:bottom w:type="dxa" w:w="42"/>
              <w:right w:type="dxa" w:w="75"/>
            </w:tcMar>
          </w:tcPr>
          <w:p>
            <w:r>
              <w:rPr>
                <w:rFonts w:ascii="Arial" w:cs="Arial" w:eastAsia="Arial" w:hAnsi="Arial"/>
                <w:b/>
                <w:bCs/>
                <w:color w:val="0B2545"/>
                <w:sz w:val="19"/>
                <w:szCs w:val="19"/>
              </w:rPr>
              <w:t xml:space="preserve">COMPANY:</w:t>
            </w:r>
          </w:p>
        </w:tc>
        <w:tc>
          <w:tcPr>
            <w:tcW w:type="dxa" w:w="8010"/>
            <w:tcBorders>
              <w:top w:val="none"/>
              <w:left w:val="none"/>
              <w:bottom w:val="none"/>
              <w:right w:val="none"/>
            </w:tcBorders>
            <w:tcMar>
              <w:top w:type="dxa" w:w="42"/>
              <w:left w:type="dxa" w:w="75"/>
              <w:bottom w:type="dxa" w:w="42"/>
              <w:right w:type="dxa" w:w="75"/>
            </w:tcMar>
          </w:tcPr>
          <w:p>
            <w:r>
              <w:rPr>
                <w:rFonts w:ascii="Arial" w:cs="Arial" w:eastAsia="Arial" w:hAnsi="Arial"/>
                <w:sz w:val="19"/>
                <w:szCs w:val="19"/>
              </w:rPr>
              <w:t xml:space="preserve">Nike, Inc. (NYSE: NKE) | CIK 0000320187 | S&amp;P 500</w:t>
            </w:r>
          </w:p>
        </w:tc>
      </w:tr>
      <w:tr>
        <w:tc>
          <w:tcPr>
            <w:tcW w:type="dxa" w:w="1350"/>
            <w:tcBorders>
              <w:top w:val="none"/>
              <w:left w:val="none"/>
              <w:bottom w:val="none"/>
              <w:right w:val="none"/>
            </w:tcBorders>
            <w:tcMar>
              <w:top w:type="dxa" w:w="42"/>
              <w:left w:type="dxa" w:w="75"/>
              <w:bottom w:type="dxa" w:w="42"/>
              <w:right w:type="dxa" w:w="75"/>
            </w:tcMar>
          </w:tcPr>
          <w:p>
            <w:r>
              <w:rPr>
                <w:rFonts w:ascii="Arial" w:cs="Arial" w:eastAsia="Arial" w:hAnsi="Arial"/>
                <w:b/>
                <w:bCs/>
                <w:color w:val="0B2545"/>
                <w:sz w:val="19"/>
                <w:szCs w:val="19"/>
              </w:rPr>
              <w:t xml:space="preserve">PRIOR MEMOS:</w:t>
            </w:r>
          </w:p>
        </w:tc>
        <w:tc>
          <w:tcPr>
            <w:tcW w:type="dxa" w:w="8010"/>
            <w:tcBorders>
              <w:top w:val="none"/>
              <w:left w:val="none"/>
              <w:bottom w:val="none"/>
              <w:right w:val="none"/>
            </w:tcBorders>
            <w:tcMar>
              <w:top w:type="dxa" w:w="42"/>
              <w:left w:type="dxa" w:w="75"/>
              <w:bottom w:type="dxa" w:w="42"/>
              <w:right w:type="dxa" w:w="75"/>
            </w:tcMar>
          </w:tcPr>
          <w:p>
            <w:r>
              <w:rPr>
                <w:rFonts w:ascii="Arial" w:cs="Arial" w:eastAsia="Arial" w:hAnsi="Arial"/>
                <w:sz w:val="19"/>
                <w:szCs w:val="19"/>
              </w:rPr>
              <w:t xml:space="preserve">FY2019 (Mar 6) | FY2020 (Mar 8–9) | FY2021 (Mar 8–9) | FY2022 (Mar 10)</w:t>
            </w:r>
          </w:p>
        </w:tc>
      </w:tr>
    </w:tbl>
    <w:p>
      <w:pPr>
        <w:pBdr>
          <w:bottom w:val="single" w:color="0B2545" w:sz="2" w:space="5"/>
        </w:pBdr>
        <w:spacing w:before="100"/>
      </w:pPr>
    </w:p>
    <w:p>
      <w:pPr>
        <w:pStyle w:val="Heading1"/>
      </w:pPr>
      <w:r>
        <w:t xml:space="preserve">The ISS Policy Change Produced Measurable Results at the September 2023 Meeting</w:t>
      </w:r>
    </w:p>
    <w:p>
      <w:pPr>
        <w:spacing w:before="0" w:after="105"/>
      </w:pPr>
      <w:r>
        <w:rPr>
          <w:rFonts w:ascii="Arial" w:cs="Arial" w:eastAsia="Arial" w:hAnsi="Arial"/>
          <w:b w:val="false"/>
          <w:bCs w:val="false"/>
          <w:i w:val="false"/>
          <w:iCs w:val="false"/>
          <w:color w:val="1A1A1A"/>
          <w:sz w:val="19"/>
          <w:szCs w:val="19"/>
        </w:rPr>
        <w:t xml:space="preserve">ISS’s February 2023 U.S. Policy Update removed the pre-2015 IPO exemption for dual-class structures. This policy change directly impacted Nike, whose dual-class structure dates to its founding. The September 12, 2023 annual meeting vote quantifies the impact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800"/>
        <w:gridCol w:w="2560"/>
      </w:tblGrid>
      <w:tr>
        <w:tc>
          <w:tcPr>
            <w:tcW w:type="dxa" w:w="1800"/>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DIRECTOR</w:t>
            </w:r>
          </w:p>
        </w:tc>
        <w:tc>
          <w:tcPr>
            <w:tcW w:type="dxa" w:w="1400"/>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CLASS</w:t>
            </w:r>
          </w:p>
        </w:tc>
        <w:tc>
          <w:tcPr>
            <w:tcW w:type="dxa" w:w="1800"/>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VOTES FOR</w:t>
            </w:r>
          </w:p>
        </w:tc>
        <w:tc>
          <w:tcPr>
            <w:tcW w:type="dxa" w:w="1800"/>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WITHHELD</w:t>
            </w:r>
          </w:p>
        </w:tc>
        <w:tc>
          <w:tcPr>
            <w:tcW w:type="dxa" w:w="2560"/>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 WITHHELD</w:t>
            </w:r>
          </w:p>
        </w:tc>
      </w:tr>
      <w:tr>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All 9 Class A Directors</w:t>
            </w:r>
          </w:p>
        </w:tc>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A</w:t>
            </w:r>
          </w:p>
        </w:tc>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304,257,348</w:t>
            </w:r>
          </w:p>
        </w:tc>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w:t>
            </w:r>
          </w:p>
        </w:tc>
        <w:tc>
          <w:tcPr>
            <w:tcW w:type="dxa" w:w="2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 (Swoosh bloc)</w:t>
            </w:r>
          </w:p>
        </w:tc>
      </w:tr>
      <w:tr>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John Rogers Jr.</w:t>
            </w:r>
          </w:p>
        </w:tc>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B</w:t>
            </w:r>
          </w:p>
        </w:tc>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608,212,067</w:t>
            </w:r>
          </w:p>
        </w:tc>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334,402,709</w:t>
            </w:r>
          </w:p>
        </w:tc>
        <w:tc>
          <w:tcPr>
            <w:tcW w:type="dxa" w:w="2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B91C1C"/>
                <w:sz w:val="13"/>
                <w:szCs w:val="13"/>
              </w:rPr>
              <w:t xml:space="preserve">35.5% — HIGHEST EVER</w:t>
            </w:r>
          </w:p>
        </w:tc>
      </w:tr>
      <w:tr>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Tim Cook</w:t>
            </w:r>
          </w:p>
        </w:tc>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B</w:t>
            </w:r>
          </w:p>
        </w:tc>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855,974,457</w:t>
            </w:r>
          </w:p>
        </w:tc>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86,640,319</w:t>
            </w:r>
          </w:p>
        </w:tc>
        <w:tc>
          <w:tcPr>
            <w:tcW w:type="dxa" w:w="2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9.2%</w:t>
            </w:r>
          </w:p>
        </w:tc>
      </w:tr>
      <w:tr>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Cathleen Benko</w:t>
            </w:r>
          </w:p>
        </w:tc>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B</w:t>
            </w:r>
          </w:p>
        </w:tc>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885,620,843</w:t>
            </w:r>
          </w:p>
        </w:tc>
        <w:tc>
          <w:tcPr>
            <w:tcW w:type="dxa" w:w="1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56,993,933</w:t>
            </w:r>
          </w:p>
        </w:tc>
        <w:tc>
          <w:tcPr>
            <w:tcW w:type="dxa" w:w="2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6.0%</w:t>
            </w:r>
          </w:p>
        </w:tc>
      </w:tr>
    </w:tbl>
    <w:p>
      <w:pPr>
        <w:spacing w:before="0" w:after="105"/>
      </w:pPr>
      <w:r>
        <w:rPr>
          <w:rFonts w:ascii="Arial" w:cs="Arial" w:eastAsia="Arial" w:hAnsi="Arial"/>
          <w:b w:val="false"/>
          <w:bCs w:val="false"/>
          <w:i w:val="false"/>
          <w:iCs w:val="false"/>
          <w:color w:val="1A1A1A"/>
          <w:sz w:val="19"/>
          <w:szCs w:val="19"/>
        </w:rPr>
        <w:t xml:space="preserve">The bifurcation is absolute: every Class A director received 100% support (Swoosh’s bloc vote), while Class B directors faced varying levels of opposition. Rogers’ 35.5% is almost certainly driven by ISS’s policy recommendation against directors at dual-class companies that fail to provide sunset provisions or periodic shareholder votes on the capital structure. Nike has neither.</w:t>
      </w:r>
    </w:p>
    <w:p>
      <w:pPr>
        <w:spacing w:before="0" w:after="105"/>
      </w:pPr>
      <w:r>
        <w:rPr>
          <w:rFonts w:ascii="Arial" w:cs="Arial" w:eastAsia="Arial" w:hAnsi="Arial"/>
          <w:b w:val="false"/>
          <w:bCs w:val="false"/>
          <w:i w:val="false"/>
          <w:iCs w:val="false"/>
          <w:color w:val="1A1A1A"/>
          <w:sz w:val="19"/>
          <w:szCs w:val="19"/>
        </w:rPr>
        <w:t xml:space="preserve">This is the first measurable external governance consequence of the Swoosh cross-directorship issue that this memo series has documented since FY2019. It confirms ISS’s policy can generate institutional dissent — but also demonstrates the structural futility: even 100% Class B opposition cannot overcome the Class A bloc.</w:t>
      </w:r>
    </w:p>
    <w:p>
      <w:pPr>
        <w:pStyle w:val="Heading1"/>
      </w:pPr>
      <w:r>
        <w:t xml:space="preserve">Swoosh LLC’s First Identified Pro Rata Distribution: Estate Planning in Public View</w:t>
      </w:r>
    </w:p>
    <w:p>
      <w:pPr>
        <w:spacing w:before="0" w:after="105"/>
      </w:pPr>
      <w:r>
        <w:rPr>
          <w:rFonts w:ascii="Arial" w:cs="Arial" w:eastAsia="Arial" w:hAnsi="Arial"/>
          <w:b w:val="false"/>
          <w:bCs w:val="false"/>
          <w:i w:val="false"/>
          <w:iCs w:val="false"/>
          <w:color w:val="1A1A1A"/>
          <w:sz w:val="19"/>
          <w:szCs w:val="19"/>
        </w:rPr>
        <w:t xml:space="preserve">On July 12, 2023, Swoosh LLC filed a Form 4 disclosing a pro rata distribution of 2,750,000 Class A shares to its members, reducing holdings from 233.5M to 230.75M shares. The filing was signed by Raymond Durham (VP of Swoosh LLC) — a name that appears in no other Nike filing. Subsequent distributions followed: 5M shares in July 2024 and 5M in December 2025.</w:t>
      </w:r>
    </w:p>
    <w:p>
      <w:pPr>
        <w:spacing w:before="0" w:after="105"/>
      </w:pPr>
      <w:r>
        <w:rPr>
          <w:rFonts w:ascii="Arial" w:cs="Arial" w:eastAsia="Arial" w:hAnsi="Arial"/>
          <w:b w:val="false"/>
          <w:bCs w:val="false"/>
          <w:i w:val="false"/>
          <w:iCs w:val="false"/>
          <w:color w:val="1A1A1A"/>
          <w:sz w:val="19"/>
          <w:szCs w:val="19"/>
        </w:rPr>
        <w:t xml:space="preserve">These distributions represent Knight family estate planning executed through Swoosh’s corporate structure. The pattern (annual July distributions, increasing size) suggests a systematic wind-down of Swoosh’s direct Class A holdings — potentially accelerating as Class A conversion to Class B approaches the June 30, 2050 sunset date. However, the cumulative reduction from 257M (2016 13D) to 230.75M (post-July 2023) — a 10.2% decrease — has been reported only through individual Form 4 filings. No Schedule 13D/A has documented the aggregate position change.</w:t>
      </w:r>
    </w:p>
    <w:p>
      <w:pPr>
        <w:spacing w:before="0" w:after="105"/>
      </w:pPr>
      <w:r>
        <w:rPr>
          <w:rFonts w:ascii="Arial" w:cs="Arial" w:eastAsia="Arial" w:hAnsi="Arial"/>
          <w:b w:val="false"/>
          <w:bCs w:val="false"/>
          <w:i w:val="false"/>
          <w:iCs w:val="false"/>
          <w:color w:val="1A1A1A"/>
          <w:sz w:val="19"/>
          <w:szCs w:val="19"/>
        </w:rPr>
        <w:t xml:space="preserve">For ISS, the distribution pattern introduces a new analytical dimension: as Swoosh distributes shares to Knight family members, the beneficial ownership chain becomes more diffuse. Individual family members may sell distributed shares, potentially reducing the Knight family’s aggregate voting power over time. Monitoring these distributions — which are reported on Form 4 because Swoosh remains a 10% holder — provides a leading indicator of eventual control dilution that the 7-year-stale 13D does not capture.</w:t>
      </w:r>
    </w:p>
    <w:p>
      <w:r>
        <w:br w:type="page"/>
      </w:r>
    </w:p>
    <w:p>
      <w:pPr>
        <w:pStyle w:val="Heading1"/>
      </w:pPr>
      <w:r>
        <w:t xml:space="preserve">Five-Year Swoosh Governance Trajectory (FY2019–FY2023)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c>
          <w:tcPr>
            <w:tcW w:type="dxa" w:w="1400"/>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METRIC</w:t>
            </w:r>
          </w:p>
        </w:tc>
        <w:tc>
          <w:tcPr>
            <w:tcW w:type="dxa" w:w="1592"/>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FY2019</w:t>
            </w:r>
          </w:p>
        </w:tc>
        <w:tc>
          <w:tcPr>
            <w:tcW w:type="dxa" w:w="1592"/>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FY2020</w:t>
            </w:r>
          </w:p>
        </w:tc>
        <w:tc>
          <w:tcPr>
            <w:tcW w:type="dxa" w:w="1592"/>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FY2021</w:t>
            </w:r>
          </w:p>
        </w:tc>
        <w:tc>
          <w:tcPr>
            <w:tcW w:type="dxa" w:w="1592"/>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FY2022</w:t>
            </w:r>
          </w:p>
        </w:tc>
        <w:tc>
          <w:tcPr>
            <w:tcW w:type="dxa" w:w="1592"/>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FY2023</w:t>
            </w:r>
          </w:p>
        </w:tc>
      </w:tr>
      <w:tr>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Swoosh config</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 insider + 2 indep</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Triple-insider (Jan 20)</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Triple-insider full yr</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Triple-insider + trust restructuring</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Triple-insider. First distribution</w:t>
            </w:r>
          </w:p>
        </w:tc>
      </w:tr>
      <w:tr>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13D staleness</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3 years</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4 years</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5 years</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6 years (now inaccurate)</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7 YEARS + 10.2% share reduction</w:t>
            </w:r>
          </w:p>
        </w:tc>
      </w:tr>
      <w:tr>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Proxy Swoosh</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Knight bio only</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Knight bio only</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Knight bio only</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Knight bio only</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Knight bio only. Distribution NOT disclosed</w:t>
            </w:r>
          </w:p>
        </w:tc>
      </w:tr>
      <w:tr>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Parker sales</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~$78M</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~$37M</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~$125M</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~$82M</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~$44M ($465M+ cumulative)</w:t>
            </w:r>
          </w:p>
        </w:tc>
      </w:tr>
      <w:tr>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10b5-1 disclosure</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ZERO</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ZERO</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ZERO</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ZERO</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Form 4 checkbox (Apr 2023). Proxy: ZERO</w:t>
            </w:r>
          </w:p>
        </w:tc>
      </w:tr>
      <w:tr>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§16(a) section</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Omitted</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Omitted</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RESTORED</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DROPPED</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RESTORED (Swan)</w:t>
            </w:r>
          </w:p>
        </w:tc>
      </w:tr>
      <w:tr>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SEC correspondence</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10-yr gap</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11-yr gap</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12-yr gap</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13-yr gap</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~14-yr gap</w:t>
            </w:r>
          </w:p>
        </w:tc>
      </w:tr>
      <w:tr>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ISS/external pressure</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None</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None</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None</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None</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35.5% Rogers withhold. ISS removes exemption</w:t>
            </w:r>
          </w:p>
        </w:tc>
      </w:tr>
      <w:tr>
        <w:tc>
          <w:tcPr>
            <w:tcW w:type="dxa" w:w="14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Securities fraud</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N/A</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N/A</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Class period begins Mar 21</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Class period active</w:t>
            </w:r>
          </w:p>
        </w:tc>
        <w:tc>
          <w:tcPr>
            <w:tcW w:type="dxa" w:w="1592"/>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Class period active. $245M insider sales alleged</w:t>
            </w:r>
          </w:p>
        </w:tc>
      </w:tr>
    </w:tbl>
    <w:p>
      <w:pPr>
        <w:pStyle w:val="Heading1"/>
      </w:pPr>
      <w:r>
        <w:t xml:space="preserve">Parker’s $465M+ Cumulative: The Checkbox Retroactively Validates the Forensic Record</w:t>
      </w:r>
    </w:p>
    <w:p>
      <w:pPr>
        <w:spacing w:before="0" w:after="105"/>
      </w:pPr>
      <w:r>
        <w:rPr>
          <w:rFonts w:ascii="Arial" w:cs="Arial" w:eastAsia="Arial" w:hAnsi="Arial"/>
          <w:b w:val="false"/>
          <w:bCs w:val="false"/>
          <w:i w:val="false"/>
          <w:iCs w:val="false"/>
          <w:color w:val="1A1A1A"/>
          <w:sz w:val="19"/>
          <w:szCs w:val="19"/>
        </w:rPr>
        <w:t xml:space="preserve">The April 2023 Form 4 checkbox is the most consequential single data point in the five-year investigation of Parker’s trading activity. By confirming that his FY2023 sales were 10b5-1 transactions, and by establishing a pattern consistent with prior-year footnotes, the checkbox retroactively validates the inferential framework that has governed this analysis since FY2019: Parker’s sales were plan-based, likely adopted on a November annual cycle, and executed through a systematic exercise-and-sell program targeting post-earnings windows.</w:t>
      </w:r>
    </w:p>
    <w:p>
      <w:pPr>
        <w:spacing w:before="0" w:after="105"/>
      </w:pPr>
      <w:r>
        <w:rPr>
          <w:rFonts w:ascii="Arial" w:cs="Arial" w:eastAsia="Arial" w:hAnsi="Arial"/>
          <w:b w:val="false"/>
          <w:bCs w:val="false"/>
          <w:i w:val="false"/>
          <w:iCs w:val="false"/>
          <w:color w:val="1A1A1A"/>
          <w:sz w:val="19"/>
          <w:szCs w:val="19"/>
        </w:rPr>
        <w:t xml:space="preserve">What the checkbox does NOT resolve: the adoption dates of plans governing the December 2, 2019 blackout-period trade ($15.4M), the November 2021 all-time-high sales ($27.1M in 2 days), and the FY2022 selling during the inventory buildup ($81.7M total). Plan adoption dates were not required pre-April 2023 and remain undisclosed for all pre-FY2024 transactions. Only subpoena or securities fraud discovery can produce this information.</w:t>
      </w:r>
    </w:p>
    <w:p>
      <w:r>
        <w:br w:type="page"/>
      </w:r>
    </w:p>
    <w:p>
      <w:pPr>
        <w:pStyle w:val="Heading1"/>
      </w:pPr>
      <w:r>
        <w:t xml:space="preserve">Recommendations — FY2023-Specific</w:t>
      </w:r>
    </w:p>
    <w:p>
      <w:pPr>
        <w:pStyle w:val="Heading2"/>
      </w:pPr>
      <w:r>
        <w:t xml:space="preserve">Tier 1: Quantify the ISS Policy Impact and Escalate</w:t>
      </w:r>
    </w:p>
    <w:p>
      <w:pPr>
        <w:spacing w:before="0" w:after="105"/>
      </w:pPr>
      <w:r>
        <w:rPr>
          <w:rFonts w:ascii="Arial" w:cs="Arial" w:eastAsia="Arial" w:hAnsi="Arial"/>
          <w:b w:val="false"/>
          <w:bCs w:val="false"/>
          <w:i w:val="false"/>
          <w:iCs w:val="false"/>
          <w:color w:val="1A1A1A"/>
          <w:sz w:val="19"/>
          <w:szCs w:val="19"/>
        </w:rPr>
        <w:t xml:space="preserve">The 35.5% Rogers withhold is the first quantitative evidence that ISS’s dual-class policy produces measurable shareholder dissent at Nike. Publish a case study: Nike as the exemplar of how ISS policy changes affect dual-class S&amp;P 500 companies. Use the Class A/Class B vote split (0% vs 35.5% withhold) to illustrate the structural governance gap. Recommend Nike either (a) adopt a sunset provision with shareholder vote or (b) separate the Class A/Class B director nomination process.</w:t>
      </w:r>
    </w:p>
    <w:p>
      <w:pPr>
        <w:pStyle w:val="Heading2"/>
      </w:pPr>
      <w:r>
        <w:t xml:space="preserve">Tier 2: Monitor Swoosh Distribution Pattern</w:t>
      </w:r>
    </w:p>
    <w:p>
      <w:pPr>
        <w:spacing w:before="0" w:after="105"/>
      </w:pPr>
      <w:r>
        <w:rPr>
          <w:rFonts w:ascii="Arial" w:cs="Arial" w:eastAsia="Arial" w:hAnsi="Arial"/>
          <w:b w:val="false"/>
          <w:bCs w:val="false"/>
          <w:i w:val="false"/>
          <w:iCs w:val="false"/>
          <w:color w:val="1A1A1A"/>
          <w:sz w:val="19"/>
          <w:szCs w:val="19"/>
        </w:rPr>
        <w:t xml:space="preserve">Establish a monitoring protocol for annual Swoosh LLC Form 4 distribution filings. Track: (a) share count per distribution; (b) identity of recipient members; (c) subsequent Form 4 filings by recipients showing dispositions; (d) whether cumulative distributions trigger a 13D amendment obligation. The July 2023 / July 2024 / December 2025 pattern suggests annual estate-planning distributions that may accelerate.</w:t>
      </w:r>
    </w:p>
    <w:p>
      <w:pPr>
        <w:pStyle w:val="Heading2"/>
      </w:pPr>
      <w:r>
        <w:t xml:space="preserve">Tier 3: Graf Succession Planning Assessment</w:t>
      </w:r>
    </w:p>
    <w:p>
      <w:pPr>
        <w:spacing w:before="0" w:after="105"/>
      </w:pPr>
      <w:r>
        <w:rPr>
          <w:rFonts w:ascii="Arial" w:cs="Arial" w:eastAsia="Arial" w:hAnsi="Arial"/>
          <w:b w:val="false"/>
          <w:bCs w:val="false"/>
          <w:i w:val="false"/>
          <w:iCs w:val="false"/>
          <w:color w:val="1A1A1A"/>
          <w:sz w:val="19"/>
          <w:szCs w:val="19"/>
        </w:rPr>
        <w:t xml:space="preserve">Graf reached 21 years of board service in FY2023 at age ~69. With mandatory retirement at 72, he has approximately 3 years remaining. His FY2024 retirement was subsequently confirmed with Robert Swan succeeding as Audit Chair. ISS should assess whether Swan’s Swoosh governance exposure (he is NOT a Swoosh board member, unlike Graf) represents a governance improvement — breaking the Audit Chair cross-directorship pattern that persisted from 2015–2024.</w:t>
      </w:r>
    </w:p>
    <w:p>
      <w:pPr>
        <w:pStyle w:val="Heading2"/>
      </w:pPr>
      <w:r>
        <w:t xml:space="preserve">Tier 4: Securities Fraud Litigation Monitoring — CDA Disclosure</w:t>
      </w:r>
    </w:p>
    <w:p>
      <w:pPr>
        <w:spacing w:before="0" w:after="105"/>
      </w:pPr>
      <w:r>
        <w:rPr>
          <w:rFonts w:ascii="Arial" w:cs="Arial" w:eastAsia="Arial" w:hAnsi="Arial"/>
          <w:b w:val="false"/>
          <w:bCs w:val="false"/>
          <w:i w:val="false"/>
          <w:iCs w:val="false"/>
          <w:color w:val="1A1A1A"/>
          <w:sz w:val="19"/>
          <w:szCs w:val="19"/>
        </w:rPr>
        <w:t xml:space="preserve">The securities fraud complaint’s core allegation — that Nike’s FY2023 filings omitted material information about the CDA strategy’s failure while executives sold $245M in stock — will be tested through discovery. ISS should prepare for the possibility that discovery produces internal documents showing the board was aware of CDA shortcomings before the Q2 FY2023 admission (“we’ve been starving the wholesale channel”). If confirmed, this would represent a material governance failure by the Audit Committee (chaired by Graf, who simultaneously sat on the Swoosh board controlling the shareholder vote).</w:t>
      </w:r>
    </w:p>
    <w:p>
      <w:r>
        <w:br w:type="page"/>
      </w:r>
    </w:p>
    <w:p>
      <w:pPr>
        <w:pStyle w:val="Heading1"/>
      </w:pPr>
      <w:r>
        <w:t xml:space="preserve">Appendix: FY2023 Filing-by-Filing Swoosh Content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550"/>
        <w:gridCol w:w="2100"/>
        <w:gridCol w:w="4560"/>
      </w:tblGrid>
      <w:tr>
        <w:tc>
          <w:tcPr>
            <w:tcW w:type="dxa" w:w="1150"/>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FILING</w:t>
            </w:r>
          </w:p>
        </w:tc>
        <w:tc>
          <w:tcPr>
            <w:tcW w:type="dxa" w:w="1550"/>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ACCESSION</w:t>
            </w:r>
          </w:p>
        </w:tc>
        <w:tc>
          <w:tcPr>
            <w:tcW w:type="dxa" w:w="2100"/>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SWOOSH CONTENT</w:t>
            </w:r>
          </w:p>
        </w:tc>
        <w:tc>
          <w:tcPr>
            <w:tcW w:type="dxa" w:w="4560"/>
            <w:tcBorders>
              <w:top w:val="single" w:color="AAAAAA" w:sz="1"/>
              <w:left w:val="single" w:color="AAAAAA" w:sz="1"/>
              <w:bottom w:val="single" w:color="AAAAAA" w:sz="1"/>
              <w:right w:val="single" w:color="AAAAAA" w:sz="1"/>
            </w:tcBorders>
            <w:shd w:fill="0B2545" w:val="clear"/>
            <w:tcMar>
              <w:top w:type="dxa" w:w="42"/>
              <w:left w:type="dxa" w:w="75"/>
              <w:bottom w:type="dxa" w:w="42"/>
              <w:right w:type="dxa" w:w="75"/>
            </w:tcMar>
          </w:tcPr>
          <w:p>
            <w:r>
              <w:rPr>
                <w:rFonts w:ascii="Arial" w:cs="Arial" w:eastAsia="Arial" w:hAnsi="Arial"/>
                <w:b/>
                <w:bCs/>
                <w:color w:val="FFFFFF"/>
                <w:sz w:val="13"/>
                <w:szCs w:val="13"/>
              </w:rPr>
              <w:t xml:space="preserve">FORENSIC SIGNIFICANCE</w:t>
            </w:r>
          </w:p>
        </w:tc>
      </w:tr>
      <w:tr>
        <w:tc>
          <w:tcPr>
            <w:tcW w:type="dxa" w:w="11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10-K</w:t>
            </w:r>
          </w:p>
        </w:tc>
        <w:tc>
          <w:tcPr>
            <w:tcW w:type="dxa" w:w="15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0000320187-23-000039</w:t>
            </w:r>
          </w:p>
        </w:tc>
        <w:tc>
          <w:tcPr>
            <w:tcW w:type="dxa" w:w="21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B91C1C"/>
                <w:sz w:val="13"/>
                <w:szCs w:val="13"/>
              </w:rPr>
              <w:t xml:space="preserve">ZERO</w:t>
            </w:r>
          </w:p>
        </w:tc>
        <w:tc>
          <w:tcPr>
            <w:tcW w:type="dxa" w:w="4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Risk factors STILL exclude dual-class. No Exhibit 19 (deferred). No CDA reversal risk factor</w:t>
            </w:r>
          </w:p>
        </w:tc>
      </w:tr>
      <w:tr>
        <w:tc>
          <w:tcPr>
            <w:tcW w:type="dxa" w:w="11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10-Q (x3)</w:t>
            </w:r>
          </w:p>
        </w:tc>
        <w:tc>
          <w:tcPr>
            <w:tcW w:type="dxa" w:w="15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Three quarterly filings</w:t>
            </w:r>
          </w:p>
        </w:tc>
        <w:tc>
          <w:tcPr>
            <w:tcW w:type="dxa" w:w="21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B91C1C"/>
                <w:sz w:val="13"/>
                <w:szCs w:val="13"/>
              </w:rPr>
              <w:t xml:space="preserve">ZERO</w:t>
            </w:r>
          </w:p>
        </w:tc>
        <w:tc>
          <w:tcPr>
            <w:tcW w:type="dxa" w:w="4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Inventory crisis ($9.7B peak) dominated. Zero governance. Zero ITP/10b5-1</w:t>
            </w:r>
          </w:p>
        </w:tc>
      </w:tr>
      <w:tr>
        <w:tc>
          <w:tcPr>
            <w:tcW w:type="dxa" w:w="11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8-K (x12)</w:t>
            </w:r>
          </w:p>
        </w:tc>
        <w:tc>
          <w:tcPr>
            <w:tcW w:type="dxa" w:w="15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Multiple accessions</w:t>
            </w:r>
          </w:p>
        </w:tc>
        <w:tc>
          <w:tcPr>
            <w:tcW w:type="dxa" w:w="21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B91C1C"/>
                <w:sz w:val="13"/>
                <w:szCs w:val="13"/>
              </w:rPr>
              <w:t xml:space="preserve">ZERO</w:t>
            </w:r>
          </w:p>
        </w:tc>
        <w:tc>
          <w:tcPr>
            <w:tcW w:type="dxa" w:w="4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Earnings, director appointments, COO elimination. No Swoosh references</w:t>
            </w:r>
          </w:p>
        </w:tc>
      </w:tr>
      <w:tr>
        <w:tc>
          <w:tcPr>
            <w:tcW w:type="dxa" w:w="11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DEF 14A</w:t>
            </w:r>
          </w:p>
        </w:tc>
        <w:tc>
          <w:tcPr>
            <w:tcW w:type="dxa" w:w="15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0000320187-23-000040</w:t>
            </w:r>
          </w:p>
        </w:tc>
        <w:tc>
          <w:tcPr>
            <w:tcW w:type="dxa" w:w="21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92400E"/>
                <w:sz w:val="13"/>
                <w:szCs w:val="13"/>
              </w:rPr>
              <w:t xml:space="preserve">MINIMAL</w:t>
            </w:r>
          </w:p>
        </w:tc>
        <w:tc>
          <w:tcPr>
            <w:tcW w:type="dxa" w:w="4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Knight bio mentions Swoosh. Parker/Donahoe/Graf: NO Swoosh. §16(a) names Swan. Say-on-pay ~88%</w:t>
            </w:r>
          </w:p>
        </w:tc>
      </w:tr>
      <w:tr>
        <w:tc>
          <w:tcPr>
            <w:tcW w:type="dxa" w:w="11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Form 4 (Parker)</w:t>
            </w:r>
          </w:p>
        </w:tc>
        <w:tc>
          <w:tcPr>
            <w:tcW w:type="dxa" w:w="15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~4 sale filings</w:t>
            </w:r>
          </w:p>
        </w:tc>
        <w:tc>
          <w:tcPr>
            <w:tcW w:type="dxa" w:w="21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65F46"/>
                <w:sz w:val="13"/>
                <w:szCs w:val="13"/>
              </w:rPr>
              <w:t xml:space="preserve">10b5-1 CONFIRMED</w:t>
            </w:r>
          </w:p>
        </w:tc>
        <w:tc>
          <w:tcPr>
            <w:tcW w:type="dxa" w:w="4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$44.2M. First mandatory checkbox (Apr 2023). Plan adoption dates NOT disclosed</w:t>
            </w:r>
          </w:p>
        </w:tc>
      </w:tr>
      <w:tr>
        <w:tc>
          <w:tcPr>
            <w:tcW w:type="dxa" w:w="11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Form 4 (Swoosh)</w:t>
            </w:r>
          </w:p>
        </w:tc>
        <w:tc>
          <w:tcPr>
            <w:tcW w:type="dxa" w:w="15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Jul 12, 2023</w:t>
            </w:r>
          </w:p>
        </w:tc>
        <w:tc>
          <w:tcPr>
            <w:tcW w:type="dxa" w:w="21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92400E"/>
                <w:sz w:val="13"/>
                <w:szCs w:val="13"/>
              </w:rPr>
              <w:t xml:space="preserve">DISTRIBUTION</w:t>
            </w:r>
          </w:p>
        </w:tc>
        <w:tc>
          <w:tcPr>
            <w:tcW w:type="dxa" w:w="4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FIRST IDENTIFIED: 2.75M shares distributed. R. Durham, VP. No 13D/A</w:t>
            </w:r>
          </w:p>
        </w:tc>
      </w:tr>
      <w:tr>
        <w:tc>
          <w:tcPr>
            <w:tcW w:type="dxa" w:w="11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SC 13D</w:t>
            </w:r>
          </w:p>
        </w:tc>
        <w:tc>
          <w:tcPr>
            <w:tcW w:type="dxa" w:w="15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0000897423-15-000038</w:t>
            </w:r>
          </w:p>
        </w:tc>
        <w:tc>
          <w:tcPr>
            <w:tcW w:type="dxa" w:w="21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B91C1C"/>
                <w:sz w:val="13"/>
                <w:szCs w:val="13"/>
              </w:rPr>
              <w:t xml:space="preserve">7 YRS STALE</w:t>
            </w:r>
          </w:p>
        </w:tc>
        <w:tc>
          <w:tcPr>
            <w:tcW w:type="dxa" w:w="4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Reports 257M shares (2016). Actual: 230.75M. 10.2% undocumented reduction</w:t>
            </w:r>
          </w:p>
        </w:tc>
      </w:tr>
      <w:tr>
        <w:tc>
          <w:tcPr>
            <w:tcW w:type="dxa" w:w="11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CORRESP</w:t>
            </w:r>
          </w:p>
        </w:tc>
        <w:tc>
          <w:tcPr>
            <w:tcW w:type="dxa" w:w="15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Last: ~2009</w:t>
            </w:r>
          </w:p>
        </w:tc>
        <w:tc>
          <w:tcPr>
            <w:tcW w:type="dxa" w:w="21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B91C1C"/>
                <w:sz w:val="13"/>
                <w:szCs w:val="13"/>
              </w:rPr>
              <w:t xml:space="preserve">ZERO</w:t>
            </w:r>
          </w:p>
        </w:tc>
        <w:tc>
          <w:tcPr>
            <w:tcW w:type="dxa" w:w="4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~14-year gap. No SEC challenge to any Swoosh or 10b5-1 disclosure</w:t>
            </w:r>
          </w:p>
        </w:tc>
      </w:tr>
      <w:tr>
        <w:tc>
          <w:tcPr>
            <w:tcW w:type="dxa" w:w="11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Annual Meeting</w:t>
            </w:r>
          </w:p>
        </w:tc>
        <w:tc>
          <w:tcPr>
            <w:tcW w:type="dxa" w:w="155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Sep 12, 2023</w:t>
            </w:r>
          </w:p>
        </w:tc>
        <w:tc>
          <w:tcPr>
            <w:tcW w:type="dxa" w:w="21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92400E"/>
                <w:sz w:val="13"/>
                <w:szCs w:val="13"/>
              </w:rPr>
              <w:t xml:space="preserve">ISS IMPACT</w:t>
            </w:r>
          </w:p>
        </w:tc>
        <w:tc>
          <w:tcPr>
            <w:tcW w:type="dxa" w:w="456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Rogers 35.5% withheld. Class A: 0% withheld. Policy change produces measurable dissent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1"/>
        <w:szCs w:val="11"/>
      </w:rPr>
      <w:t xml:space="preserve">Nike Inc. (NKE) — Swoosh LLC Full-Corpus FY2023 — ISS Policy Impact Year</w:t>
    </w:r>
    <w:r>
      <w:rPr>
        <w:rFonts w:ascii="Arial" w:cs="Arial" w:eastAsia="Arial" w:hAnsi="Arial"/>
        <w:color w:val="999999"/>
        <w:sz w:val="11"/>
        <w:szCs w:val="11"/>
      </w:rPr>
      <w:ptab w:alignment="right" w:relativeTo="margin" w:leader="none"/>
    </w:r>
    <w:r>
      <w:rPr>
        <w:rFonts w:ascii="Arial" w:cs="Arial" w:eastAsia="Arial" w:hAnsi="Arial"/>
        <w:color w:val="999999"/>
        <w:sz w:val="11"/>
        <w:szCs w:val="11"/>
      </w:rPr>
      <w:t xml:space="preserve">Page </w:t>
    </w:r>
    <w:r>
      <w:rPr>
        <w:rFonts w:ascii="Arial" w:cs="Arial" w:eastAsia="Arial" w:hAnsi="Arial"/>
        <w:color w:val="999999"/>
        <w:sz w:val="11"/>
        <w:szCs w:val="1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4" w:space="4"/>
      </w:pBdr>
    </w:pPr>
    <w:r>
      <w:rPr>
        <w:rFonts w:ascii="Arial" w:cs="Arial" w:eastAsia="Arial" w:hAnsi="Arial"/>
        <w:b/>
        <w:bCs/>
        <w:color w:val="0B2545"/>
        <w:sz w:val="12"/>
        <w:szCs w:val="12"/>
      </w:rPr>
      <w:t xml:space="preserve">ISS GOVERNANCE ALERT  |  FULL-CORPUS EDGAR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50"/>
      <w:outlineLvl w:val="0"/>
    </w:pPr>
    <w:rPr>
      <w:rFonts w:ascii="Arial" w:cs="Arial" w:eastAsia="Arial" w:hAnsi="Arial"/>
      <w:b/>
      <w:bCs/>
      <w:color w:val="0B2545"/>
      <w:sz w:val="24"/>
      <w:szCs w:val="24"/>
    </w:rPr>
  </w:style>
  <w:style w:type="paragraph" w:styleId="Heading2">
    <w:name w:val="Heading 2"/>
    <w:basedOn w:val="Normal"/>
    <w:next w:val="Normal"/>
    <w:qFormat/>
    <w:pPr>
      <w:spacing w:before="220" w:after="120"/>
      <w:outlineLvl w:val="1"/>
    </w:pPr>
    <w:rPr>
      <w:rFonts w:ascii="Arial" w:cs="Arial" w:eastAsia="Arial" w:hAnsi="Arial"/>
      <w:b/>
      <w:bCs/>
      <w:color w:val="0B254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2026-03-11T10:34:27.346Z</dcterms:created>
  <dcterms:modified xsi:type="dcterms:W3CDTF">2026-03-11T10:34:27.347Z</dcterms:modified>
</cp:coreProperties>
</file>

<file path=docProps/custom.xml><?xml version="1.0" encoding="utf-8"?>
<Properties xmlns="http://schemas.openxmlformats.org/officeDocument/2006/custom-properties" xmlns:vt="http://schemas.openxmlformats.org/officeDocument/2006/docPropsVTypes"/>
</file>