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35"/>
        <w:jc w:val="center"/>
      </w:pPr>
      <w:r>
        <w:rPr>
          <w:rFonts w:ascii="Arial" w:cs="Arial" w:eastAsia="Arial" w:hAnsi="Arial"/>
          <w:b/>
          <w:bCs/>
          <w:color w:val="0F1B2D"/>
          <w:sz w:val="40"/>
          <w:szCs w:val="40"/>
        </w:rPr>
        <w:t xml:space="preserve">FULL-CORPUS EVIDENCE BUNDLE</w:t>
      </w:r>
    </w:p>
    <w:p>
      <w:pPr>
        <w:spacing w:after="15"/>
        <w:jc w:val="center"/>
      </w:pPr>
      <w:r>
        <w:rPr>
          <w:rFonts w:ascii="Arial" w:cs="Arial" w:eastAsia="Arial" w:hAnsi="Arial"/>
          <w:color w:val="4B5563"/>
          <w:sz w:val="22"/>
          <w:szCs w:val="22"/>
        </w:rPr>
        <w:t xml:space="preserve">SEC DIVISION OF ENFORCEMENT</w:t>
      </w:r>
    </w:p>
    <w:p>
      <w:pPr>
        <w:spacing w:after="80"/>
        <w:jc w:val="center"/>
      </w:pPr>
      <w:r>
        <w:rPr>
          <w:rFonts w:ascii="Arial" w:cs="Arial" w:eastAsia="Arial" w:hAnsi="Arial"/>
          <w:b/>
          <w:bCs/>
          <w:color w:val="B91C1C"/>
          <w:sz w:val="19"/>
          <w:szCs w:val="19"/>
        </w:rPr>
        <w:t xml:space="preserve">Fiscal Year 2023 — The Regulatory Inflection Year</w:t>
      </w:r>
    </w:p>
    <w:p>
      <w:pPr>
        <w:pBdr>
          <w:top w:val="single" w:color="0F1B2D" w:sz="4" w:space="5"/>
          <w:bottom w:val="single" w:color="0F1B2D" w:sz="4" w:space="5"/>
        </w:pBdr>
        <w:spacing w:before="100" w:after="100"/>
        <w:jc w:val="center"/>
      </w:pPr>
      <w:r>
        <w:rPr>
          <w:rFonts w:ascii="Arial" w:cs="Arial" w:eastAsia="Arial" w:hAnsi="Arial"/>
          <w:b/>
          <w:bCs/>
          <w:color w:val="0F1B2D"/>
          <w:sz w:val="30"/>
          <w:szCs w:val="30"/>
        </w:rPr>
        <w:t xml:space="preserve">NIKE, INC. (NKE) — CIK 0000320187</w:t>
      </w:r>
    </w:p>
    <w:p>
      <w:pPr>
        <w:spacing w:after="15"/>
        <w:jc w:val="center"/>
      </w:pPr>
      <w:r>
        <w:rPr>
          <w:rFonts w:ascii="Arial" w:cs="Arial" w:eastAsia="Arial" w:hAnsi="Arial"/>
          <w:color w:val="4B5563"/>
          <w:sz w:val="17"/>
          <w:szCs w:val="17"/>
        </w:rPr>
        <w:t xml:space="preserve">June 1, 2022 – May 31, 2023 | SEC 10b5-1 Rules Effective Apr 1, 2023 | Prepared: March 11, 2026</w:t>
      </w:r>
    </w:p>
    <w:p>
      <w:pPr>
        <w:spacing w:after="160"/>
        <w:jc w:val="center"/>
      </w:pPr>
      <w:r>
        <w:rPr>
          <w:rFonts w:ascii="Arial" w:cs="Arial" w:eastAsia="Arial" w:hAnsi="Arial"/>
          <w:b/>
          <w:bCs/>
          <w:color w:val="B91C1C"/>
          <w:sz w:val="14"/>
          <w:szCs w:val="14"/>
        </w:rPr>
        <w:t xml:space="preserve">CLASSIFICATION: PRIVILEGED &amp; CONFIDENTIAL</w:t>
      </w:r>
    </w:p>
    <w:p>
      <w:r>
        <w:br w:type="page"/>
      </w:r>
    </w:p>
    <w:p>
      <w:pPr>
        <w:pStyle w:val="Heading1"/>
      </w:pPr>
      <w:r>
        <w:t xml:space="preserve">I. Executive Summary: Eight FY2023-Specific Findings</w:t>
      </w:r>
    </w:p>
    <w:p>
      <w:pPr>
        <w:spacing w:before="0" w:after="105"/>
      </w:pPr>
      <w:r>
        <w:rPr>
          <w:rFonts w:ascii="Arial" w:cs="Arial" w:eastAsia="Arial" w:hAnsi="Arial"/>
          <w:b w:val="false"/>
          <w:bCs w:val="false"/>
          <w:i w:val="false"/>
          <w:iCs w:val="false"/>
          <w:color w:val="1A1A1A"/>
          <w:sz w:val="19"/>
          <w:szCs w:val="19"/>
        </w:rPr>
        <w:t xml:space="preserve">FY2023 is the regulatory inflection year. The SEC’s final 10b5-1 rules (adopted December 14, 2022) created mandatory disclosure mechanisms that first applied to Nike during this fiscal year. This bundle identifies eight findings, four entirely NEW to FY2023:</w:t>
      </w:r>
    </w:p>
    <w:p>
      <w:pPr>
        <w:spacing w:before="0" w:after="105"/>
      </w:pPr>
      <w:r>
        <w:rPr>
          <w:rFonts w:ascii="Arial" w:cs="Arial" w:eastAsia="Arial" w:hAnsi="Arial"/>
          <w:b w:val="false"/>
          <w:bCs w:val="false"/>
          <w:i w:val="false"/>
          <w:iCs w:val="false"/>
          <w:color w:val="1A1A1A"/>
          <w:sz w:val="19"/>
          <w:szCs w:val="19"/>
        </w:rPr>
        <w:t xml:space="preserve">NEW FINDING 1 — Minimal-Compliance Transition: Nike adopted every new 10b5-1 requirement at its exact legal deadline — never earlier. The Form 4 checkbox appeared April 6, 2023 (5 days after the April 1 effective date). The proxy filed July 20, 2023 (3+ months post-rule) contained ZERO voluntary 10b5-1 narrative. Exhibit 19 was correctly deferred to FY2024. The pattern is precise legal compliance with zero voluntary enhancement.</w:t>
      </w:r>
    </w:p>
    <w:p>
      <w:pPr>
        <w:spacing w:before="0" w:after="105"/>
      </w:pPr>
      <w:r>
        <w:rPr>
          <w:rFonts w:ascii="Arial" w:cs="Arial" w:eastAsia="Arial" w:hAnsi="Arial"/>
          <w:b w:val="false"/>
          <w:bCs w:val="false"/>
          <w:i w:val="false"/>
          <w:iCs w:val="false"/>
          <w:color w:val="1A1A1A"/>
          <w:sz w:val="19"/>
          <w:szCs w:val="19"/>
        </w:rPr>
        <w:t xml:space="preserve">NEW FINDING 2 — Swoosh LLC First Pro Rata Distribution: On July 12, 2023, Swoosh distributed 2.75M Class A shares to members (233.5M → 230.75M). This is the first identified Swoosh distribution in the EDGAR corpus. Signed by Raymond Durham, VP. No 13D/A filed. Cumulative share reduction from the 2016 13D level is now 10.2%.</w:t>
      </w:r>
    </w:p>
    <w:p>
      <w:pPr>
        <w:spacing w:before="0" w:after="105"/>
      </w:pPr>
      <w:r>
        <w:rPr>
          <w:rFonts w:ascii="Arial" w:cs="Arial" w:eastAsia="Arial" w:hAnsi="Arial"/>
          <w:b w:val="false"/>
          <w:bCs w:val="false"/>
          <w:i w:val="false"/>
          <w:iCs w:val="false"/>
          <w:color w:val="1A1A1A"/>
          <w:sz w:val="19"/>
          <w:szCs w:val="19"/>
        </w:rPr>
        <w:t xml:space="preserve">NEW FINDING 3 — Section 16(a) Restoration Names Swan: The FY2023 proxy restored the delinquency section (p.67) after its one-year FY2022 disappearance. The single disclosure: Robert Swan’s amended Form 3 (filed June 22, 2023, correcting omitted indirect holdings from his September 2022 initial filing). Administrative, not transactional.</w:t>
      </w:r>
    </w:p>
    <w:p>
      <w:pPr>
        <w:spacing w:before="0" w:after="105"/>
      </w:pPr>
      <w:r>
        <w:rPr>
          <w:rFonts w:ascii="Arial" w:cs="Arial" w:eastAsia="Arial" w:hAnsi="Arial"/>
          <w:b w:val="false"/>
          <w:bCs w:val="false"/>
          <w:i w:val="false"/>
          <w:iCs w:val="false"/>
          <w:color w:val="1A1A1A"/>
          <w:sz w:val="19"/>
          <w:szCs w:val="19"/>
        </w:rPr>
        <w:t xml:space="preserve">NEW FINDING 4 — ISS Policy Change Produces 35.5% Withhold: ISS’s February 2023 removal of the pre-2015 IPO dual-class exemption produced John Rogers Jr.’s 35.5% withheld votes at the September 2023 meeting — the highest director opposition in Nike history. The 10-K’s risk factors contain no dual-class governance risk disclosure.</w:t>
      </w:r>
    </w:p>
    <w:p>
      <w:pPr>
        <w:spacing w:before="0" w:after="105"/>
      </w:pPr>
      <w:r>
        <w:rPr>
          <w:rFonts w:ascii="Arial" w:cs="Arial" w:eastAsia="Arial" w:hAnsi="Arial"/>
          <w:b w:val="false"/>
          <w:bCs w:val="false"/>
          <w:i w:val="false"/>
          <w:iCs w:val="false"/>
          <w:color w:val="1A1A1A"/>
          <w:sz w:val="19"/>
          <w:szCs w:val="19"/>
        </w:rPr>
        <w:t xml:space="preserve">PERSISTENT FINDINGS: (5) 10-K risk factors STILL exclude dual-class/Swoosh/ITP for 5th consecutive year; (6) Proxy contains zero 10b5-1 narrative for 5th year; (7) ~14-year SEC comment letter gap; (8) CDA strategy reversal (wholesale restoration to Foot Locker/Macy’s/DSW) not disclosed as risk factor or strategic shift.</w:t>
      </w:r>
    </w:p>
    <w:p>
      <w:r>
        <w:br w:type="page"/>
      </w:r>
    </w:p>
    <w:p>
      <w:pPr>
        <w:pStyle w:val="Heading1"/>
      </w:pPr>
      <w:r>
        <w:t xml:space="preserve">II. Evidence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
        <w:gridCol w:w="800"/>
        <w:gridCol w:w="880"/>
        <w:gridCol w:w="1080"/>
        <w:gridCol w:w="4500"/>
        <w:gridCol w:w="1730"/>
      </w:tblGrid>
      <w:tr>
        <w:tc>
          <w:tcPr>
            <w:tcW w:type="dxa" w:w="37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E#</w:t>
            </w:r>
          </w:p>
        </w:tc>
        <w:tc>
          <w:tcPr>
            <w:tcW w:type="dxa" w:w="80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TYPE</w:t>
            </w:r>
          </w:p>
        </w:tc>
        <w:tc>
          <w:tcPr>
            <w:tcW w:type="dxa" w:w="88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DATE</w:t>
            </w:r>
          </w:p>
        </w:tc>
        <w:tc>
          <w:tcPr>
            <w:tcW w:type="dxa" w:w="108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ACCESSION</w:t>
            </w:r>
          </w:p>
        </w:tc>
        <w:tc>
          <w:tcPr>
            <w:tcW w:type="dxa" w:w="450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DESCRIPTION</w:t>
            </w:r>
          </w:p>
        </w:tc>
        <w:tc>
          <w:tcPr>
            <w:tcW w:type="dxa" w:w="1730"/>
            <w:tcBorders>
              <w:top w:val="single" w:color="AAAAAA" w:sz="1"/>
              <w:left w:val="single" w:color="AAAAAA" w:sz="1"/>
              <w:bottom w:val="single" w:color="AAAAAA" w:sz="1"/>
              <w:right w:val="single" w:color="AAAAAA" w:sz="1"/>
            </w:tcBorders>
            <w:shd w:fill="0F1B2D" w:val="clear"/>
            <w:tcMar>
              <w:top w:type="dxa" w:w="42"/>
              <w:left w:type="dxa" w:w="75"/>
              <w:bottom w:type="dxa" w:w="42"/>
              <w:right w:type="dxa" w:w="75"/>
            </w:tcMar>
          </w:tcPr>
          <w:p>
            <w:r>
              <w:rPr>
                <w:rFonts w:ascii="Arial" w:cs="Arial" w:eastAsia="Arial" w:hAnsi="Arial"/>
                <w:b/>
                <w:bCs/>
                <w:color w:val="FFFFFF"/>
                <w:sz w:val="13"/>
                <w:szCs w:val="13"/>
              </w:rPr>
              <w:t xml:space="preserve">FINDING</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10-K</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7/20/23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0000320187-23-000039</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FY2023 annual. Risk factors STILL ZERO dual-class/ITP. No Exhibit 19 (correctly deferred). No CDA reversal risk. Part III inc by ref</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5</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E-2</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10-Q Q1</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~10/6/22</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0000320187-22-000058</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Inventory $9,662M (+44%) — peak. Zero ITP/10b5-1 references</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Context</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E-3</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10-Q Q2</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1/5/23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0000320187-23-000003</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Inventory $9,326M. “Higher markdowns.” Gross margin −30bps. Zero ITP</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Context</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E-4</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10-Q Q3</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~4/6/23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0000320187-23-000013</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Inventory $8,900M. Margin −330bps. FIRST filing post-10b5-1 rule. No Item 408(a) yet (not required)</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1</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E-5</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DEF 14A</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7/20/23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0000320187-23-000040</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Proxy. §16(a) RESTORED (p.67): Swan amended Form 3. Zero 10b5-1 narrative (5TH YEAR). Swoosh undisclosed. Say-on-pay ~88%. Donahoe $32.8M</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3,6</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E-6</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Form 4</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~4/6/23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Parker filing</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FIRST 10b5-1 CHECKBOX. Schema X0508. &lt;aff10b5One&gt;1&lt;/aff10b5One&gt;. 110K options exercised, sold ~$119.57</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1</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E-7</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Form 4</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FY2023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Multiple Parker</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Parker: ~$44.2M in 4 transactions (Apr–Oct 2023). All 10b5-1 confirmed post-Apr. Cumulative FY19–23: ~$465M+</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1</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E-8</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Form 4</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7/12/23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Swoosh LLC</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FIRST SWOOSH DISTRIBUTION: 2.75M Class A shares. 233.5M→230.75M. R. Durham, VP. No 13D/A</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2</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E-9</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Form 3/A</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6/22/23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Swan amended</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Swan corrects omitted indirect holdings. 8 months post-initial. Triggers §16(a) proxy disclosure</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3</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E-10</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SC 13D</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6/30/15</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0000897423-15-000038</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Swoosh 13D. Last amended June 2016. NOW 7 YEARS STALE. 10.2% cumulative share reduction undocumented</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2</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E-11</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8-K</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9/12/23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0000320187-23-000045</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FY2023 annual meeting. Rogers 35.5% withheld. All Class A: 304M for / 0 withheld. ISS policy impact</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4</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E-12</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8-K</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5/24/23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0000320187-23-000020</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Campion ceases COO. Friend absorbs operations. COO eliminated. Not framed as restructuring in 8-K</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Context</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E-13</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CORRESP</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~2009</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Last known</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~14-year SEC correspondence gap. ~4.7x SOX §408 triennial requirement</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7</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E-14</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S-8</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7/20/23</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0001193125-23-190552</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11M ESPP shares registered. Filed same day as 10-K/proxy</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Context</w:t>
            </w:r>
          </w:p>
        </w:tc>
      </w:tr>
      <w:tr>
        <w:tc>
          <w:tcPr>
            <w:tcW w:type="dxa" w:w="37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1A1A1A"/>
                <w:sz w:val="13"/>
                <w:szCs w:val="13"/>
              </w:rPr>
              <w:t xml:space="preserve">E-15</w:t>
            </w:r>
          </w:p>
        </w:tc>
        <w:tc>
          <w:tcPr>
            <w:tcW w:type="dxa" w:w="8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Litigation</w:t>
            </w:r>
          </w:p>
        </w:tc>
        <w:tc>
          <w:tcPr>
            <w:tcW w:type="dxa" w:w="8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2024</w:t>
            </w:r>
          </w:p>
        </w:tc>
        <w:tc>
          <w:tcPr>
            <w:tcW w:type="dxa" w:w="108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D.Or. 24-cv-00974</w:t>
            </w:r>
          </w:p>
        </w:tc>
        <w:tc>
          <w:tcPr>
            <w:tcW w:type="dxa" w:w="450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val="false"/>
                <w:bCs w:val="false"/>
                <w:color w:val="1A1A1A"/>
                <w:sz w:val="13"/>
                <w:szCs w:val="13"/>
              </w:rPr>
              <w:t xml:space="preserve">In Re Nike Securities Litigation. Class period encompasses FY2023. $245M insider sales during class period. CDA misrepresentation alleged</w:t>
            </w:r>
          </w:p>
        </w:tc>
        <w:tc>
          <w:tcPr>
            <w:tcW w:type="dxa" w:w="1730"/>
            <w:tcBorders>
              <w:top w:val="single" w:color="AAAAAA" w:sz="1"/>
              <w:left w:val="single" w:color="AAAAAA" w:sz="1"/>
              <w:bottom w:val="single" w:color="AAAAAA" w:sz="1"/>
              <w:right w:val="single" w:color="AAAAAA" w:sz="1"/>
            </w:tcBorders>
            <w:tcMar>
              <w:top w:type="dxa" w:w="42"/>
              <w:left w:type="dxa" w:w="75"/>
              <w:bottom w:type="dxa" w:w="42"/>
              <w:right w:type="dxa" w:w="75"/>
            </w:tcMar>
          </w:tcPr>
          <w:p>
            <w:r>
              <w:rPr>
                <w:rFonts w:ascii="Arial" w:cs="Arial" w:eastAsia="Arial" w:hAnsi="Arial"/>
                <w:b/>
                <w:bCs/>
                <w:color w:val="0F1B2D"/>
                <w:sz w:val="13"/>
                <w:szCs w:val="13"/>
              </w:rPr>
              <w:t xml:space="preserve">8</w:t>
            </w:r>
          </w:p>
        </w:tc>
      </w:tr>
    </w:tbl>
    <w:p>
      <w:r>
        <w:br w:type="page"/>
      </w:r>
    </w:p>
    <w:p>
      <w:pPr>
        <w:pStyle w:val="Heading1"/>
      </w:pPr>
      <w:r>
        <w:t xml:space="preserve">III. Cross-Referencing — 8 Systematic Checks (Including New 10b5-1 Compliance Check)</w:t>
      </w:r>
    </w:p>
    <w:p>
      <w:pPr>
        <w:pStyle w:val="Heading2"/>
      </w:pPr>
      <w:r>
        <w:t xml:space="preserve">A) Compensation: PASSED</w:t>
      </w:r>
    </w:p>
    <w:p>
      <w:pPr>
        <w:spacing w:before="0" w:after="105"/>
      </w:pPr>
      <w:r>
        <w:rPr>
          <w:rFonts w:ascii="Arial" w:cs="Arial" w:eastAsia="Arial" w:hAnsi="Arial"/>
          <w:b w:val="false"/>
          <w:bCs w:val="false"/>
          <w:i w:val="false"/>
          <w:iCs w:val="false"/>
          <w:color w:val="1A1A1A"/>
          <w:sz w:val="19"/>
          <w:szCs w:val="19"/>
        </w:rPr>
        <w:t xml:space="preserve">Donahoe $32.8M and Parker $3.3M consistent across 8-K, proxy SCT, and CD&amp;A. Parker’s Form 4 dispositions ($44.2M) represent a 13:1 monetization-to-compensation ratio — lower than FY2022’s 25:1 due to lower stock prices, but structurally identical.</w:t>
      </w:r>
    </w:p>
    <w:p>
      <w:pPr>
        <w:pStyle w:val="Heading2"/>
      </w:pPr>
      <w:r>
        <w:t xml:space="preserve">B) Beneficial Ownership: DISTRIBUTION ANOMALY</w:t>
      </w:r>
    </w:p>
    <w:p>
      <w:pPr>
        <w:spacing w:before="0" w:after="105"/>
      </w:pPr>
      <w:r>
        <w:rPr>
          <w:rFonts w:ascii="Arial" w:cs="Arial" w:eastAsia="Arial" w:hAnsi="Arial"/>
          <w:b w:val="false"/>
          <w:bCs w:val="false"/>
          <w:i w:val="false"/>
          <w:iCs w:val="false"/>
          <w:color w:val="1A1A1A"/>
          <w:sz w:val="19"/>
          <w:szCs w:val="19"/>
        </w:rPr>
        <w:t xml:space="preserve">Swoosh LLC’s 2.75M-share distribution (Jul 12) reduced holdings to 230.75M, but the FY2023 proxy (filed Jul 20) likely reflects the pre-distribution 233.5M figure due to record date timing. The 13D reports 257M shares (2016). Cumulative undocumented reduction: 26.25M shares (10.2%). No 13D/A filed.</w:t>
      </w:r>
    </w:p>
    <w:p>
      <w:pPr>
        <w:pStyle w:val="Heading2"/>
      </w:pPr>
      <w:r>
        <w:t xml:space="preserve">C) Related Party: GAP PERSISTS</w:t>
      </w:r>
    </w:p>
    <w:p>
      <w:pPr>
        <w:spacing w:before="0" w:after="105"/>
      </w:pPr>
      <w:r>
        <w:rPr>
          <w:rFonts w:ascii="Arial" w:cs="Arial" w:eastAsia="Arial" w:hAnsi="Arial"/>
          <w:b w:val="false"/>
          <w:bCs w:val="false"/>
          <w:i w:val="false"/>
          <w:iCs w:val="false"/>
          <w:color w:val="1A1A1A"/>
          <w:sz w:val="19"/>
          <w:szCs w:val="19"/>
        </w:rPr>
        <w:t xml:space="preserve">Knight $500K salary consistent. Swoosh governance loop undisclosed in proxy Related Party section. Campion’s May 2023 role change — from COO to “Managing Director, Strategic Business Ventures” — effectively a demotion, yet the 8-K characterizes it neutrally. No separation agreement filed.</w:t>
      </w:r>
    </w:p>
    <w:p>
      <w:pPr>
        <w:pStyle w:val="Heading2"/>
      </w:pPr>
      <w:r>
        <w:t xml:space="preserve">D) ITP Cross-Check: IMPROVED (Mandatory Only)</w:t>
      </w:r>
    </w:p>
    <w:p>
      <w:pPr>
        <w:spacing w:before="0" w:after="105"/>
      </w:pPr>
      <w:r>
        <w:rPr>
          <w:rFonts w:ascii="Arial" w:cs="Arial" w:eastAsia="Arial" w:hAnsi="Arial"/>
          <w:b w:val="false"/>
          <w:bCs w:val="false"/>
          <w:i w:val="false"/>
          <w:iCs w:val="false"/>
          <w:color w:val="1A1A1A"/>
          <w:sz w:val="19"/>
          <w:szCs w:val="19"/>
        </w:rPr>
        <w:t xml:space="preserve">Form 4 checkbox: confirmed post-April 2023. Proxy: ZERO 10b5-1 narrative. 10-K: ZERO ITP references. 10-Qs: ZERO trading arrangement disclosures (not yet required). Exhibit 19: correctly deferred to FY2024. Overall: the new mandatory Form 4 mechanism works, but Nike’s voluntary disclosure posture is unchanged.</w:t>
      </w:r>
    </w:p>
    <w:p>
      <w:pPr>
        <w:pStyle w:val="Heading2"/>
      </w:pPr>
      <w:r>
        <w:t xml:space="preserve">E) Timeline Integrity: PASSED</w:t>
      </w:r>
    </w:p>
    <w:p>
      <w:pPr>
        <w:spacing w:before="0" w:after="105"/>
      </w:pPr>
      <w:r>
        <w:rPr>
          <w:rFonts w:ascii="Arial" w:cs="Arial" w:eastAsia="Arial" w:hAnsi="Arial"/>
          <w:b w:val="false"/>
          <w:bCs w:val="false"/>
          <w:i w:val="false"/>
          <w:iCs w:val="false"/>
          <w:color w:val="1A1A1A"/>
          <w:sz w:val="19"/>
          <w:szCs w:val="19"/>
        </w:rPr>
        <w:t xml:space="preserve">Filing dates consistent. 10-K and proxy both filed July 20. Swan’s amended Form 3 (June 22) predates proxy filing. Form 4 checkbox compliance began within 5 days of effective date. No backdating or timing anomalies.</w:t>
      </w:r>
    </w:p>
    <w:p>
      <w:pPr>
        <w:pStyle w:val="Heading2"/>
      </w:pPr>
      <w:r>
        <w:t xml:space="preserve">F) SEC Engagement: FAILED (Year ~14)</w:t>
      </w:r>
    </w:p>
    <w:p>
      <w:pPr>
        <w:spacing w:before="0" w:after="105"/>
      </w:pPr>
      <w:r>
        <w:rPr>
          <w:rFonts w:ascii="Arial" w:cs="Arial" w:eastAsia="Arial" w:hAnsi="Arial"/>
          <w:b w:val="false"/>
          <w:bCs w:val="false"/>
          <w:i w:val="false"/>
          <w:iCs w:val="false"/>
          <w:color w:val="1A1A1A"/>
          <w:sz w:val="19"/>
          <w:szCs w:val="19"/>
        </w:rPr>
        <w:t xml:space="preserve">No comment letter correspondence identified. Gap extends to approximately 14 years from the last confirmed substantive exchange.</w:t>
      </w:r>
    </w:p>
    <w:p>
      <w:pPr>
        <w:pStyle w:val="Heading2"/>
      </w:pPr>
      <w:r>
        <w:t xml:space="preserve">G) §16(a) Delinquency: RESOLVED — Swan Administrative Error</w:t>
      </w:r>
    </w:p>
    <w:p>
      <w:pPr>
        <w:spacing w:before="0" w:after="105"/>
      </w:pPr>
      <w:r>
        <w:rPr>
          <w:rFonts w:ascii="Arial" w:cs="Arial" w:eastAsia="Arial" w:hAnsi="Arial"/>
          <w:b w:val="false"/>
          <w:bCs w:val="false"/>
          <w:i w:val="false"/>
          <w:iCs w:val="false"/>
          <w:color w:val="1A1A1A"/>
          <w:sz w:val="19"/>
          <w:szCs w:val="19"/>
        </w:rPr>
        <w:t xml:space="preserve">FY2023 proxy restored the section, naming Swan’s amended Form 3 as the sole delinquency. Administrative (omitted indirect holdings), not transactional. The one-year FY2022 disappearance remains unexplained but FY2023 restoration suggests improved compliance attention.</w:t>
      </w:r>
    </w:p>
    <w:p>
      <w:pPr>
        <w:pStyle w:val="Heading2"/>
      </w:pPr>
      <w:r>
        <w:t xml:space="preserve">H) NEW: 10b5-1 Compliance Transition Check</w:t>
      </w:r>
    </w:p>
    <w:p>
      <w:pPr>
        <w:spacing w:before="0" w:after="105"/>
      </w:pPr>
      <w:r>
        <w:rPr>
          <w:rFonts w:ascii="Arial" w:cs="Arial" w:eastAsia="Arial" w:hAnsi="Arial"/>
          <w:b w:val="false"/>
          <w:bCs w:val="false"/>
          <w:i w:val="false"/>
          <w:iCs w:val="false"/>
          <w:color w:val="1A1A1A"/>
          <w:sz w:val="19"/>
          <w:szCs w:val="19"/>
        </w:rPr>
        <w:t xml:space="preserve">Pre-April 2023 Form 4s: EDGAR schema X0306, no &lt;aff10b5One&gt; element, 10b5-1 references in optional footnotes only. Post-April 2023 Form 4s: schema X0508, mandatory checkbox present. Parker’s first post-rule Form 4: ~April 6, 2023. The transition was technically seamless but reveals the magnitude of prior-year opacity: from 2019–2023, $420M+ in sales occurred under 10b5-1 plans that were invisible in all periodic filings. The checkbox retroactively validates years of inferential analysis.</w:t>
      </w:r>
    </w:p>
    <w:p>
      <w:r>
        <w:br w:type="page"/>
      </w:r>
    </w:p>
    <w:p>
      <w:pPr>
        <w:pStyle w:val="Heading1"/>
      </w:pPr>
      <w:r>
        <w:t xml:space="preserve">IV. Recommended Enforcement Actions</w:t>
      </w:r>
    </w:p>
    <w:p>
      <w:pPr>
        <w:pStyle w:val="Heading2"/>
      </w:pPr>
      <w:r>
        <w:t xml:space="preserve">Priority 1: Cumulative Parker Plan Subpoena (FY2019–FY2023)</w:t>
      </w:r>
    </w:p>
    <w:p>
      <w:pPr>
        <w:spacing w:before="0" w:after="105"/>
      </w:pPr>
      <w:r>
        <w:rPr>
          <w:rFonts w:ascii="Arial" w:cs="Arial" w:eastAsia="Arial" w:hAnsi="Arial"/>
          <w:b w:val="false"/>
          <w:bCs w:val="false"/>
          <w:i w:val="false"/>
          <w:iCs w:val="false"/>
          <w:color w:val="1A1A1A"/>
          <w:sz w:val="19"/>
          <w:szCs w:val="19"/>
        </w:rPr>
        <w:t xml:space="preserve">Parker’s cumulative dispositions now exceed $465M. The post-April 2023 checkbox confirms 10b5-1 usage. Subpoena all plans governing FY2019–FY2023 trades to determine: (a) adoption dates relative to MNPI awareness; (b) whether any plans were adopted/modified during blackout windows; (c) whether the December 2, 2019 blackout-period trade (the original Parker red flag) was governed by a pre-existing plan. Post-2023 filings reference a plan adopted November 7, 2023 — establish whether November adoption was the consistent pattern across all years.</w:t>
      </w:r>
    </w:p>
    <w:p>
      <w:pPr>
        <w:pStyle w:val="Heading2"/>
      </w:pPr>
      <w:r>
        <w:t xml:space="preserve">Priority 2: Swoosh 13D Amendment — 7 Years + Distribution</w:t>
      </w:r>
    </w:p>
    <w:p>
      <w:pPr>
        <w:spacing w:before="0" w:after="105"/>
      </w:pPr>
      <w:r>
        <w:rPr>
          <w:rFonts w:ascii="Arial" w:cs="Arial" w:eastAsia="Arial" w:hAnsi="Arial"/>
          <w:b w:val="false"/>
          <w:bCs w:val="false"/>
          <w:i w:val="false"/>
          <w:iCs w:val="false"/>
          <w:color w:val="1A1A1A"/>
          <w:sz w:val="19"/>
          <w:szCs w:val="19"/>
        </w:rPr>
        <w:t xml:space="preserve">The July 2023 distribution is the first identified Swoosh share movement in the EDGAR corpus. Combined with the March 2022 trust restructuring and cumulative 10.2% share reduction, the 2016 13D is now materially inaccurate on at least three dimensions: share count, trustee identity, and distribution pattern. Request determination of whether these collectively constitute “material changes” requiring amendment under Rule 13d-2.</w:t>
      </w:r>
    </w:p>
    <w:p>
      <w:pPr>
        <w:pStyle w:val="Heading2"/>
      </w:pPr>
      <w:r>
        <w:t xml:space="preserve">Priority 3: CDA Strategy Misrepresentation — Coordinate with Securities Fraud Plaintiffs</w:t>
      </w:r>
    </w:p>
    <w:p>
      <w:pPr>
        <w:spacing w:before="0" w:after="105"/>
      </w:pPr>
      <w:r>
        <w:rPr>
          <w:rFonts w:ascii="Arial" w:cs="Arial" w:eastAsia="Arial" w:hAnsi="Arial"/>
          <w:b w:val="false"/>
          <w:bCs w:val="false"/>
          <w:i w:val="false"/>
          <w:iCs w:val="false"/>
          <w:color w:val="1A1A1A"/>
          <w:sz w:val="19"/>
          <w:szCs w:val="19"/>
        </w:rPr>
        <w:t xml:space="preserve">The In Re Nike complaint alleges Donahoe and other officers made materially misleading statements about the CDA strategy’s success during the FY2023 class period while quietly restoring wholesale relationships (Foot Locker Mar 2023, Macy’s/DSW Jun 2023). The Q2 FY2023 earnings call included CFO Friend acknowledging “we’ve been starving the wholesale channel for six to eight quarters.” This admission, combined with the absence of CDA-related risk factors in the FY2023 10-K, is the evidentiary core of the securities fraud class action.</w:t>
      </w:r>
    </w:p>
    <w:p>
      <w:pPr>
        <w:pStyle w:val="Heading2"/>
      </w:pPr>
      <w:r>
        <w:t xml:space="preserve">Priority 4: ISS Policy Impact → SEC Triennial Review Trigger</w:t>
      </w:r>
    </w:p>
    <w:p>
      <w:pPr>
        <w:spacing w:before="0" w:after="105"/>
      </w:pPr>
      <w:r>
        <w:rPr>
          <w:rFonts w:ascii="Arial" w:cs="Arial" w:eastAsia="Arial" w:hAnsi="Arial"/>
          <w:b w:val="false"/>
          <w:bCs w:val="false"/>
          <w:i w:val="false"/>
          <w:iCs w:val="false"/>
          <w:color w:val="1A1A1A"/>
          <w:sz w:val="19"/>
          <w:szCs w:val="19"/>
        </w:rPr>
        <w:t xml:space="preserve">The 35.5% withhold vote for Rogers demonstrates that external governance pressure (ISS policy change) can generate measurable shareholder dissent even at dual-class companies. The SEC should initiate the overdue triennial review of Nike’s 10-K/proxy with specific attention to whether the absence of dual-class risk factors is adequate given: (a) ISS policy change; (b) &gt;35% withhold votes; (c) 7-year stale 13D; (d) active securities fraud litigation.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1"/>
        <w:szCs w:val="11"/>
      </w:rPr>
      <w:t xml:space="preserve">PRIVILEGED &amp; CONFIDENTIAL — Nike FY2023 Full-Corpus Evidence Bundle</w:t>
    </w:r>
    <w:r>
      <w:rPr>
        <w:rFonts w:ascii="Arial" w:cs="Arial" w:eastAsia="Arial" w:hAnsi="Arial"/>
        <w:color w:val="999999"/>
        <w:sz w:val="11"/>
        <w:szCs w:val="11"/>
      </w:rPr>
      <w:ptab w:alignment="right" w:relativeTo="margin" w:leader="none"/>
    </w:r>
    <w:r>
      <w:rPr>
        <w:rFonts w:ascii="Arial" w:cs="Arial" w:eastAsia="Arial" w:hAnsi="Arial"/>
        <w:color w:val="999999"/>
        <w:sz w:val="11"/>
        <w:szCs w:val="11"/>
      </w:rPr>
      <w:t xml:space="preserve">Page </w:t>
    </w:r>
    <w:r>
      <w:rPr>
        <w:rFonts w:ascii="Arial" w:cs="Arial" w:eastAsia="Arial" w:hAnsi="Arial"/>
        <w:color w:val="999999"/>
        <w:sz w:val="11"/>
        <w:szCs w:val="1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pPr>
    <w:r>
      <w:rPr>
        <w:rFonts w:ascii="Arial" w:cs="Arial" w:eastAsia="Arial" w:hAnsi="Arial"/>
        <w:b/>
        <w:bCs/>
        <w:color w:val="B91C1C"/>
        <w:sz w:val="12"/>
        <w:szCs w:val="12"/>
      </w:rPr>
      <w:t xml:space="preserve">SEC ENFORCEMENT TIP — FULL-CORPUS EDGAR AUDIT — FY2023 REGULATORY INFLECTION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0F1B2D"/>
      <w:sz w:val="26"/>
      <w:szCs w:val="26"/>
    </w:rPr>
  </w:style>
  <w:style w:type="paragraph" w:styleId="Heading2">
    <w:name w:val="Heading 2"/>
    <w:basedOn w:val="Normal"/>
    <w:next w:val="Normal"/>
    <w:qFormat/>
    <w:pPr>
      <w:spacing w:before="220" w:after="130"/>
      <w:outlineLvl w:val="1"/>
    </w:pPr>
    <w:rPr>
      <w:rFonts w:ascii="Arial" w:cs="Arial" w:eastAsia="Arial" w:hAnsi="Arial"/>
      <w:b/>
      <w:bCs/>
      <w:color w:val="0F1B2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2026-03-11T10:34:26.948Z</dcterms:created>
  <dcterms:modified xsi:type="dcterms:W3CDTF">2026-03-11T10:34:26.949Z</dcterms:modified>
</cp:coreProperties>
</file>

<file path=docProps/custom.xml><?xml version="1.0" encoding="utf-8"?>
<Properties xmlns="http://schemas.openxmlformats.org/officeDocument/2006/custom-properties" xmlns:vt="http://schemas.openxmlformats.org/officeDocument/2006/docPropsVTypes"/>
</file>