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0F1B2D"/>
          <w:sz w:val="30"/>
          <w:szCs w:val="30"/>
        </w:rPr>
        <w:t xml:space="preserve">FULL-CORPUS COMPARATIVE FORENSIC TIMELINE — FISCAL YEAR 2024</w:t>
      </w:r>
    </w:p>
    <w:p>
      <w:pPr>
        <w:spacing w:after="12"/>
        <w:jc w:val="center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THE CULMINATION YEAR: Exhibit 19 • CEO Termination • Securities Fraud • 8-Year Stale 13D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14"/>
          <w:szCs w:val="14"/>
        </w:rPr>
        <w:t xml:space="preserve">Nike Inc. (NKE) | CIK 0000320187 | FY Jun 1, 2023 – May 31, 2024 | Generated: March 12, 2026</w:t>
      </w:r>
    </w:p>
    <w:p>
      <w:pPr>
        <w:spacing w:before="25" w:after="30"/>
      </w:pPr>
      <w:r>
        <w:rPr>
          <w:rFonts w:ascii="Arial" w:cs="Arial" w:eastAsia="Arial" w:hAnsi="Arial"/>
          <w:b/>
          <w:bCs/>
          <w:color w:val="0F1B2D"/>
          <w:sz w:val="12"/>
          <w:szCs w:val="12"/>
        </w:rPr>
        <w:t xml:space="preserve">FLAGS  </w:t>
      </w:r>
      <w:r>
        <w:rPr>
          <w:rFonts w:ascii="Arial" w:cs="Arial" w:eastAsia="Arial" w:hAnsi="Arial"/>
          <w:color w:val="4B5563"/>
          <w:sz w:val="11"/>
          <w:szCs w:val="11"/>
        </w:rPr>
        <w:t xml:space="preserve">RED = NEW anomaly  |  AMBER = Procedural  |  GREEN = Compliant  |  GREY = Calendar  |  BLUE = Regulatory  |  GOLD = Item 408  |  PURPLE = Succession</w:t>
      </w:r>
    </w:p>
    <w:tbl>
      <w:tblPr>
        <w:tblW w:type="dxa" w:w="8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580"/>
        <w:gridCol w:w="2350"/>
        <w:gridCol w:w="2000"/>
        <w:gridCol w:w="2300"/>
        <w:gridCol w:w="500"/>
      </w:tblGrid>
      <w:tr>
        <w:trPr>
          <w:tblHeader/>
        </w:trP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DATE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FILING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PROXY / PERIODIC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FORM 4 / SECTION 16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GOVERNANCE / CORPORATE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FLAG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Jun 1, 2023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FY2024 begins. FIRST fiscal year requiring Exhibit 19. Donahoe final full year as CEO. Securities fraud class period active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0"/>
                <w:szCs w:val="10"/>
              </w:rPr>
              <w:t xml:space="preserve">GREY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Jul 12, 2023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Swoosh distributes 2.75M Class A shares. 233.5M→230.75M. NO 13D/A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~Jul 20, 2023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10-K/Proxy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FY2023 10-K + proxy. §16(a) restored (Swan). Zero ITP in proxy (5th yr). S-8: 11M ESPP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~Oct 5, 2023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10-Q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Q1 FY2024 10-Q. FIRST Item 408(a): Swan PURCHASE $1.5M; Matheson SELL 30K shares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0"/>
                <w:szCs w:val="10"/>
              </w:rPr>
              <w:t xml:space="preserve">GOLD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Nov 7, 2023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Parker adopts 10b5-1 plan: 617,941 shares (disclosed Q2 Item 408a). Open window adoption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0"/>
                <w:szCs w:val="10"/>
              </w:rPr>
              <w:t xml:space="preserve">GOLD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Dec 21, 2023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$2B RESTRUCTURING. $450–500M charges. ~1,600 layoffs. Stock −12% on Q2 earnings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~Jan 5,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10-Q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Q2 10-Q. Parker 617K-share plan disclosed. Campion departure in Item 5 (no 8-K)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0"/>
                <w:szCs w:val="10"/>
              </w:rPr>
              <w:t xml:space="preserve">GOLD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~Apr 4,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10-Q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Q3 10-Q. O’Neill SELL 138K; Nielsen SELL 468 shares. $403M restructuring charges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0"/>
                <w:szCs w:val="10"/>
              </w:rPr>
              <w:t xml:space="preserve">GOLD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Apr 5,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Campion departure effective. No standalone 8-K. No filed separation agreement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May 31,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FY2024 ends. Revenue $51.4B (+0.3%). NKE ~$95. Buybacks $4.3B. Parker cumulative: ~$508M+. ZERO officer purchases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Jun 1,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GRAF RESIGNS. 22-year tenure ends. Swan succeeds as Audit Chair Aug 1. SWOOSH CROSS-DIRECTORSHIP BROKEN at Audit Committee level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0"/>
                <w:szCs w:val="10"/>
              </w:rPr>
              <w:t xml:space="preserve">PURPLE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Jun 5,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Friend sells $889K. 22 DAYS before Q4 crash. Cited in securities fraud complaint as scienter evidence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Jun 20,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SECURITIES FRAUD COMPLAINT FILED (D.Or. 3:24-cv-00974). Names Donahoe/Friend/Parker/O’Neill/Campion. $245M insider sales. Class: Mar 21–Oct 24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Jun 27,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Q4 earnings. STOCK CRASHES 20% — LARGEST SINGLE-DAY DECLINE IN NIKE HISTORY. NKE $95→$75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Jun 28,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Swan purchases 2,941 shares @ $76.98. DAY AFTER CRASH. Only insider buying into collapse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0"/>
                <w:szCs w:val="10"/>
              </w:rPr>
              <w:t xml:space="preserve">GREEN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Jul 25,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10-K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FY2024 10-K (0000320187-24-000044). EXHIBIT 19 FILED FIRST TIME. Ex 19.1: ITP — pre-clearance by Chairman/CEO (SELF-APPROVAL LOOPHOLE). Ex 19.2: Blackout policy. Item 408(b): ITP confirmed. Risk factors STILL exclude dual-class. Securities fraud NOT specifically disclosed (filed 5 weeks earlier)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Jul 25,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DEF 14A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FY2024 proxy (0000320187-24-000045). §16(a): Nielsen. Say-on-pay 83.3% (−5pts). Rogers 40% withheld (2nd yr). PSU payout: 0%. Donahoe $29.2M. 5 proposals defeated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Sep 10,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FY2024 annual meeting. Rogers 40% withheld again. Say-on-pay 83.3%. 5 proposals all defeated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Sep 18,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BYLAWS COMPREHENSIVELY REWRITTEN (0000320187-24-000058). Anti-activist provisions. Officer responsibility “clarifications.” Filed ONE DAY before CEO firing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Sep 19,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CEO TRANSITION (0000320187-24-000053). Donahoe out. Hill in (effective Oct 14). $27M+ year-one package. Neither offer letter nor separation agreement filed as exhibit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9FE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0"/>
                <w:szCs w:val="10"/>
              </w:rPr>
              <w:t xml:space="preserve">PURPLE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Oct 14, 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3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Hill files Form 3: ZERO SHARES OWNED. 32-year veteran returns with no financial stake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~2012–2024</w:t>
            </w:r>
          </w:p>
        </w:tc>
        <w:tc>
          <w:tcPr>
            <w:tcW w:type="dxa" w:w="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CORRESP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spacing w:before="4" w:after="4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~12–13 YEAR SEC COMMENT LETTER GAP despite CEO transition, securities fraud, first Exhibit 19, $4.3B buybacks, 8-year stale 13D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40"/>
              <w:left w:type="dxa" w:w="65"/>
              <w:bottom w:type="dxa" w:w="40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Critical Convergence Points — FY2024-Specific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1"/>
          <w:szCs w:val="21"/>
        </w:rPr>
        <w:t xml:space="preserve">Convergence 1: July 25, 2024 — Five Years of Opacity Resolved in One Day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The simultaneous filing of the 10-K (with Exhibit 19) and proxy constitutes the most disclosure-dense moment in the six-year investigation. Exhibit 19.2 reveals Parker’s $508M+ in cumulative sales were pre-cleared through a self-approval process. The proxy shows 0% PSU payout, 83.3% say-on-pay, and Rogers’ 40% withheld. Five years of analytical inference was resolved — and confirmed — by two exhibits.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1"/>
          <w:szCs w:val="21"/>
        </w:rPr>
        <w:t xml:space="preserve">Convergence 2: September 18–19, 2024 — Bylaws-Then-CEO-Firing Sequence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The comprehensive bylaws rewrite (anti-activist provisions, officer responsibility “clarifications”) was filed one day before the CEO transition announcement. The governance framework for Hill’s appointment was locked in while the transition was non-public. Neither the separation agreement nor offer letter was filed as an 8-K exhibit.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2D"/>
          <w:sz w:val="21"/>
          <w:szCs w:val="21"/>
        </w:rPr>
        <w:t xml:space="preserve">Convergence 3: June 20–28, 2024 — Lawsuit → Crash → Insider Buy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1A1A1A"/>
          <w:sz w:val="17"/>
          <w:szCs w:val="17"/>
        </w:rPr>
        <w:t xml:space="preserve">In eight days: securities fraud filed (Jun 20), stock crashes 20% on earnings (Jun 27), Swan buys shares the next morning (Jun 28). Friend’s $889K sale 22 days before the crash is cited as scienter evidence. The 10-K filed 5 weeks after the complaint does not specifically disclose the litigation.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B2D"/>
          <w:sz w:val="22"/>
          <w:szCs w:val="22"/>
        </w:rPr>
        <w:t xml:space="preserve">Methodology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color w:val="4B5563"/>
          <w:sz w:val="14"/>
          <w:szCs w:val="14"/>
        </w:rPr>
        <w:t xml:space="preserve">Culmination-year audit of 12 EDGAR filing categories. Special focus on Exhibit 19 first filing, Item 408(a) complete annual dataset, securities fraud cross-referencing, and September 2024 succession sequence. New PURPLE and GOLD flag categories introduced.</w:t>
      </w:r>
    </w:p>
    <w:sectPr>
      <w:headerReference w:type="default" r:id="rId6"/>
      <w:footerReference w:type="default" r:id="rId7"/>
      <w:pgSz w:w="12240" w:h="15840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0"/>
        <w:szCs w:val="10"/>
      </w:rPr>
      <w:t xml:space="preserve">Nike FY2024 Full-Corpus Timeline — Exhibit 19 / CEO Transition / Securities Fraud</w:t>
    </w:r>
    <w:r>
      <w:rPr>
        <w:rFonts w:ascii="Arial" w:cs="Arial" w:eastAsia="Arial" w:hAnsi="Arial"/>
        <w:color w:val="999999"/>
        <w:sz w:val="10"/>
        <w:szCs w:val="10"/>
      </w:rPr>
      <w:ptab w:alignment="right" w:relativeTo="margin" w:leader="none"/>
    </w:r>
    <w:r>
      <w:rPr>
        <w:rFonts w:ascii="Arial" w:cs="Arial" w:eastAsia="Arial" w:hAnsi="Arial"/>
        <w:color w:val="999999"/>
        <w:sz w:val="10"/>
        <w:szCs w:val="10"/>
      </w:rPr>
      <w:t xml:space="preserve">Page </w:t>
    </w:r>
    <w:r>
      <w:rPr>
        <w:rFonts w:ascii="Arial" w:cs="Arial" w:eastAsia="Arial" w:hAnsi="Arial"/>
        <w:color w:val="999999"/>
        <w:sz w:val="10"/>
        <w:szCs w:val="1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1B2D" w:sz="4" w:space="4"/>
      </w:pBdr>
    </w:pPr>
    <w:r>
      <w:rPr>
        <w:rFonts w:ascii="Arial" w:cs="Arial" w:eastAsia="Arial" w:hAnsi="Arial"/>
        <w:b/>
        <w:bCs/>
        <w:color w:val="B91C1C"/>
        <w:sz w:val="11"/>
        <w:szCs w:val="11"/>
      </w:rPr>
      <w:t xml:space="preserve">PRIVILEGED &amp; CONFIDENTIAL  |  FULL-CORPUS EDGAR AUDIT  |  CULMINATION YEAR  |  JLAW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2026-03-12T12:47:57.208Z</dcterms:created>
  <dcterms:modified xsi:type="dcterms:W3CDTF">2026-03-12T12:47:57.209Z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