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2545" w:sz="6" w:space="6"/>
        </w:pBdr>
        <w:spacing w:after="90"/>
        <w:jc w:val="center"/>
      </w:pPr>
      <w:r>
        <w:rPr>
          <w:rFonts w:ascii="Arial" w:cs="Arial" w:eastAsia="Arial" w:hAnsi="Arial"/>
          <w:b/>
          <w:bCs/>
          <w:color w:val="0B2545"/>
          <w:sz w:val="26"/>
          <w:szCs w:val="26"/>
        </w:rPr>
        <w:t xml:space="preserve">GOVERNANCE BRIEFING MEMORANDUM — FY2024 FULL-CORPUS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left w:val="none"/>
              <w:bottom w:val="none"/>
              <w:right w:val="none"/>
            </w:tcBorders>
            <w:tcMar>
              <w:top w:type="dxa" w:w="40"/>
              <w:left w:type="dxa" w:w="70"/>
              <w:bottom w:type="dxa" w:w="40"/>
              <w:right w:type="dxa" w:w="70"/>
            </w:tcMar>
          </w:tcPr>
          <w:p>
            <w:r>
              <w:rPr>
                <w:rFonts w:ascii="Arial" w:cs="Arial" w:eastAsia="Arial" w:hAnsi="Arial"/>
                <w:b/>
                <w:bCs/>
                <w:color w:val="0B2545"/>
                <w:sz w:val="18"/>
                <w:szCs w:val="18"/>
              </w:rPr>
              <w:t xml:space="preserve">TO:</w:t>
            </w:r>
          </w:p>
        </w:tc>
        <w:tc>
          <w:tcPr>
            <w:tcW w:type="dxa" w:w="8060"/>
            <w:tcBorders>
              <w:top w:val="none"/>
              <w:left w:val="none"/>
              <w:bottom w:val="none"/>
              <w:right w:val="none"/>
            </w:tcBorders>
            <w:tcMar>
              <w:top w:type="dxa" w:w="40"/>
              <w:left w:type="dxa" w:w="70"/>
              <w:bottom w:type="dxa" w:w="40"/>
              <w:right w:type="dxa" w:w="70"/>
            </w:tcMar>
          </w:tcPr>
          <w:p>
            <w:r>
              <w:rPr>
                <w:rFonts w:ascii="Arial" w:cs="Arial" w:eastAsia="Arial" w:hAnsi="Arial"/>
                <w:sz w:val="18"/>
                <w:szCs w:val="18"/>
              </w:rPr>
              <w:t xml:space="preserve">ISS Governance Research Division — U.S. Large Cap Coverage</w:t>
            </w:r>
          </w:p>
        </w:tc>
      </w:tr>
      <w:tr>
        <w:tc>
          <w:tcPr>
            <w:tcW w:type="dxa" w:w="1300"/>
            <w:tcBorders>
              <w:top w:val="none"/>
              <w:left w:val="none"/>
              <w:bottom w:val="none"/>
              <w:right w:val="none"/>
            </w:tcBorders>
            <w:tcMar>
              <w:top w:type="dxa" w:w="40"/>
              <w:left w:type="dxa" w:w="70"/>
              <w:bottom w:type="dxa" w:w="40"/>
              <w:right w:type="dxa" w:w="70"/>
            </w:tcMar>
          </w:tcPr>
          <w:p>
            <w:r>
              <w:rPr>
                <w:rFonts w:ascii="Arial" w:cs="Arial" w:eastAsia="Arial" w:hAnsi="Arial"/>
                <w:b/>
                <w:bCs/>
                <w:color w:val="0B2545"/>
                <w:sz w:val="18"/>
                <w:szCs w:val="18"/>
              </w:rPr>
              <w:t xml:space="preserve">FROM:</w:t>
            </w:r>
          </w:p>
        </w:tc>
        <w:tc>
          <w:tcPr>
            <w:tcW w:type="dxa" w:w="8060"/>
            <w:tcBorders>
              <w:top w:val="none"/>
              <w:left w:val="none"/>
              <w:bottom w:val="none"/>
              <w:right w:val="none"/>
            </w:tcBorders>
            <w:tcMar>
              <w:top w:type="dxa" w:w="40"/>
              <w:left w:type="dxa" w:w="70"/>
              <w:bottom w:type="dxa" w:w="40"/>
              <w:right w:type="dxa" w:w="70"/>
            </w:tcMar>
          </w:tcPr>
          <w:p>
            <w:r>
              <w:rPr>
                <w:rFonts w:ascii="Arial" w:cs="Arial" w:eastAsia="Arial" w:hAnsi="Arial"/>
                <w:sz w:val="18"/>
                <w:szCs w:val="18"/>
              </w:rPr>
              <w:t xml:space="preserve">JLAW Forensic Intelligence Platform v4</w:t>
            </w:r>
          </w:p>
        </w:tc>
      </w:tr>
      <w:tr>
        <w:tc>
          <w:tcPr>
            <w:tcW w:type="dxa" w:w="1300"/>
            <w:tcBorders>
              <w:top w:val="none"/>
              <w:left w:val="none"/>
              <w:bottom w:val="none"/>
              <w:right w:val="none"/>
            </w:tcBorders>
            <w:tcMar>
              <w:top w:type="dxa" w:w="40"/>
              <w:left w:type="dxa" w:w="70"/>
              <w:bottom w:type="dxa" w:w="40"/>
              <w:right w:type="dxa" w:w="70"/>
            </w:tcMar>
          </w:tcPr>
          <w:p>
            <w:r>
              <w:rPr>
                <w:rFonts w:ascii="Arial" w:cs="Arial" w:eastAsia="Arial" w:hAnsi="Arial"/>
                <w:b/>
                <w:bCs/>
                <w:color w:val="0B2545"/>
                <w:sz w:val="18"/>
                <w:szCs w:val="18"/>
              </w:rPr>
              <w:t xml:space="preserve">DATE:</w:t>
            </w:r>
          </w:p>
        </w:tc>
        <w:tc>
          <w:tcPr>
            <w:tcW w:type="dxa" w:w="8060"/>
            <w:tcBorders>
              <w:top w:val="none"/>
              <w:left w:val="none"/>
              <w:bottom w:val="none"/>
              <w:right w:val="none"/>
            </w:tcBorders>
            <w:tcMar>
              <w:top w:type="dxa" w:w="40"/>
              <w:left w:type="dxa" w:w="70"/>
              <w:bottom w:type="dxa" w:w="40"/>
              <w:right w:type="dxa" w:w="70"/>
            </w:tcMar>
          </w:tcPr>
          <w:p>
            <w:r>
              <w:rPr>
                <w:rFonts w:ascii="Arial" w:cs="Arial" w:eastAsia="Arial" w:hAnsi="Arial"/>
                <w:sz w:val="18"/>
                <w:szCs w:val="18"/>
              </w:rPr>
              <w:t xml:space="preserve">March 12, 2026</w:t>
            </w:r>
          </w:p>
        </w:tc>
      </w:tr>
      <w:tr>
        <w:tc>
          <w:tcPr>
            <w:tcW w:type="dxa" w:w="1300"/>
            <w:tcBorders>
              <w:top w:val="none"/>
              <w:left w:val="none"/>
              <w:bottom w:val="none"/>
              <w:right w:val="none"/>
            </w:tcBorders>
            <w:tcMar>
              <w:top w:type="dxa" w:w="40"/>
              <w:left w:type="dxa" w:w="70"/>
              <w:bottom w:type="dxa" w:w="40"/>
              <w:right w:type="dxa" w:w="70"/>
            </w:tcMar>
          </w:tcPr>
          <w:p>
            <w:r>
              <w:rPr>
                <w:rFonts w:ascii="Arial" w:cs="Arial" w:eastAsia="Arial" w:hAnsi="Arial"/>
                <w:b/>
                <w:bCs/>
                <w:color w:val="0B2545"/>
                <w:sz w:val="18"/>
                <w:szCs w:val="18"/>
              </w:rPr>
              <w:t xml:space="preserve">RE:</w:t>
            </w:r>
          </w:p>
        </w:tc>
        <w:tc>
          <w:tcPr>
            <w:tcW w:type="dxa" w:w="8060"/>
            <w:tcBorders>
              <w:top w:val="none"/>
              <w:left w:val="none"/>
              <w:bottom w:val="none"/>
              <w:right w:val="none"/>
            </w:tcBorders>
            <w:tcMar>
              <w:top w:type="dxa" w:w="40"/>
              <w:left w:type="dxa" w:w="70"/>
              <w:bottom w:type="dxa" w:w="40"/>
              <w:right w:type="dxa" w:w="70"/>
            </w:tcMar>
          </w:tcPr>
          <w:p>
            <w:r>
              <w:rPr>
                <w:rFonts w:ascii="Arial" w:cs="Arial" w:eastAsia="Arial" w:hAnsi="Arial"/>
                <w:b/>
                <w:bCs/>
                <w:sz w:val="18"/>
                <w:szCs w:val="18"/>
              </w:rPr>
              <w:t xml:space="preserve">CULMINATION: Exhibit 19 Reveals Pre-Clearance Self-Approval + Graf Exit Breaks Audit Cross-Directorship + 8-Year 13D</w:t>
            </w:r>
          </w:p>
        </w:tc>
      </w:tr>
      <w:tr>
        <w:tc>
          <w:tcPr>
            <w:tcW w:type="dxa" w:w="1300"/>
            <w:tcBorders>
              <w:top w:val="none"/>
              <w:left w:val="none"/>
              <w:bottom w:val="none"/>
              <w:right w:val="none"/>
            </w:tcBorders>
            <w:tcMar>
              <w:top w:type="dxa" w:w="40"/>
              <w:left w:type="dxa" w:w="70"/>
              <w:bottom w:type="dxa" w:w="40"/>
              <w:right w:type="dxa" w:w="70"/>
            </w:tcMar>
          </w:tcPr>
          <w:p>
            <w:r>
              <w:rPr>
                <w:rFonts w:ascii="Arial" w:cs="Arial" w:eastAsia="Arial" w:hAnsi="Arial"/>
                <w:b/>
                <w:bCs/>
                <w:color w:val="0B2545"/>
                <w:sz w:val="18"/>
                <w:szCs w:val="18"/>
              </w:rPr>
              <w:t xml:space="preserve">COMPANY:</w:t>
            </w:r>
          </w:p>
        </w:tc>
        <w:tc>
          <w:tcPr>
            <w:tcW w:type="dxa" w:w="8060"/>
            <w:tcBorders>
              <w:top w:val="none"/>
              <w:left w:val="none"/>
              <w:bottom w:val="none"/>
              <w:right w:val="none"/>
            </w:tcBorders>
            <w:tcMar>
              <w:top w:type="dxa" w:w="40"/>
              <w:left w:type="dxa" w:w="70"/>
              <w:bottom w:type="dxa" w:w="40"/>
              <w:right w:type="dxa" w:w="70"/>
            </w:tcMar>
          </w:tcPr>
          <w:p>
            <w:r>
              <w:rPr>
                <w:rFonts w:ascii="Arial" w:cs="Arial" w:eastAsia="Arial" w:hAnsi="Arial"/>
                <w:sz w:val="18"/>
                <w:szCs w:val="18"/>
              </w:rPr>
              <w:t xml:space="preserve">Nike, Inc. (NYSE: NKE) | CIK 0000320187 | S&amp;P 500 / Dow 30</w:t>
            </w:r>
          </w:p>
        </w:tc>
      </w:tr>
      <w:tr>
        <w:tc>
          <w:tcPr>
            <w:tcW w:type="dxa" w:w="1300"/>
            <w:tcBorders>
              <w:top w:val="none"/>
              <w:left w:val="none"/>
              <w:bottom w:val="none"/>
              <w:right w:val="none"/>
            </w:tcBorders>
            <w:tcMar>
              <w:top w:type="dxa" w:w="40"/>
              <w:left w:type="dxa" w:w="70"/>
              <w:bottom w:type="dxa" w:w="40"/>
              <w:right w:type="dxa" w:w="70"/>
            </w:tcMar>
          </w:tcPr>
          <w:p>
            <w:r>
              <w:rPr>
                <w:rFonts w:ascii="Arial" w:cs="Arial" w:eastAsia="Arial" w:hAnsi="Arial"/>
                <w:b/>
                <w:bCs/>
                <w:color w:val="0B2545"/>
                <w:sz w:val="18"/>
                <w:szCs w:val="18"/>
              </w:rPr>
              <w:t xml:space="preserve">PRIOR MEMOS:</w:t>
            </w:r>
          </w:p>
        </w:tc>
        <w:tc>
          <w:tcPr>
            <w:tcW w:type="dxa" w:w="8060"/>
            <w:tcBorders>
              <w:top w:val="none"/>
              <w:left w:val="none"/>
              <w:bottom w:val="none"/>
              <w:right w:val="none"/>
            </w:tcBorders>
            <w:tcMar>
              <w:top w:type="dxa" w:w="40"/>
              <w:left w:type="dxa" w:w="70"/>
              <w:bottom w:type="dxa" w:w="40"/>
              <w:right w:type="dxa" w:w="70"/>
            </w:tcMar>
          </w:tcPr>
          <w:p>
            <w:r>
              <w:rPr>
                <w:rFonts w:ascii="Arial" w:cs="Arial" w:eastAsia="Arial" w:hAnsi="Arial"/>
                <w:sz w:val="18"/>
                <w:szCs w:val="18"/>
              </w:rPr>
              <w:t xml:space="preserve">FY2019–FY2023 (12 prior memos across 5 fiscal years)</w:t>
            </w:r>
          </w:p>
        </w:tc>
      </w:tr>
    </w:tbl>
    <w:p>
      <w:pPr>
        <w:pBdr>
          <w:bottom w:val="single" w:color="0B2545" w:sz="2" w:space="5"/>
        </w:pBdr>
        <w:spacing w:before="90"/>
      </w:pPr>
    </w:p>
    <w:p>
      <w:pPr>
        <w:spacing w:before="160" w:after="100"/>
      </w:pPr>
      <w:r>
        <w:rPr>
          <w:rFonts w:ascii="Arial" w:cs="Arial" w:eastAsia="Arial" w:hAnsi="Arial"/>
          <w:b/>
          <w:bCs/>
          <w:color w:val="0B2545"/>
          <w:sz w:val="22"/>
          <w:szCs w:val="22"/>
        </w:rPr>
        <w:t xml:space="preserve">Exhibit 19 Transforms the Swoosh Analysis: Self-Approval Architecture Now Provable</w:t>
      </w:r>
    </w:p>
    <w:p>
      <w:pPr>
        <w:spacing w:before="0" w:after="100"/>
      </w:pPr>
      <w:r>
        <w:rPr>
          <w:rFonts w:ascii="Arial" w:cs="Arial" w:eastAsia="Arial" w:hAnsi="Arial"/>
          <w:b w:val="false"/>
          <w:bCs w:val="false"/>
          <w:color w:val="1A1A1A"/>
          <w:sz w:val="18"/>
          <w:szCs w:val="18"/>
        </w:rPr>
        <w:t xml:space="preserve">For five years, this memo series documented the Swoosh cross-directorship through inference: proxy omissions, 13D staleness, Form 4 patterns, and filing-type gaps. FY2024’s Exhibit 19 filing converts inference into evidence. Nike’s Blackout and Pre-clearance Policy (Exhibit 19.2) states that all director and officer trades require pre-clearance from “the Company’s Chairman of the Board or Chief Executive Officer.” Mark Parker holds the Executive Chairman title. He is either self-approving his $508M+ in cumulative sales or obtaining approval from a CEO who reports to him. No independent review mechanism, no Audit Committee oversight, and no board-level check exists in the disclosed policy.</w:t>
      </w:r>
    </w:p>
    <w:p>
      <w:pPr>
        <w:spacing w:before="0" w:after="100"/>
      </w:pPr>
      <w:r>
        <w:rPr>
          <w:rFonts w:ascii="Arial" w:cs="Arial" w:eastAsia="Arial" w:hAnsi="Arial"/>
          <w:b w:val="false"/>
          <w:bCs w:val="false"/>
          <w:color w:val="1A1A1A"/>
          <w:sz w:val="18"/>
          <w:szCs w:val="18"/>
        </w:rPr>
        <w:t xml:space="preserve">This is not a structural conflict unique to Swoosh — it is a structural conflict within Nike’s own insider trading governance. The Swoosh dimension (Parker as both Nike’s pre-clearance gatekeeper AND a Swoosh LLC board member controlling Nike’s voting power) amplifies the concern: the person approving insider trades also governs the entity that elects the board that oversees the company that employs him. This circular authority structure is now documented in Nike’s own filed policy.</w:t>
      </w:r>
    </w:p>
    <w:p>
      <w:pPr>
        <w:spacing w:before="160" w:after="100"/>
      </w:pPr>
      <w:r>
        <w:rPr>
          <w:rFonts w:ascii="Arial" w:cs="Arial" w:eastAsia="Arial" w:hAnsi="Arial"/>
          <w:b/>
          <w:bCs/>
          <w:color w:val="0B2545"/>
          <w:sz w:val="22"/>
          <w:szCs w:val="22"/>
        </w:rPr>
        <w:t xml:space="preserve">Graf’s Exit: The First Structural Improvement in Nine Years</w:t>
      </w:r>
    </w:p>
    <w:p>
      <w:pPr>
        <w:spacing w:before="0" w:after="100"/>
      </w:pPr>
      <w:r>
        <w:rPr>
          <w:rFonts w:ascii="Arial" w:cs="Arial" w:eastAsia="Arial" w:hAnsi="Arial"/>
          <w:b w:val="false"/>
          <w:bCs w:val="false"/>
          <w:color w:val="1A1A1A"/>
          <w:sz w:val="18"/>
          <w:szCs w:val="18"/>
        </w:rPr>
        <w:t xml:space="preserve">Alan Graf Jr.’s resignation on June 1, 2024 (effective immediately, per 8-K 0000320187-24-000024) after 22 years of board service and approximately 20 years as Audit Chair marks the first structural change in the Swoosh cross-directorship pattern since the arrangement was established in 2015. Graf simultaneously served on the Nike Audit Committee and the Swoosh LLC board alongside Parker and Donahoe for over four years. His successor as Audit Chair, Robert Swan (effective August 1, 2024), is NOT a Swoosh board member — breaking the Audit-level cross-directorship for the first time.</w:t>
      </w:r>
    </w:p>
    <w:p>
      <w:pPr>
        <w:spacing w:before="0" w:after="100"/>
      </w:pPr>
      <w:r>
        <w:rPr>
          <w:rFonts w:ascii="Arial" w:cs="Arial" w:eastAsia="Arial" w:hAnsi="Arial"/>
          <w:b w:val="false"/>
          <w:bCs w:val="false"/>
          <w:color w:val="1A1A1A"/>
          <w:sz w:val="18"/>
          <w:szCs w:val="18"/>
        </w:rPr>
        <w:t xml:space="preserve">However, the Swoosh board itself likely retained its triple-insider configuration through FY2024: Parker, Donahoe (until his September 19 departure), and Graf (until June 1). After both departures, the Swoosh “Independent Director” seats are vacant or require new appointments — information that is unknowable from any public filing because the 13D has not been amended since 2016. The current Swoosh board composition is the most critical unknown in the entire investigation.</w:t>
      </w:r>
    </w:p>
    <w:p>
      <w:r>
        <w:br w:type="page"/>
      </w:r>
    </w:p>
    <w:p>
      <w:pPr>
        <w:spacing w:before="160" w:after="100"/>
      </w:pPr>
      <w:r>
        <w:rPr>
          <w:rFonts w:ascii="Arial" w:cs="Arial" w:eastAsia="Arial" w:hAnsi="Arial"/>
          <w:b/>
          <w:bCs/>
          <w:color w:val="0B2545"/>
          <w:sz w:val="22"/>
          <w:szCs w:val="22"/>
        </w:rPr>
        <w:t xml:space="preserve">Six-Year Swoosh Governance Trajectory (FY2019–FY2024)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60"/>
        <w:gridCol w:w="1360"/>
        <w:gridCol w:w="1360"/>
        <w:gridCol w:w="1360"/>
        <w:gridCol w:w="1360"/>
        <w:gridCol w:w="1360"/>
      </w:tblGrid>
      <w:tr>
        <w:tc>
          <w:tcPr>
            <w:tcW w:type="dxa" w:w="1200"/>
            <w:tcBorders>
              <w:top w:val="single" w:color="AAAAAA" w:sz="1"/>
              <w:left w:val="single" w:color="AAAAAA" w:sz="1"/>
              <w:bottom w:val="single" w:color="AAAAAA" w:sz="1"/>
              <w:right w:val="single" w:color="AAAAAA" w:sz="1"/>
            </w:tcBorders>
            <w:shd w:fill="0B2545" w:val="clear"/>
            <w:tcMar>
              <w:top w:type="dxa" w:w="40"/>
              <w:left w:type="dxa" w:w="70"/>
              <w:bottom w:type="dxa" w:w="40"/>
              <w:right w:type="dxa" w:w="70"/>
            </w:tcMar>
          </w:tcPr>
          <w:p>
            <w:r>
              <w:rPr>
                <w:rFonts w:ascii="Arial" w:cs="Arial" w:eastAsia="Arial" w:hAnsi="Arial"/>
                <w:b/>
                <w:bCs/>
                <w:color w:val="FFFFFF"/>
                <w:sz w:val="12"/>
                <w:szCs w:val="12"/>
              </w:rPr>
              <w:t xml:space="preserve">METRIC</w:t>
            </w:r>
          </w:p>
        </w:tc>
        <w:tc>
          <w:tcPr>
            <w:tcW w:type="dxa" w:w="1360"/>
            <w:tcBorders>
              <w:top w:val="single" w:color="AAAAAA" w:sz="1"/>
              <w:left w:val="single" w:color="AAAAAA" w:sz="1"/>
              <w:bottom w:val="single" w:color="AAAAAA" w:sz="1"/>
              <w:right w:val="single" w:color="AAAAAA" w:sz="1"/>
            </w:tcBorders>
            <w:shd w:fill="0B2545" w:val="clear"/>
            <w:tcMar>
              <w:top w:type="dxa" w:w="40"/>
              <w:left w:type="dxa" w:w="70"/>
              <w:bottom w:type="dxa" w:w="40"/>
              <w:right w:type="dxa" w:w="70"/>
            </w:tcMar>
          </w:tcPr>
          <w:p>
            <w:r>
              <w:rPr>
                <w:rFonts w:ascii="Arial" w:cs="Arial" w:eastAsia="Arial" w:hAnsi="Arial"/>
                <w:b/>
                <w:bCs/>
                <w:color w:val="FFFFFF"/>
                <w:sz w:val="12"/>
                <w:szCs w:val="12"/>
              </w:rPr>
              <w:t xml:space="preserve">FY2019</w:t>
            </w:r>
          </w:p>
        </w:tc>
        <w:tc>
          <w:tcPr>
            <w:tcW w:type="dxa" w:w="1360"/>
            <w:tcBorders>
              <w:top w:val="single" w:color="AAAAAA" w:sz="1"/>
              <w:left w:val="single" w:color="AAAAAA" w:sz="1"/>
              <w:bottom w:val="single" w:color="AAAAAA" w:sz="1"/>
              <w:right w:val="single" w:color="AAAAAA" w:sz="1"/>
            </w:tcBorders>
            <w:shd w:fill="0B2545" w:val="clear"/>
            <w:tcMar>
              <w:top w:type="dxa" w:w="40"/>
              <w:left w:type="dxa" w:w="70"/>
              <w:bottom w:type="dxa" w:w="40"/>
              <w:right w:type="dxa" w:w="70"/>
            </w:tcMar>
          </w:tcPr>
          <w:p>
            <w:r>
              <w:rPr>
                <w:rFonts w:ascii="Arial" w:cs="Arial" w:eastAsia="Arial" w:hAnsi="Arial"/>
                <w:b/>
                <w:bCs/>
                <w:color w:val="FFFFFF"/>
                <w:sz w:val="12"/>
                <w:szCs w:val="12"/>
              </w:rPr>
              <w:t xml:space="preserve">FY2020</w:t>
            </w:r>
          </w:p>
        </w:tc>
        <w:tc>
          <w:tcPr>
            <w:tcW w:type="dxa" w:w="1360"/>
            <w:tcBorders>
              <w:top w:val="single" w:color="AAAAAA" w:sz="1"/>
              <w:left w:val="single" w:color="AAAAAA" w:sz="1"/>
              <w:bottom w:val="single" w:color="AAAAAA" w:sz="1"/>
              <w:right w:val="single" w:color="AAAAAA" w:sz="1"/>
            </w:tcBorders>
            <w:shd w:fill="0B2545" w:val="clear"/>
            <w:tcMar>
              <w:top w:type="dxa" w:w="40"/>
              <w:left w:type="dxa" w:w="70"/>
              <w:bottom w:type="dxa" w:w="40"/>
              <w:right w:type="dxa" w:w="70"/>
            </w:tcMar>
          </w:tcPr>
          <w:p>
            <w:r>
              <w:rPr>
                <w:rFonts w:ascii="Arial" w:cs="Arial" w:eastAsia="Arial" w:hAnsi="Arial"/>
                <w:b/>
                <w:bCs/>
                <w:color w:val="FFFFFF"/>
                <w:sz w:val="12"/>
                <w:szCs w:val="12"/>
              </w:rPr>
              <w:t xml:space="preserve">FY2021</w:t>
            </w:r>
          </w:p>
        </w:tc>
        <w:tc>
          <w:tcPr>
            <w:tcW w:type="dxa" w:w="1360"/>
            <w:tcBorders>
              <w:top w:val="single" w:color="AAAAAA" w:sz="1"/>
              <w:left w:val="single" w:color="AAAAAA" w:sz="1"/>
              <w:bottom w:val="single" w:color="AAAAAA" w:sz="1"/>
              <w:right w:val="single" w:color="AAAAAA" w:sz="1"/>
            </w:tcBorders>
            <w:shd w:fill="0B2545" w:val="clear"/>
            <w:tcMar>
              <w:top w:type="dxa" w:w="40"/>
              <w:left w:type="dxa" w:w="70"/>
              <w:bottom w:type="dxa" w:w="40"/>
              <w:right w:type="dxa" w:w="70"/>
            </w:tcMar>
          </w:tcPr>
          <w:p>
            <w:r>
              <w:rPr>
                <w:rFonts w:ascii="Arial" w:cs="Arial" w:eastAsia="Arial" w:hAnsi="Arial"/>
                <w:b/>
                <w:bCs/>
                <w:color w:val="FFFFFF"/>
                <w:sz w:val="12"/>
                <w:szCs w:val="12"/>
              </w:rPr>
              <w:t xml:space="preserve">FY2022</w:t>
            </w:r>
          </w:p>
        </w:tc>
        <w:tc>
          <w:tcPr>
            <w:tcW w:type="dxa" w:w="1360"/>
            <w:tcBorders>
              <w:top w:val="single" w:color="AAAAAA" w:sz="1"/>
              <w:left w:val="single" w:color="AAAAAA" w:sz="1"/>
              <w:bottom w:val="single" w:color="AAAAAA" w:sz="1"/>
              <w:right w:val="single" w:color="AAAAAA" w:sz="1"/>
            </w:tcBorders>
            <w:shd w:fill="0B2545" w:val="clear"/>
            <w:tcMar>
              <w:top w:type="dxa" w:w="40"/>
              <w:left w:type="dxa" w:w="70"/>
              <w:bottom w:type="dxa" w:w="40"/>
              <w:right w:type="dxa" w:w="70"/>
            </w:tcMar>
          </w:tcPr>
          <w:p>
            <w:r>
              <w:rPr>
                <w:rFonts w:ascii="Arial" w:cs="Arial" w:eastAsia="Arial" w:hAnsi="Arial"/>
                <w:b/>
                <w:bCs/>
                <w:color w:val="FFFFFF"/>
                <w:sz w:val="12"/>
                <w:szCs w:val="12"/>
              </w:rPr>
              <w:t xml:space="preserve">FY2023</w:t>
            </w:r>
          </w:p>
        </w:tc>
        <w:tc>
          <w:tcPr>
            <w:tcW w:type="dxa" w:w="1360"/>
            <w:tcBorders>
              <w:top w:val="single" w:color="AAAAAA" w:sz="1"/>
              <w:left w:val="single" w:color="AAAAAA" w:sz="1"/>
              <w:bottom w:val="single" w:color="AAAAAA" w:sz="1"/>
              <w:right w:val="single" w:color="AAAAAA" w:sz="1"/>
            </w:tcBorders>
            <w:shd w:fill="0B2545" w:val="clear"/>
            <w:tcMar>
              <w:top w:type="dxa" w:w="40"/>
              <w:left w:type="dxa" w:w="70"/>
              <w:bottom w:type="dxa" w:w="40"/>
              <w:right w:type="dxa" w:w="70"/>
            </w:tcMar>
          </w:tcPr>
          <w:p>
            <w:r>
              <w:rPr>
                <w:rFonts w:ascii="Arial" w:cs="Arial" w:eastAsia="Arial" w:hAnsi="Arial"/>
                <w:b/>
                <w:bCs/>
                <w:color w:val="FFFFFF"/>
                <w:sz w:val="12"/>
                <w:szCs w:val="12"/>
              </w:rPr>
              <w:t xml:space="preserve">FY2024</w:t>
            </w:r>
          </w:p>
        </w:tc>
      </w:tr>
      <w:tr>
        <w:tc>
          <w:tcPr>
            <w:tcW w:type="dxa" w:w="12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Swoosh config</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1+2 indep</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Triple-insider</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Triple yr 1</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Triple + trust</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Triple + distribution</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Graf exits Jun. Donahoe exits Sep. UNKNOWN current config</w:t>
            </w:r>
          </w:p>
        </w:tc>
      </w:tr>
      <w:tr>
        <w:tc>
          <w:tcPr>
            <w:tcW w:type="dxa" w:w="12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13D staleness</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3 yrs</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4 yrs</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5 yrs</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6 yrs</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7 yrs</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8 YEARS. 10%+ share reduction undocumented</w:t>
            </w:r>
          </w:p>
        </w:tc>
      </w:tr>
      <w:tr>
        <w:tc>
          <w:tcPr>
            <w:tcW w:type="dxa" w:w="12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Parker sales</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~$78M</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~$37M</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~$125M</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~$82M</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~$44M</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~$43–45M ($508M+ cumulative)</w:t>
            </w:r>
          </w:p>
        </w:tc>
      </w:tr>
      <w:tr>
        <w:tc>
          <w:tcPr>
            <w:tcW w:type="dxa" w:w="12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ITP disclosure</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ZERO</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ZERO</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ZERO</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ZERO</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Form 4 checkbox</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EXHIBIT 19 FILED. Self-approval loophole visible</w:t>
            </w:r>
          </w:p>
        </w:tc>
      </w:tr>
      <w:tr>
        <w:tc>
          <w:tcPr>
            <w:tcW w:type="dxa" w:w="12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§16(a)</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Omitted</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Omitted</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Restored</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Dropped</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Restored (Swan)</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Present (Nielsen)</w:t>
            </w:r>
          </w:p>
        </w:tc>
      </w:tr>
      <w:tr>
        <w:tc>
          <w:tcPr>
            <w:tcW w:type="dxa" w:w="12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SEC letters</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10yr gap</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11yr gap</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12yr gap</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13yr gap</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~14yr gap</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~12–13yr gap (revised estimate)</w:t>
            </w:r>
          </w:p>
        </w:tc>
      </w:tr>
      <w:tr>
        <w:tc>
          <w:tcPr>
            <w:tcW w:type="dxa" w:w="12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Governance pressure</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None</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None</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54% SoP</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None</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Rogers 35.5%</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Rogers 40%. SoP 83.3%(-5). PSU 0%. CEO fired</w:t>
            </w:r>
          </w:p>
        </w:tc>
      </w:tr>
      <w:tr>
        <w:tc>
          <w:tcPr>
            <w:tcW w:type="dxa" w:w="12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Securities fraud</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N/A</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N/A</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Class begins</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Active</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Active</w:t>
            </w:r>
          </w:p>
        </w:tc>
        <w:tc>
          <w:tcPr>
            <w:tcW w:type="dxa" w:w="13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COMPLAINT FILED. $245M alleged. Amended Feb 2025</w:t>
            </w:r>
          </w:p>
        </w:tc>
      </w:tr>
    </w:tbl>
    <w:p>
      <w:pPr>
        <w:spacing w:before="160" w:after="100"/>
      </w:pPr>
      <w:r>
        <w:rPr>
          <w:rFonts w:ascii="Arial" w:cs="Arial" w:eastAsia="Arial" w:hAnsi="Arial"/>
          <w:b/>
          <w:bCs/>
          <w:color w:val="0B2545"/>
          <w:sz w:val="22"/>
          <w:szCs w:val="22"/>
        </w:rPr>
        <w:t xml:space="preserve">The $508M Question: Parker’s Cumulative Sales Through the Exhibit 19 Lens</w:t>
      </w:r>
    </w:p>
    <w:p>
      <w:pPr>
        <w:spacing w:before="0" w:after="100"/>
      </w:pPr>
      <w:r>
        <w:rPr>
          <w:rFonts w:ascii="Arial" w:cs="Arial" w:eastAsia="Arial" w:hAnsi="Arial"/>
          <w:b w:val="false"/>
          <w:bCs w:val="false"/>
          <w:color w:val="1A1A1A"/>
          <w:sz w:val="18"/>
          <w:szCs w:val="18"/>
        </w:rPr>
        <w:t xml:space="preserve">Exhibit 19’s revelation that Parker self-approves (or obtains subordinate approval for) his trades reframes the entire six-year selling program. The $508M+ in cumulative dispositions — consistently the largest insider selling program at any Dow 30 company — was governed by a pre-clearance process with a structural conflict at its core. The pre-clearance was supplemented by 10b5-1 plans (confirmed via Form 4 checkbox since April 2023 and via retrospective footnote analysis for prior years), but plan adoption itself required only Corporate Secretary approval — not Chairman/CEO pre-clearance. This dual-track architecture means Parker’s selling was governed by: (a) self-approved pre-clearance from himself or a subordinate, plus (b) Corporate Secretary plan approval — neither involving independent board-level review.</w:t>
      </w:r>
    </w:p>
    <w:p>
      <w:r>
        <w:br w:type="page"/>
      </w:r>
    </w:p>
    <w:p>
      <w:pPr>
        <w:spacing w:before="160" w:after="100"/>
      </w:pPr>
      <w:r>
        <w:rPr>
          <w:rFonts w:ascii="Arial" w:cs="Arial" w:eastAsia="Arial" w:hAnsi="Arial"/>
          <w:b/>
          <w:bCs/>
          <w:color w:val="0B2545"/>
          <w:sz w:val="22"/>
          <w:szCs w:val="22"/>
        </w:rPr>
        <w:t xml:space="preserve">Recommendations — FY2024 Culmination Actions</w:t>
      </w:r>
    </w:p>
    <w:p>
      <w:pPr>
        <w:spacing w:after="70"/>
      </w:pPr>
      <w:r>
        <w:rPr>
          <w:rFonts w:ascii="Arial" w:cs="Arial" w:eastAsia="Arial" w:hAnsi="Arial"/>
          <w:b/>
          <w:bCs/>
          <w:color w:val="0B2545"/>
          <w:sz w:val="19"/>
          <w:szCs w:val="19"/>
        </w:rPr>
        <w:t xml:space="preserve">Tier 1: Exhibit 19 Pre-Clearance Architecture Peer Comparison</w:t>
      </w:r>
    </w:p>
    <w:p>
      <w:pPr>
        <w:spacing w:before="0" w:after="100"/>
      </w:pPr>
      <w:r>
        <w:rPr>
          <w:rFonts w:ascii="Arial" w:cs="Arial" w:eastAsia="Arial" w:hAnsi="Arial"/>
          <w:b w:val="false"/>
          <w:bCs w:val="false"/>
          <w:color w:val="1A1A1A"/>
          <w:sz w:val="18"/>
          <w:szCs w:val="18"/>
        </w:rPr>
        <w:t xml:space="preserve">Conduct a Dow 30 peer review of Exhibit 19 pre-clearance provisions. Determine whether any other company allows its most active insider seller to serve as the pre-clearance gatekeeper. Publish comparative findings. If Nike’s structure is unique, recommend explicit QualityScore penalty for self-approval architectures.</w:t>
      </w:r>
    </w:p>
    <w:p>
      <w:pPr>
        <w:spacing w:after="70"/>
      </w:pPr>
      <w:r>
        <w:rPr>
          <w:rFonts w:ascii="Arial" w:cs="Arial" w:eastAsia="Arial" w:hAnsi="Arial"/>
          <w:b/>
          <w:bCs/>
          <w:color w:val="0B2545"/>
          <w:sz w:val="19"/>
          <w:szCs w:val="19"/>
        </w:rPr>
        <w:t xml:space="preserve">Tier 2: Swoosh Board Composition — URGENT Determination Required</w:t>
      </w:r>
    </w:p>
    <w:p>
      <w:pPr>
        <w:spacing w:before="0" w:after="100"/>
      </w:pPr>
      <w:r>
        <w:rPr>
          <w:rFonts w:ascii="Arial" w:cs="Arial" w:eastAsia="Arial" w:hAnsi="Arial"/>
          <w:b w:val="false"/>
          <w:bCs w:val="false"/>
          <w:color w:val="1A1A1A"/>
          <w:sz w:val="18"/>
          <w:szCs w:val="18"/>
        </w:rPr>
        <w:t xml:space="preserve">With both Graf (June 2024) and Donahoe (September 2024) departing, the Swoosh board’s triple-insider configuration is necessarily disrupted. The current composition is unknown. Engage Nike’s Corporate Secretary and Jasper Ridge Partners (Swoosh Protector Mark Wolfson) to determine: (a) current Swoosh board members; (b) whether Parker remains; (c) who replaced Graf and Donahoe; (d) whether any 13D amendment is finally planned.</w:t>
      </w:r>
    </w:p>
    <w:p>
      <w:pPr>
        <w:spacing w:after="70"/>
      </w:pPr>
      <w:r>
        <w:rPr>
          <w:rFonts w:ascii="Arial" w:cs="Arial" w:eastAsia="Arial" w:hAnsi="Arial"/>
          <w:b/>
          <w:bCs/>
          <w:color w:val="0B2545"/>
          <w:sz w:val="19"/>
          <w:szCs w:val="19"/>
        </w:rPr>
        <w:t xml:space="preserve">Tier 3: Rogers Withhold Trajectory — Two-Year Pattern Analysis</w:t>
      </w:r>
    </w:p>
    <w:p>
      <w:pPr>
        <w:spacing w:before="0" w:after="100"/>
      </w:pPr>
      <w:r>
        <w:rPr>
          <w:rFonts w:ascii="Arial" w:cs="Arial" w:eastAsia="Arial" w:hAnsi="Arial"/>
          <w:b w:val="false"/>
          <w:bCs w:val="false"/>
          <w:color w:val="1A1A1A"/>
          <w:sz w:val="18"/>
          <w:szCs w:val="18"/>
        </w:rPr>
        <w:t xml:space="preserve">Rogers’ 40% withheld votes for two consecutive years (FY2023–FY2024) represent the highest sustained director opposition at any dual-class S&amp;P 500 company post-ISS policy change. Track whether this pattern extends to FY2025. If sustained at 40%+, consider whether ISS should recommend AGAINST Rogers specifically (rather than as a proxy for dual-class opposition) to test whether the Knight family’s Class A voting power will override even a formal AGAINST recommendation.</w:t>
      </w:r>
    </w:p>
    <w:p>
      <w:pPr>
        <w:spacing w:after="70"/>
      </w:pPr>
      <w:r>
        <w:rPr>
          <w:rFonts w:ascii="Arial" w:cs="Arial" w:eastAsia="Arial" w:hAnsi="Arial"/>
          <w:b/>
          <w:bCs/>
          <w:color w:val="0B2545"/>
          <w:sz w:val="19"/>
          <w:szCs w:val="19"/>
        </w:rPr>
        <w:t xml:space="preserve">Tier 4: Securities Fraud Litigation Discovery Monitoring</w:t>
      </w:r>
    </w:p>
    <w:p>
      <w:pPr>
        <w:spacing w:before="0" w:after="100"/>
      </w:pPr>
      <w:r>
        <w:rPr>
          <w:rFonts w:ascii="Arial" w:cs="Arial" w:eastAsia="Arial" w:hAnsi="Arial"/>
          <w:b w:val="false"/>
          <w:bCs w:val="false"/>
          <w:color w:val="1A1A1A"/>
          <w:sz w:val="18"/>
          <w:szCs w:val="18"/>
        </w:rPr>
        <w:t xml:space="preserve">The amended complaint’s 19 confidential witnesses and $245M insider sales allegation may produce through discovery: pre-clearance approval records, internal communications about the ITP, Swoosh governance documents, and CDA strategy deliberations. ISS should establish a litigation monitoring protocol and update Nike’s governance profile as court filings reveal new information.</w:t>
      </w:r>
    </w:p>
    <w:p>
      <w:pPr>
        <w:spacing w:after="70"/>
      </w:pPr>
      <w:r>
        <w:rPr>
          <w:rFonts w:ascii="Arial" w:cs="Arial" w:eastAsia="Arial" w:hAnsi="Arial"/>
          <w:b/>
          <w:bCs/>
          <w:color w:val="0B2545"/>
          <w:sz w:val="19"/>
          <w:szCs w:val="19"/>
        </w:rPr>
        <w:t xml:space="preserve">Tier 5: Hill Era Governance Reset Assessment</w:t>
      </w:r>
    </w:p>
    <w:p>
      <w:pPr>
        <w:spacing w:before="0" w:after="100"/>
      </w:pPr>
      <w:r>
        <w:rPr>
          <w:rFonts w:ascii="Arial" w:cs="Arial" w:eastAsia="Arial" w:hAnsi="Arial"/>
          <w:b w:val="false"/>
          <w:bCs w:val="false"/>
          <w:color w:val="1A1A1A"/>
          <w:sz w:val="18"/>
          <w:szCs w:val="18"/>
        </w:rPr>
        <w:t xml:space="preserve">Hill’s arrival with zero shares and a clean slate creates a potential governance reset opportunity. Monitor whether: (a) the ITP pre-clearance process is reformed; (b) a 13D amendment is finally filed; (c) dual-class risk factors are added to the 10-K; (d) the Swoosh board composition is publicly disclosed; (e) insider buying signals emerge from the new leadership team. The December 2025 purchases by Hill ($1M), Cook ($2.5M), and Swan ($1M) suggest confidence-signaling behavior that was absent throughout the Donahoe era.</w:t>
      </w:r>
    </w:p>
    <w:p>
      <w:r>
        <w:br w:type="page"/>
      </w:r>
    </w:p>
    <w:p>
      <w:pPr>
        <w:spacing w:before="160" w:after="100"/>
      </w:pPr>
      <w:r>
        <w:rPr>
          <w:rFonts w:ascii="Arial" w:cs="Arial" w:eastAsia="Arial" w:hAnsi="Arial"/>
          <w:b/>
          <w:bCs/>
          <w:color w:val="0B2545"/>
          <w:sz w:val="22"/>
          <w:szCs w:val="22"/>
        </w:rPr>
        <w:t xml:space="preserve">Appendix: FY2024 Filing-by-Filing Swoosh Content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100"/>
        <w:gridCol w:w="4660"/>
      </w:tblGrid>
      <w:tr>
        <w:tc>
          <w:tcPr>
            <w:tcW w:type="dxa" w:w="1100"/>
            <w:tcBorders>
              <w:top w:val="single" w:color="AAAAAA" w:sz="1"/>
              <w:left w:val="single" w:color="AAAAAA" w:sz="1"/>
              <w:bottom w:val="single" w:color="AAAAAA" w:sz="1"/>
              <w:right w:val="single" w:color="AAAAAA" w:sz="1"/>
            </w:tcBorders>
            <w:shd w:fill="0B2545" w:val="clear"/>
            <w:tcMar>
              <w:top w:type="dxa" w:w="40"/>
              <w:left w:type="dxa" w:w="70"/>
              <w:bottom w:type="dxa" w:w="40"/>
              <w:right w:type="dxa" w:w="70"/>
            </w:tcMar>
          </w:tcPr>
          <w:p>
            <w:r>
              <w:rPr>
                <w:rFonts w:ascii="Arial" w:cs="Arial" w:eastAsia="Arial" w:hAnsi="Arial"/>
                <w:b/>
                <w:bCs/>
                <w:color w:val="FFFFFF"/>
                <w:sz w:val="12"/>
                <w:szCs w:val="12"/>
              </w:rPr>
              <w:t xml:space="preserve">FILING</w:t>
            </w:r>
          </w:p>
        </w:tc>
        <w:tc>
          <w:tcPr>
            <w:tcW w:type="dxa" w:w="1500"/>
            <w:tcBorders>
              <w:top w:val="single" w:color="AAAAAA" w:sz="1"/>
              <w:left w:val="single" w:color="AAAAAA" w:sz="1"/>
              <w:bottom w:val="single" w:color="AAAAAA" w:sz="1"/>
              <w:right w:val="single" w:color="AAAAAA" w:sz="1"/>
            </w:tcBorders>
            <w:shd w:fill="0B2545" w:val="clear"/>
            <w:tcMar>
              <w:top w:type="dxa" w:w="40"/>
              <w:left w:type="dxa" w:w="70"/>
              <w:bottom w:type="dxa" w:w="40"/>
              <w:right w:type="dxa" w:w="70"/>
            </w:tcMar>
          </w:tcPr>
          <w:p>
            <w:r>
              <w:rPr>
                <w:rFonts w:ascii="Arial" w:cs="Arial" w:eastAsia="Arial" w:hAnsi="Arial"/>
                <w:b/>
                <w:bCs/>
                <w:color w:val="FFFFFF"/>
                <w:sz w:val="12"/>
                <w:szCs w:val="12"/>
              </w:rPr>
              <w:t xml:space="preserve">ACCESSION</w:t>
            </w:r>
          </w:p>
        </w:tc>
        <w:tc>
          <w:tcPr>
            <w:tcW w:type="dxa" w:w="2100"/>
            <w:tcBorders>
              <w:top w:val="single" w:color="AAAAAA" w:sz="1"/>
              <w:left w:val="single" w:color="AAAAAA" w:sz="1"/>
              <w:bottom w:val="single" w:color="AAAAAA" w:sz="1"/>
              <w:right w:val="single" w:color="AAAAAA" w:sz="1"/>
            </w:tcBorders>
            <w:shd w:fill="0B2545" w:val="clear"/>
            <w:tcMar>
              <w:top w:type="dxa" w:w="40"/>
              <w:left w:type="dxa" w:w="70"/>
              <w:bottom w:type="dxa" w:w="40"/>
              <w:right w:type="dxa" w:w="70"/>
            </w:tcMar>
          </w:tcPr>
          <w:p>
            <w:r>
              <w:rPr>
                <w:rFonts w:ascii="Arial" w:cs="Arial" w:eastAsia="Arial" w:hAnsi="Arial"/>
                <w:b/>
                <w:bCs/>
                <w:color w:val="FFFFFF"/>
                <w:sz w:val="12"/>
                <w:szCs w:val="12"/>
              </w:rPr>
              <w:t xml:space="preserve">SWOOSH/ITP CONTENT</w:t>
            </w:r>
          </w:p>
        </w:tc>
        <w:tc>
          <w:tcPr>
            <w:tcW w:type="dxa" w:w="4660"/>
            <w:tcBorders>
              <w:top w:val="single" w:color="AAAAAA" w:sz="1"/>
              <w:left w:val="single" w:color="AAAAAA" w:sz="1"/>
              <w:bottom w:val="single" w:color="AAAAAA" w:sz="1"/>
              <w:right w:val="single" w:color="AAAAAA" w:sz="1"/>
            </w:tcBorders>
            <w:shd w:fill="0B2545" w:val="clear"/>
            <w:tcMar>
              <w:top w:type="dxa" w:w="40"/>
              <w:left w:type="dxa" w:w="70"/>
              <w:bottom w:type="dxa" w:w="40"/>
              <w:right w:type="dxa" w:w="70"/>
            </w:tcMar>
          </w:tcPr>
          <w:p>
            <w:r>
              <w:rPr>
                <w:rFonts w:ascii="Arial" w:cs="Arial" w:eastAsia="Arial" w:hAnsi="Arial"/>
                <w:b/>
                <w:bCs/>
                <w:color w:val="FFFFFF"/>
                <w:sz w:val="12"/>
                <w:szCs w:val="12"/>
              </w:rPr>
              <w:t xml:space="preserve">FORENSIC SIGNIFICANCE</w:t>
            </w:r>
          </w:p>
        </w:tc>
      </w:tr>
      <w:tr>
        <w:tc>
          <w:tcPr>
            <w:tcW w:type="dxa" w:w="1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10-K</w:t>
            </w:r>
          </w:p>
        </w:tc>
        <w:tc>
          <w:tcPr>
            <w:tcW w:type="dxa" w:w="15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0000320187-24-000044</w:t>
            </w:r>
          </w:p>
        </w:tc>
        <w:tc>
          <w:tcPr>
            <w:tcW w:type="dxa" w:w="2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065F46"/>
                <w:sz w:val="12"/>
                <w:szCs w:val="12"/>
              </w:rPr>
              <w:t xml:space="preserve">EXHIBIT 19 (NEW)</w:t>
            </w:r>
          </w:p>
        </w:tc>
        <w:tc>
          <w:tcPr>
            <w:tcW w:type="dxa" w:w="46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FIRST FILING. Pre-clearance self-approval loophole. Blackout windows defined. Risk factors STILL exclude dual-class</w:t>
            </w:r>
          </w:p>
        </w:tc>
      </w:tr>
      <w:tr>
        <w:tc>
          <w:tcPr>
            <w:tcW w:type="dxa" w:w="1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10-Q (x3)</w:t>
            </w:r>
          </w:p>
        </w:tc>
        <w:tc>
          <w:tcPr>
            <w:tcW w:type="dxa" w:w="15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Three quarterly filings</w:t>
            </w:r>
          </w:p>
        </w:tc>
        <w:tc>
          <w:tcPr>
            <w:tcW w:type="dxa" w:w="2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065F46"/>
                <w:sz w:val="12"/>
                <w:szCs w:val="12"/>
              </w:rPr>
              <w:t xml:space="preserve">Item 408(a) (NEW)</w:t>
            </w:r>
          </w:p>
        </w:tc>
        <w:tc>
          <w:tcPr>
            <w:tcW w:type="dxa" w:w="46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5 trading plans: 4 sells, 1 buy. Parker 617K shares. No terminations despite collapse</w:t>
            </w:r>
          </w:p>
        </w:tc>
      </w:tr>
      <w:tr>
        <w:tc>
          <w:tcPr>
            <w:tcW w:type="dxa" w:w="1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8-K (x13)</w:t>
            </w:r>
          </w:p>
        </w:tc>
        <w:tc>
          <w:tcPr>
            <w:tcW w:type="dxa" w:w="15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Multiple accessions</w:t>
            </w:r>
          </w:p>
        </w:tc>
        <w:tc>
          <w:tcPr>
            <w:tcW w:type="dxa" w:w="2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065F46"/>
                <w:sz w:val="12"/>
                <w:szCs w:val="12"/>
              </w:rPr>
              <w:t xml:space="preserve">BYLAWS + CEO (NEW)</w:t>
            </w:r>
          </w:p>
        </w:tc>
        <w:tc>
          <w:tcPr>
            <w:tcW w:type="dxa" w:w="46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Bylaws rewritten 1 day before CEO firing. Graf exits. $2B restructuring. $1B credit facility</w:t>
            </w:r>
          </w:p>
        </w:tc>
      </w:tr>
      <w:tr>
        <w:tc>
          <w:tcPr>
            <w:tcW w:type="dxa" w:w="1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DEF 14A</w:t>
            </w:r>
          </w:p>
        </w:tc>
        <w:tc>
          <w:tcPr>
            <w:tcW w:type="dxa" w:w="15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0000320187-24-000045</w:t>
            </w:r>
          </w:p>
        </w:tc>
        <w:tc>
          <w:tcPr>
            <w:tcW w:type="dxa" w:w="2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92400E"/>
                <w:sz w:val="12"/>
                <w:szCs w:val="12"/>
              </w:rPr>
              <w:t xml:space="preserve">MINIMAL</w:t>
            </w:r>
          </w:p>
        </w:tc>
        <w:tc>
          <w:tcPr>
            <w:tcW w:type="dxa" w:w="46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Knight bio mentions Swoosh. Parker bio: NO Swoosh. Rogers 40% withheld. PSU 0%. SoP 83.3%</w:t>
            </w:r>
          </w:p>
        </w:tc>
      </w:tr>
      <w:tr>
        <w:tc>
          <w:tcPr>
            <w:tcW w:type="dxa" w:w="1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Form 4 (Parker)</w:t>
            </w:r>
          </w:p>
        </w:tc>
        <w:tc>
          <w:tcPr>
            <w:tcW w:type="dxa" w:w="15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~4 sale filings</w:t>
            </w:r>
          </w:p>
        </w:tc>
        <w:tc>
          <w:tcPr>
            <w:tcW w:type="dxa" w:w="2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92400E"/>
                <w:sz w:val="12"/>
                <w:szCs w:val="12"/>
              </w:rPr>
              <w:t xml:space="preserve">10b5-1 CONFIRMED</w:t>
            </w:r>
          </w:p>
        </w:tc>
        <w:tc>
          <w:tcPr>
            <w:tcW w:type="dxa" w:w="46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~$43–45M. Plan adopted Nov 7, 2023. Cumulative $508M+. Pre-cleared via self-approval process</w:t>
            </w:r>
          </w:p>
        </w:tc>
      </w:tr>
      <w:tr>
        <w:tc>
          <w:tcPr>
            <w:tcW w:type="dxa" w:w="1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Form 4 (Swoosh)</w:t>
            </w:r>
          </w:p>
        </w:tc>
        <w:tc>
          <w:tcPr>
            <w:tcW w:type="dxa" w:w="15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Jul 2023 distribution</w:t>
            </w:r>
          </w:p>
        </w:tc>
        <w:tc>
          <w:tcPr>
            <w:tcW w:type="dxa" w:w="2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92400E"/>
                <w:sz w:val="12"/>
                <w:szCs w:val="12"/>
              </w:rPr>
              <w:t xml:space="preserve">DISTRIBUTION</w:t>
            </w:r>
          </w:p>
        </w:tc>
        <w:tc>
          <w:tcPr>
            <w:tcW w:type="dxa" w:w="46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2.75M Class A shares distributed. 230.75M remaining. No 13D/A</w:t>
            </w:r>
          </w:p>
        </w:tc>
      </w:tr>
      <w:tr>
        <w:tc>
          <w:tcPr>
            <w:tcW w:type="dxa" w:w="1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SC 13D</w:t>
            </w:r>
          </w:p>
        </w:tc>
        <w:tc>
          <w:tcPr>
            <w:tcW w:type="dxa" w:w="15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0000897423-15-000038</w:t>
            </w:r>
          </w:p>
        </w:tc>
        <w:tc>
          <w:tcPr>
            <w:tcW w:type="dxa" w:w="2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B91C1C"/>
                <w:sz w:val="12"/>
                <w:szCs w:val="12"/>
              </w:rPr>
              <w:t xml:space="preserve">8 YEARS STALE</w:t>
            </w:r>
          </w:p>
        </w:tc>
        <w:tc>
          <w:tcPr>
            <w:tcW w:type="dxa" w:w="46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Reports 257M (2016). Actual ~228M. Trust restructuring + distributions undocumented. SEC 2-day rule applies</w:t>
            </w:r>
          </w:p>
        </w:tc>
      </w:tr>
      <w:tr>
        <w:tc>
          <w:tcPr>
            <w:tcW w:type="dxa" w:w="1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Litigation</w:t>
            </w:r>
          </w:p>
        </w:tc>
        <w:tc>
          <w:tcPr>
            <w:tcW w:type="dxa" w:w="15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D.Or. 3:24-cv-00974</w:t>
            </w:r>
          </w:p>
        </w:tc>
        <w:tc>
          <w:tcPr>
            <w:tcW w:type="dxa" w:w="2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92400E"/>
                <w:sz w:val="12"/>
                <w:szCs w:val="12"/>
              </w:rPr>
              <w:t xml:space="preserve">COMPLAINT FILED</w:t>
            </w:r>
          </w:p>
        </w:tc>
        <w:tc>
          <w:tcPr>
            <w:tcW w:type="dxa" w:w="46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$245M insider sales. CDA misrepresentation. 19 confidential witnesses. Discovery pending</w:t>
            </w:r>
          </w:p>
        </w:tc>
      </w:tr>
      <w:tr>
        <w:tc>
          <w:tcPr>
            <w:tcW w:type="dxa" w:w="1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1A1A1A"/>
                <w:sz w:val="12"/>
                <w:szCs w:val="12"/>
              </w:rPr>
              <w:t xml:space="preserve">CORRESP</w:t>
            </w:r>
          </w:p>
        </w:tc>
        <w:tc>
          <w:tcPr>
            <w:tcW w:type="dxa" w:w="15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Last: ~2012</w:t>
            </w:r>
          </w:p>
        </w:tc>
        <w:tc>
          <w:tcPr>
            <w:tcW w:type="dxa" w:w="210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bCs/>
                <w:color w:val="B91C1C"/>
                <w:sz w:val="12"/>
                <w:szCs w:val="12"/>
              </w:rPr>
              <w:t xml:space="preserve">ZERO</w:t>
            </w:r>
          </w:p>
        </w:tc>
        <w:tc>
          <w:tcPr>
            <w:tcW w:type="dxa" w:w="4660"/>
            <w:tcBorders>
              <w:top w:val="single" w:color="AAAAAA" w:sz="1"/>
              <w:left w:val="single" w:color="AAAAAA" w:sz="1"/>
              <w:bottom w:val="single" w:color="AAAAAA" w:sz="1"/>
              <w:right w:val="single" w:color="AAAAAA" w:sz="1"/>
            </w:tcBorders>
            <w:tcMar>
              <w:top w:type="dxa" w:w="40"/>
              <w:left w:type="dxa" w:w="70"/>
              <w:bottom w:type="dxa" w:w="40"/>
              <w:right w:type="dxa" w:w="70"/>
            </w:tcMar>
          </w:tcPr>
          <w:p>
            <w:r>
              <w:rPr>
                <w:rFonts w:ascii="Arial" w:cs="Arial" w:eastAsia="Arial" w:hAnsi="Arial"/>
                <w:b w:val="false"/>
                <w:bCs w:val="false"/>
                <w:color w:val="1A1A1A"/>
                <w:sz w:val="12"/>
                <w:szCs w:val="12"/>
              </w:rPr>
              <w:t xml:space="preserve">~12–13yr gap persists despite all FY2024 events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0"/>
        <w:szCs w:val="10"/>
      </w:rPr>
      <w:t xml:space="preserve">Nike FY2024 Swoosh LLC Full-Corpus — Exhibit 19 / CEO Transition / Graf Succession</w:t>
    </w:r>
    <w:r>
      <w:rPr>
        <w:rFonts w:ascii="Arial" w:cs="Arial" w:eastAsia="Arial" w:hAnsi="Arial"/>
        <w:color w:val="999999"/>
        <w:sz w:val="10"/>
        <w:szCs w:val="10"/>
      </w:rPr>
      <w:ptab w:alignment="right" w:relativeTo="margin" w:leader="none"/>
    </w:r>
    <w:r>
      <w:rPr>
        <w:rFonts w:ascii="Arial" w:cs="Arial" w:eastAsia="Arial" w:hAnsi="Arial"/>
        <w:color w:val="999999"/>
        <w:sz w:val="10"/>
        <w:szCs w:val="10"/>
      </w:rPr>
      <w:t xml:space="preserve">Page </w:t>
    </w:r>
    <w:r>
      <w:rPr>
        <w:rFonts w:ascii="Arial" w:cs="Arial" w:eastAsia="Arial" w:hAnsi="Arial"/>
        <w:color w:val="999999"/>
        <w:sz w:val="10"/>
        <w:szCs w:val="1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545" w:sz="4" w:space="4"/>
      </w:pBdr>
    </w:pPr>
    <w:r>
      <w:rPr>
        <w:rFonts w:ascii="Arial" w:cs="Arial" w:eastAsia="Arial" w:hAnsi="Arial"/>
        <w:b/>
        <w:bCs/>
        <w:color w:val="0B2545"/>
        <w:sz w:val="11"/>
        <w:szCs w:val="11"/>
      </w:rPr>
      <w:t xml:space="preserve">ISS GOVERNANCE ALERT  |  FULL-CORPUS EDGAR AUDIT  |  CULMINATION YEAR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2026-03-12T12:51:13.400Z</dcterms:created>
  <dcterms:modified xsi:type="dcterms:W3CDTF">2026-03-12T12:51:13.401Z</dcterms:modified>
</cp:coreProperties>
</file>

<file path=docProps/custom.xml><?xml version="1.0" encoding="utf-8"?>
<Properties xmlns="http://schemas.openxmlformats.org/officeDocument/2006/custom-properties" xmlns:vt="http://schemas.openxmlformats.org/officeDocument/2006/docPropsVTypes"/>
</file>