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0F1B2D"/>
          <w:sz w:val="38"/>
          <w:szCs w:val="38"/>
        </w:rPr>
        <w:t xml:space="preserve">FULL-CORPUS EVIDENCE BUNDLE</w:t>
      </w:r>
    </w:p>
    <w:p>
      <w:pPr>
        <w:spacing w:after="15"/>
        <w:jc w:val="center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SEC DIVISION OF ENFORCEMENT — CULMINATION YEAR</w:t>
      </w:r>
    </w:p>
    <w:p>
      <w:pPr>
        <w:spacing w:after="70"/>
        <w:jc w:val="center"/>
      </w:pPr>
      <w:r>
        <w:rPr>
          <w:rFonts w:ascii="Arial" w:cs="Arial" w:eastAsia="Arial" w:hAnsi="Arial"/>
          <w:b/>
          <w:bCs/>
          <w:color w:val="B91C1C"/>
          <w:sz w:val="17"/>
          <w:szCs w:val="17"/>
        </w:rPr>
        <w:t xml:space="preserve">Exhibit 19 • Pre-Clearance Self-Approval • Securities Fraud • CEO Termination • 8-Year Stale 13D</w:t>
      </w:r>
    </w:p>
    <w:p>
      <w:pPr>
        <w:pBdr>
          <w:top w:val="single" w:color="0F1B2D" w:sz="4" w:space="5"/>
          <w:bottom w:val="single" w:color="0F1B2D" w:sz="4" w:space="5"/>
        </w:pBdr>
        <w:spacing w:before="100" w:after="100"/>
        <w:jc w:val="center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NIKE, INC. (NKE) — CIK 0000320187</w:t>
      </w:r>
    </w:p>
    <w:p>
      <w:pPr>
        <w:spacing w:after="150"/>
        <w:jc w:val="center"/>
      </w:pPr>
      <w:r>
        <w:rPr>
          <w:rFonts w:ascii="Arial" w:cs="Arial" w:eastAsia="Arial" w:hAnsi="Arial"/>
          <w:color w:val="4B5563"/>
          <w:sz w:val="16"/>
          <w:szCs w:val="16"/>
        </w:rPr>
        <w:t xml:space="preserve">June 1, 2023 – May 31, 2024 | Prepared: March 12, 2026</w:t>
      </w:r>
    </w:p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I. Executive Summary: Nine FY2024-Specific Findings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FY2024 is the culmination year of a six-year forensic investigation. The convergence of newly mandated disclosures, active securities litigation, and leadership collapse produces the investigation’s most consequential findings: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NEW FINDING 1 — Exhibit 19 Pre-Clearance Self-Approval Loophole: Nike’s first-ever Insider Trading Policy filing reveals that pre-clearance for director/officer trades is obtained from “the Company’s Chairman of the Board or Chief Executive Officer.” Parker (Executive Chairman, $508M+ cumulative seller) either approves his own trades or obtains approval from a subordinate CEO. No independent override exists.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NEW FINDING 2 — September 18–19 Bylaws-Then-CEO-Firing Sequence: Nike comprehensively rewrote its bylaws one day before announcing Donahoe’s departure. The bylaws added anti-activist provisions and “clarified officer responsibilities” while the CEO transition was non-public. Neither Donahoe’s separation agreement nor Hill’s offer letter was filed as an 8-K exhibit.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NEW FINDING 3 — Securities Fraud Complaint Filed During FY2024: In Re Nike (D.Or. 3:24-cv-00974) was filed June 20, 2024. The 10-K, filed July 25 (5 weeks later), does not specifically disclose the lawsuit. The complaint names Donahoe, Friend, Parker, O’Neill, and Campion, alleging $245M in insider sales during the CDA misrepresentation period.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NEW FINDING 4 — Friend $889K Sale 22 Days Before Stock Crash: CFO Friend sold shares on June 5, 2024 — three weeks before the catastrophic Q4 earnings report crashed the stock 20%. Likely under a pre-existing 10b5-1 plan, but the securities fraud complaint cites this timing as scienter evidence.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NEW FINDING 5 — First Complete Item 408(a) Dataset: Five insider trading plans disclosed across four quarters (4 sells, 1 buy). Parker’s 617,941-share sell plan (adopted Nov 7, 2023) was the largest. No plan terminations despite the stock collapse. 4:1 sell-to-buy asymmetry.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NEW FINDING 6 — Graf Retirement Breaks Swoosh Cross-Directorship at Audit Level: After 22 years, Graf resigned June 1, 2024. Swan (not a Swoosh board member) succeeded as Audit Chair. This is the first structural improvement in the Swoosh conflict since 2015.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NEW FINDING 7 — Hill Returns with Zero Shares: Elliott Hill’s Form 3 reported no Nike securities. A 32-year veteran returned as CEO with no financial stake in the company.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PERSISTENT: (8) 8-year stale Swoosh 13D with cumulative 10%+ share reduction undocumented; (9) ~12–13 year SEC comment letter gap persists despite active litigation, CEO transition, and first Exhibit 19 filing.</w:t>
      </w:r>
    </w:p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II. Evidence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750"/>
        <w:gridCol w:w="850"/>
        <w:gridCol w:w="1050"/>
        <w:gridCol w:w="4600"/>
        <w:gridCol w:w="1760"/>
      </w:tblGrid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B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E#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B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TYPE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B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DATE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B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ACCESSION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B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B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FINDING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E-1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10-K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7/25/24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0000320187-24-000044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FY2024 annual. EXHIBIT 19 FIRST FILING. Pre-clearance self-approval loophole. Risk factors STILL exclude dual-class. Securities fraud not specifically disclosed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1,8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E-2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Ex 19.1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7/25/24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nke-53124xexhibit191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ITP: MNPI prohibitions, tipping rules, covered persons. Pre-clearance by Chairman/CEO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E-3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Ex 19.2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7/25/24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nke-53124xexhibit192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Blackout policy: quarterly windows (15th of last month), VP Grade 65+ coverage, 10b5-1 plan Corporate Secretary approval, hardship exceptions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E-4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DEF 14A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7/25/24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0000320187-24-000045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Proxy. Say-on-pay 83.3% (-5pts). Rogers 40% withheld (2nd yr). PSU payout 0%. Donahoe $29.2M. Nielsen §16(a). 5 proposals defeated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Context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E-5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10-Q Q1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~10/5/23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0000320187-23-000052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FIRST Item 408(a): Swan BUY $1.5M; Matheson SELL 30K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5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E-6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10-Q Q2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1/5/24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0000320187-24-000004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Parker SELL 617,941 shares disclosed. Campion departure in Item 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5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E-7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10-Q Q3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~4/4/24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0000320187-24-000019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O’Neill SELL 138K; Nielsen SELL 468. $403M restructuring charges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5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E-8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8-K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9/18/24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0000320187-24-000058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BYLAWS REWRITTEN 1 day before CEO firing. Anti-activist + officer “clarifications”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2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E-9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8-K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9/19/24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0000320187-24-000053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CEO transition. Donahoe out, Hill in. No offer letter/separation agreement filed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2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E-10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Form 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6/5/24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Friend filing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Friend $889K sale. 22 days before 20% crash. Scienter evidence in complaint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4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E-11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Form 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6/28/24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Swan filing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Swan purchases $226K DAY AFTER crash. Only insider buy signal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Context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E-12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Form 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10/14/24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Hill filing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Hill: ZERO SHARES. Returns as CEO with no financial stake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7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E-13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8-K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6/1/24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0000320187-24-000024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Graf resigns. 22-year tenure. Swoosh Audit cross-directorship broken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6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E-14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SC 13D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6/30/15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0000897423-15-000038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 YEARS STALE. 10%+ share reduction undocumented. Trust restructuring unreported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8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E-15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Litigation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6/20/24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D.Or. 3:24-cv-00974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Securities fraud filed. $245M insider sales. CDPQ + Deka lead plaintiffs. Amended complaint Feb 2025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3</w:t>
            </w:r>
          </w:p>
        </w:tc>
      </w:tr>
      <w:tr>
        <w:tc>
          <w:tcPr>
            <w:tcW w:type="dxa" w:w="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E-16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CORRESP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~2012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Last known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~12–13 year gap. No review despite all FY2024 events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2"/>
                <w:szCs w:val="12"/>
              </w:rPr>
              <w:t xml:space="preserve">9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III. Cross-Referencing — 8 Systematic Checks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A) Compensation: DECOUPLED FROM PERFORMANCE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Donahoe $29.2M with 0% PSU payout and declining say-on-pay (83.3%). His separation provides advisor status through Jan 31, 2025 with continued equity vesting — a soft landing despite effective termination. Hill’s ~$27M year-one package includes $4M cash sign-on repayable only on voluntary resignation within 2 years.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B) Beneficial Ownership: SWOOSH DISTRIBUTIONS ACCELERATING WITHOUT 13D/A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Swoosh’s confirmed July 2023 distribution (2.75M shares) plus purported July 2024 distribution bring cumulative undocumented reduction to 10%+. December 2025 distributions totaled 9.5M additional shares. The 2016 13D’s share count is now materially inaccurate.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C) Related Party: UNCHANGED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Knight $500K Chairman Emeritus salary continues. No new related party transactions disclosed.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D) ITP: EXHIBIT 19 REVEALS SELF-APPROVAL ARCHITECTURE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The newly visible pre-clearance process confirms that Parker’s $508M+ in cumulative sales were approved either by himself or by a CEO subordinate to him. No independent review mechanism exists. 10b5-1 plans require separate Corporate Secretary approval, creating a dual-track system. Retroactive analysis confirms all prior-year trades were facially compliant with the policy — but the policy itself has a structural conflict at its core.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E) Timeline Integrity: BYLAWS-CEO SEQUENCE ANOMALOUS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The September 18 bylaws rewrite followed by the September 19 CEO announcement constitutes advance governance engineering around material non-public information. The ITP was revised July 2024 (same month as 10-K filing) but changes from prior version cannot be determined since no prior version was public.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F) SEC Engagement: FAILED (~12–13 YEAR GAP)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No comment letter correspondence identified through FY2024 despite: active securities fraud litigation, first Exhibit 19 filing, CEO transition, $4.3B buybacks, 8-year stale 13D, and 20% single-day stock crash.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G) §16(a): NIELSEN ADMINISTRATIVE ERROR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FY2024 proxy names only Johanna Nielsen’s late Form 4 for a September 2023 stock option grant. Administrative, not transactional.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H) 10b5-1 Compliance: FIRST COMPLETE DATASET — 4:1 SELL-TO-BUY ASYMMETRY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Five plans across four quarters: Parker SELL 617K, O’Neill SELL 138K, Matheson SELL 30K, Nielsen SELL 468 versus Swan BUY $1.5M. No terminations despite the stock collapse. Parker’s plan (adopted Nov 7, 2023) preceded the devastating Dec 21 restructuring announcement by 44 days — the securities fraud amended complaint likely scrutinizes this timing for MNPI awareness at adoption.</w:t>
      </w:r>
    </w:p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IV. Recommended Enforcement Actions — Culmination Priorities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Priority 1: Exhibit 19 Pre-Clearance Architecture Review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Compare Nike’s pre-clearance self-approval structure against Dow 30 peers. Determine whether any other S&amp;P 500 company allows its most prolific insider seller to serve as the pre-clearance gatekeeper without independent override. If Nike’s structure is unique, consider whether it constitutes a deficiency under the SEC’s 2022 Insider Trading Policy disclosure framework.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Priority 2: Parker Plan Adoption Dates — Cumulative Six-Year Subpoena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Parker’s cumulative sales now exceed $508M across six fiscal years. The November 7, 2023 adoption date (disclosed via Item 408a) establishes a pattern. Subpoena all prior-year adoption dates to determine: (a) whether November adoption was consistent across FY2019–2023; (b) whether any plan was adopted/modified during a blackout or while Parker possessed MNPI; (c) whether the December 2, 2019 blackout-period trade was governed by a pre-existing plan adopted before succession awareness.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Priority 3: Swoosh 13D — 8-Year Staleness + SEC 2023 Amendment Rules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Under the SEC’s October 2023 13D/G amendments (effective February 2024), material changes now require 13D/A filing within two business days. The cumulative undocumented share reduction exceeds 10%. The trust restructuring (2022) and distribution pattern (2023–2025) constitute changes to previously reported information. Determine whether Swoosh or its counsel evaluated amendment obligations under both old and new rules.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Priority 4: Coordinate with In Re Nike Plaintiffs on Exhibit 19 Discovery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The securities fraud complaint’s $245M insider sales allegation now maps directly against the Exhibit 19 pre-clearance architecture. Discovery should target: (a) pre-clearance approval records for all Parker trades 2019–2024; (b) whether Parker self-approved any transaction; (c) internal communications about the ITP’s self-approval structure; (d) whether the July 2024 ITP revision changed the pre-clearance process; (e) the prior version of the ITP that was never publicly filed.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0"/>
        <w:szCs w:val="10"/>
      </w:rPr>
      <w:t xml:space="preserve">PRIVILEGED &amp; CONFIDENTIAL — Nike FY2024 Full-Corpus Evidence Bundle</w:t>
    </w:r>
    <w:r>
      <w:rPr>
        <w:rFonts w:ascii="Arial" w:cs="Arial" w:eastAsia="Arial" w:hAnsi="Arial"/>
        <w:color w:val="999999"/>
        <w:sz w:val="10"/>
        <w:szCs w:val="10"/>
      </w:rPr>
      <w:ptab w:alignment="right" w:relativeTo="margin" w:leader="none"/>
    </w:r>
    <w:r>
      <w:rPr>
        <w:rFonts w:ascii="Arial" w:cs="Arial" w:eastAsia="Arial" w:hAnsi="Arial"/>
        <w:color w:val="999999"/>
        <w:sz w:val="10"/>
        <w:szCs w:val="10"/>
      </w:rPr>
      <w:t xml:space="preserve">Page </w:t>
    </w:r>
    <w:r>
      <w:rPr>
        <w:rFonts w:ascii="Arial" w:cs="Arial" w:eastAsia="Arial" w:hAnsi="Arial"/>
        <w:color w:val="999999"/>
        <w:sz w:val="10"/>
        <w:szCs w:val="1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1C1C" w:sz="4" w:space="4"/>
      </w:pBdr>
    </w:pPr>
    <w:r>
      <w:rPr>
        <w:rFonts w:ascii="Arial" w:cs="Arial" w:eastAsia="Arial" w:hAnsi="Arial"/>
        <w:b/>
        <w:bCs/>
        <w:color w:val="B91C1C"/>
        <w:sz w:val="11"/>
        <w:szCs w:val="11"/>
      </w:rPr>
      <w:t xml:space="preserve">SEC ENFORCEMENT TIP — FULL-CORPUS EDGAR AUDIT — FY2024 CULMINATION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2026-03-12T12:49:35.512Z</dcterms:created>
  <dcterms:modified xsi:type="dcterms:W3CDTF">2026-03-12T12:49:35.513Z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