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5"/>
        <w:jc w:val="center"/>
      </w:pPr>
      <w:r>
        <w:rPr>
          <w:rFonts w:ascii="Arial" w:cs="Arial" w:eastAsia="Arial" w:hAnsi="Arial"/>
          <w:b/>
          <w:bCs/>
          <w:color w:val="0F1B2D"/>
          <w:sz w:val="28"/>
          <w:szCs w:val="28"/>
        </w:rPr>
        <w:t xml:space="preserve">FULL-CORPUS COMPARATIVE FORENSIC TIMELINE — FISCAL YEAR 2025</w:t>
      </w:r>
    </w:p>
    <w:p>
      <w:pPr>
        <w:spacing w:after="10"/>
        <w:jc w:val="center"/>
      </w:pPr>
      <w:r>
        <w:rPr>
          <w:rFonts w:ascii="Arial" w:cs="Arial" w:eastAsia="Arial" w:hAnsi="Arial"/>
          <w:b/>
          <w:bCs/>
          <w:color w:val="B91C1C"/>
          <w:sz w:val="16"/>
          <w:szCs w:val="16"/>
        </w:rPr>
        <w:t xml:space="preserve">FINAL YEAR: Buy/Sell Divergence • Exhibit 19 Unchanged • Swoosh 9-Year Silence • Securities Fraud MTD Pending</w:t>
      </w:r>
    </w:p>
    <w:p>
      <w:pPr>
        <w:spacing w:after="10"/>
        <w:jc w:val="center"/>
      </w:pPr>
      <w:r>
        <w:rPr>
          <w:rFonts w:ascii="Arial" w:cs="Arial" w:eastAsia="Arial" w:hAnsi="Arial"/>
          <w:color w:val="6B7280"/>
          <w:sz w:val="13"/>
          <w:szCs w:val="13"/>
        </w:rPr>
        <w:t xml:space="preserve">Nike Inc. (NKE) | CIK 0000320187 | FY Ending May 31, 2025 | Generated: March 12, 2026</w:t>
      </w:r>
    </w:p>
    <w:p>
      <w:pPr>
        <w:spacing w:before="20" w:after="25"/>
      </w:pPr>
      <w:r>
        <w:rPr>
          <w:rFonts w:ascii="Arial" w:cs="Arial" w:eastAsia="Arial" w:hAnsi="Arial"/>
          <w:b/>
          <w:bCs/>
          <w:color w:val="0F1B2D"/>
          <w:sz w:val="11"/>
          <w:szCs w:val="11"/>
        </w:rPr>
        <w:t xml:space="preserve">FLAGS  </w:t>
      </w:r>
      <w:r>
        <w:rPr>
          <w:rFonts w:ascii="Arial" w:cs="Arial" w:eastAsia="Arial" w:hAnsi="Arial"/>
          <w:color w:val="4B5563"/>
          <w:sz w:val="10"/>
          <w:szCs w:val="10"/>
        </w:rPr>
        <w:t xml:space="preserve">BLACK = Structural fracture  |  RED = FY2025 anomaly  |  AMBER = Irregularity  |  GREEN = Compliant  |  EMERALD = Insider BUY (new)  |  GOLD = Regulatory milestone  |  GREY = Calendar</w:t>
      </w:r>
    </w:p>
    <w:tbl>
      <w:tblPr>
        <w:tblW w:type="dxa" w:w="85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0"/>
        <w:gridCol w:w="570"/>
        <w:gridCol w:w="2350"/>
        <w:gridCol w:w="1970"/>
        <w:gridCol w:w="2350"/>
        <w:gridCol w:w="500"/>
      </w:tblGrid>
      <w:tr>
        <w:trPr>
          <w:tblHeader/>
        </w:trPr>
        <w:tc>
          <w:tcPr>
            <w:tcW w:type="dxa" w:w="8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B2D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DATE</w:t>
            </w:r>
          </w:p>
        </w:tc>
        <w:tc>
          <w:tcPr>
            <w:tcW w:type="dxa" w:w="5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B2D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FILING</w:t>
            </w:r>
          </w:p>
        </w:tc>
        <w:tc>
          <w:tcPr>
            <w:tcW w:type="dxa" w:w="2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B2D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PROXY / PERIODIC FILING</w:t>
            </w:r>
          </w:p>
        </w:tc>
        <w:tc>
          <w:tcPr>
            <w:tcW w:type="dxa" w:w="19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B2D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FORM 4 / SECTION 16</w:t>
            </w:r>
          </w:p>
        </w:tc>
        <w:tc>
          <w:tcPr>
            <w:tcW w:type="dxa" w:w="2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B2D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GOVERNANCE / CORPORATE / CAPITAL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1B2D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FLAG</w:t>
            </w:r>
          </w:p>
        </w:tc>
      </w:tr>
      <w:tr>
        <w:tc>
          <w:tcPr>
            <w:tcW w:type="dxa" w:w="8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1A1A1A"/>
                <w:sz w:val="11"/>
                <w:szCs w:val="11"/>
              </w:rPr>
              <w:t xml:space="preserve">Jun 1, 2024</w:t>
            </w:r>
          </w:p>
        </w:tc>
        <w:tc>
          <w:tcPr>
            <w:tcW w:type="dxa" w:w="5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4B5563"/>
                <w:sz w:val="11"/>
                <w:szCs w:val="11"/>
              </w:rPr>
              <w:t xml:space="preserve">N/A</w:t>
            </w:r>
          </w:p>
        </w:tc>
        <w:tc>
          <w:tcPr>
            <w:tcW w:type="dxa" w:w="2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FY2025 begins. Hill’s 1st full FY as CEO (effective Oct 14). Securities fraud class period ends Oct 1, 2024. Parker cumulative: $508M+</w:t>
            </w:r>
          </w:p>
        </w:tc>
        <w:tc>
          <w:tcPr>
            <w:tcW w:type="dxa" w:w="19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2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F4F6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0"/>
                <w:szCs w:val="10"/>
              </w:rPr>
              <w:t xml:space="preserve">GREY</w:t>
            </w:r>
          </w:p>
        </w:tc>
      </w:tr>
      <w:tr>
        <w:tc>
          <w:tcPr>
            <w:tcW w:type="dxa" w:w="8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1A1A1A"/>
                <w:sz w:val="11"/>
                <w:szCs w:val="11"/>
              </w:rPr>
              <w:t xml:space="preserve">Jun 27, 2024</w:t>
            </w:r>
          </w:p>
        </w:tc>
        <w:tc>
          <w:tcPr>
            <w:tcW w:type="dxa" w:w="5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4B5563"/>
                <w:sz w:val="11"/>
                <w:szCs w:val="11"/>
              </w:rPr>
              <w:t xml:space="preserve">8-K</w:t>
            </w:r>
          </w:p>
        </w:tc>
        <w:tc>
          <w:tcPr>
            <w:tcW w:type="dxa" w:w="2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B91C1C"/>
                <w:sz w:val="11"/>
                <w:szCs w:val="11"/>
              </w:rPr>
              <w:t xml:space="preserve">Q4 FY2024 earnings. NKE DROPS 20% — worst single day in history. Revenue $12.6B (−2%). FY2025 guidance withdrawn</w:t>
            </w:r>
          </w:p>
        </w:tc>
        <w:tc>
          <w:tcPr>
            <w:tcW w:type="dxa" w:w="19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2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0"/>
                <w:szCs w:val="10"/>
              </w:rPr>
              <w:t xml:space="preserve">RED</w:t>
            </w:r>
          </w:p>
        </w:tc>
      </w:tr>
      <w:tr>
        <w:tc>
          <w:tcPr>
            <w:tcW w:type="dxa" w:w="8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1A1A1A"/>
                <w:sz w:val="11"/>
                <w:szCs w:val="11"/>
              </w:rPr>
              <w:t xml:space="preserve">Jun 28, 2024</w:t>
            </w:r>
          </w:p>
        </w:tc>
        <w:tc>
          <w:tcPr>
            <w:tcW w:type="dxa" w:w="5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4B5563"/>
                <w:sz w:val="11"/>
                <w:szCs w:val="11"/>
              </w:rPr>
              <w:t xml:space="preserve">Form 4</w:t>
            </w:r>
          </w:p>
        </w:tc>
        <w:tc>
          <w:tcPr>
            <w:tcW w:type="dxa" w:w="2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19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047857"/>
                <w:sz w:val="11"/>
                <w:szCs w:val="11"/>
              </w:rPr>
              <w:t xml:space="preserve">Swan purchases 2,941 shares @ $77 ($226K). Sole insider buyer on crash day</w:t>
            </w:r>
          </w:p>
        </w:tc>
        <w:tc>
          <w:tcPr>
            <w:tcW w:type="dxa" w:w="2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1FAE5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7857"/>
                <w:sz w:val="10"/>
                <w:szCs w:val="10"/>
              </w:rPr>
              <w:t xml:space="preserve">EMERALD</w:t>
            </w:r>
          </w:p>
        </w:tc>
      </w:tr>
      <w:tr>
        <w:tc>
          <w:tcPr>
            <w:tcW w:type="dxa" w:w="8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1A1A1A"/>
                <w:sz w:val="11"/>
                <w:szCs w:val="11"/>
              </w:rPr>
              <w:t xml:space="preserve">Jul 25, 2024</w:t>
            </w:r>
          </w:p>
        </w:tc>
        <w:tc>
          <w:tcPr>
            <w:tcW w:type="dxa" w:w="5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4B5563"/>
                <w:sz w:val="11"/>
                <w:szCs w:val="11"/>
              </w:rPr>
              <w:t xml:space="preserve">10-K/DEF14A</w:t>
            </w:r>
          </w:p>
        </w:tc>
        <w:tc>
          <w:tcPr>
            <w:tcW w:type="dxa" w:w="2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B91C1C"/>
                <w:sz w:val="11"/>
                <w:szCs w:val="11"/>
              </w:rPr>
              <w:t xml:space="preserve">FY2024 10-K + proxy filed. FIRST EXHIBIT 19: self-approval loophole revealed. Say-on-pay 83.3%. Rogers 40% withheld. 5 proposals defeated</w:t>
            </w:r>
          </w:p>
        </w:tc>
        <w:tc>
          <w:tcPr>
            <w:tcW w:type="dxa" w:w="19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2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2937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FAFB"/>
                <w:sz w:val="10"/>
                <w:szCs w:val="10"/>
              </w:rPr>
              <w:t xml:space="preserve">BLACK</w:t>
            </w:r>
          </w:p>
        </w:tc>
      </w:tr>
      <w:tr>
        <w:tc>
          <w:tcPr>
            <w:tcW w:type="dxa" w:w="8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1A1A1A"/>
                <w:sz w:val="11"/>
                <w:szCs w:val="11"/>
              </w:rPr>
              <w:t xml:space="preserve">~Aug 2024</w:t>
            </w:r>
          </w:p>
        </w:tc>
        <w:tc>
          <w:tcPr>
            <w:tcW w:type="dxa" w:w="5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4B5563"/>
                <w:sz w:val="11"/>
                <w:szCs w:val="11"/>
              </w:rPr>
              <w:t xml:space="preserve">Form 4</w:t>
            </w:r>
          </w:p>
        </w:tc>
        <w:tc>
          <w:tcPr>
            <w:tcW w:type="dxa" w:w="2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19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Parker sells ~$15M under 10b5-1 plan (adopted Nov 7 2023). Prices ~$73–79</w:t>
            </w:r>
          </w:p>
        </w:tc>
        <w:tc>
          <w:tcPr>
            <w:tcW w:type="dxa" w:w="2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7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0"/>
                <w:szCs w:val="10"/>
              </w:rPr>
              <w:t xml:space="preserve">AMBER</w:t>
            </w:r>
          </w:p>
        </w:tc>
      </w:tr>
      <w:tr>
        <w:tc>
          <w:tcPr>
            <w:tcW w:type="dxa" w:w="8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1A1A1A"/>
                <w:sz w:val="11"/>
                <w:szCs w:val="11"/>
              </w:rPr>
              <w:t xml:space="preserve">Sep 10, 2024</w:t>
            </w:r>
          </w:p>
        </w:tc>
        <w:tc>
          <w:tcPr>
            <w:tcW w:type="dxa" w:w="5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4B5563"/>
                <w:sz w:val="11"/>
                <w:szCs w:val="11"/>
              </w:rPr>
              <w:t xml:space="preserve">8-K</w:t>
            </w:r>
          </w:p>
        </w:tc>
        <w:tc>
          <w:tcPr>
            <w:tcW w:type="dxa" w:w="2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19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2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B91C1C"/>
                <w:sz w:val="11"/>
                <w:szCs w:val="11"/>
              </w:rPr>
              <w:t xml:space="preserve">FY2024 annual meeting (0000320187-24-000050). Rogers ~40% withheld (3rd yr). All Class A: 0% withheld. Say-on-pay 82.6%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0"/>
                <w:szCs w:val="10"/>
              </w:rPr>
              <w:t xml:space="preserve">RED</w:t>
            </w:r>
          </w:p>
        </w:tc>
      </w:tr>
      <w:tr>
        <w:tc>
          <w:tcPr>
            <w:tcW w:type="dxa" w:w="8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1A1A1A"/>
                <w:sz w:val="11"/>
                <w:szCs w:val="11"/>
              </w:rPr>
              <w:t xml:space="preserve">Sep 18, 2024</w:t>
            </w:r>
          </w:p>
        </w:tc>
        <w:tc>
          <w:tcPr>
            <w:tcW w:type="dxa" w:w="5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4B5563"/>
                <w:sz w:val="11"/>
                <w:szCs w:val="11"/>
              </w:rPr>
              <w:t xml:space="preserve">8-K</w:t>
            </w:r>
          </w:p>
        </w:tc>
        <w:tc>
          <w:tcPr>
            <w:tcW w:type="dxa" w:w="2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19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2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7C3AED"/>
                <w:sz w:val="11"/>
                <w:szCs w:val="11"/>
              </w:rPr>
              <w:t xml:space="preserve">BYLAWS REWRITTEN (0000320187-24-000058). Anti-activist + officer “clarifications.” ONE DAY before CEO firing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2937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FAFB"/>
                <w:sz w:val="10"/>
                <w:szCs w:val="10"/>
              </w:rPr>
              <w:t xml:space="preserve">BLACK</w:t>
            </w:r>
          </w:p>
        </w:tc>
      </w:tr>
      <w:tr>
        <w:tc>
          <w:tcPr>
            <w:tcW w:type="dxa" w:w="8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1A1A1A"/>
                <w:sz w:val="11"/>
                <w:szCs w:val="11"/>
              </w:rPr>
              <w:t xml:space="preserve">Sep 19, 2024</w:t>
            </w:r>
          </w:p>
        </w:tc>
        <w:tc>
          <w:tcPr>
            <w:tcW w:type="dxa" w:w="5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4B5563"/>
                <w:sz w:val="11"/>
                <w:szCs w:val="11"/>
              </w:rPr>
              <w:t xml:space="preserve">8-K</w:t>
            </w:r>
          </w:p>
        </w:tc>
        <w:tc>
          <w:tcPr>
            <w:tcW w:type="dxa" w:w="2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19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2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7C3AED"/>
                <w:sz w:val="11"/>
                <w:szCs w:val="11"/>
              </w:rPr>
              <w:t xml:space="preserve">DONAHOE TERMINATED. Hill CEO effective Oct 14 (0000320187-24-000053). Advisor through Jan 31, 2025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2937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FAFB"/>
                <w:sz w:val="10"/>
                <w:szCs w:val="10"/>
              </w:rPr>
              <w:t xml:space="preserve">BLACK</w:t>
            </w:r>
          </w:p>
        </w:tc>
      </w:tr>
      <w:tr>
        <w:tc>
          <w:tcPr>
            <w:tcW w:type="dxa" w:w="8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1A1A1A"/>
                <w:sz w:val="11"/>
                <w:szCs w:val="11"/>
              </w:rPr>
              <w:t xml:space="preserve">~Oct 1, 2024</w:t>
            </w:r>
          </w:p>
        </w:tc>
        <w:tc>
          <w:tcPr>
            <w:tcW w:type="dxa" w:w="5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4B5563"/>
                <w:sz w:val="11"/>
                <w:szCs w:val="11"/>
              </w:rPr>
              <w:t xml:space="preserve">N/A</w:t>
            </w:r>
          </w:p>
        </w:tc>
        <w:tc>
          <w:tcPr>
            <w:tcW w:type="dxa" w:w="2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19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2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B91C1C"/>
                <w:sz w:val="11"/>
                <w:szCs w:val="11"/>
              </w:rPr>
              <w:t xml:space="preserve">Securities fraud class period ENDS. $245M insider sales during class period alleged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0"/>
                <w:szCs w:val="10"/>
              </w:rPr>
              <w:t xml:space="preserve">RED</w:t>
            </w:r>
          </w:p>
        </w:tc>
      </w:tr>
      <w:tr>
        <w:tc>
          <w:tcPr>
            <w:tcW w:type="dxa" w:w="8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1A1A1A"/>
                <w:sz w:val="11"/>
                <w:szCs w:val="11"/>
              </w:rPr>
              <w:t xml:space="preserve">Oct 7, 2024</w:t>
            </w:r>
          </w:p>
        </w:tc>
        <w:tc>
          <w:tcPr>
            <w:tcW w:type="dxa" w:w="5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4B5563"/>
                <w:sz w:val="11"/>
                <w:szCs w:val="11"/>
              </w:rPr>
              <w:t xml:space="preserve">10-Q</w:t>
            </w:r>
          </w:p>
        </w:tc>
        <w:tc>
          <w:tcPr>
            <w:tcW w:type="dxa" w:w="2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Q1 FY2025 10-Q (0000320187-24-000065). Revenue $11.6B (−10%). Donahoe signs final certification. Hill’s first 8 days as CEO</w:t>
            </w:r>
          </w:p>
        </w:tc>
        <w:tc>
          <w:tcPr>
            <w:tcW w:type="dxa" w:w="19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2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1FAE5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0"/>
                <w:szCs w:val="10"/>
              </w:rPr>
              <w:t xml:space="preserve">GREEN</w:t>
            </w:r>
          </w:p>
        </w:tc>
      </w:tr>
      <w:tr>
        <w:tc>
          <w:tcPr>
            <w:tcW w:type="dxa" w:w="8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1A1A1A"/>
                <w:sz w:val="11"/>
                <w:szCs w:val="11"/>
              </w:rPr>
              <w:t xml:space="preserve">Oct 16, 2024</w:t>
            </w:r>
          </w:p>
        </w:tc>
        <w:tc>
          <w:tcPr>
            <w:tcW w:type="dxa" w:w="5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4B5563"/>
                <w:sz w:val="11"/>
                <w:szCs w:val="11"/>
              </w:rPr>
              <w:t xml:space="preserve">Form 3</w:t>
            </w:r>
          </w:p>
        </w:tc>
        <w:tc>
          <w:tcPr>
            <w:tcW w:type="dxa" w:w="2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19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Hill files Form 3: ZERO securities owned. 32-yr veteran returned with no financial stake</w:t>
            </w:r>
          </w:p>
        </w:tc>
        <w:tc>
          <w:tcPr>
            <w:tcW w:type="dxa" w:w="2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7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0"/>
                <w:szCs w:val="10"/>
              </w:rPr>
              <w:t xml:space="preserve">AMBER</w:t>
            </w:r>
          </w:p>
        </w:tc>
      </w:tr>
      <w:tr>
        <w:tc>
          <w:tcPr>
            <w:tcW w:type="dxa" w:w="8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1A1A1A"/>
                <w:sz w:val="11"/>
                <w:szCs w:val="11"/>
              </w:rPr>
              <w:t xml:space="preserve">Oct 25, 2024</w:t>
            </w:r>
          </w:p>
        </w:tc>
        <w:tc>
          <w:tcPr>
            <w:tcW w:type="dxa" w:w="5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4B5563"/>
                <w:sz w:val="11"/>
                <w:szCs w:val="11"/>
              </w:rPr>
              <w:t xml:space="preserve">N/A</w:t>
            </w:r>
          </w:p>
        </w:tc>
        <w:tc>
          <w:tcPr>
            <w:tcW w:type="dxa" w:w="2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19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2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B91C1C"/>
                <w:sz w:val="11"/>
                <w:szCs w:val="11"/>
              </w:rPr>
              <w:t xml:space="preserve">Securities fraud: CDPQ + Deka appointed lead plaintiffs. Labaton lead counsel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0"/>
                <w:szCs w:val="10"/>
              </w:rPr>
              <w:t xml:space="preserve">RED</w:t>
            </w:r>
          </w:p>
        </w:tc>
      </w:tr>
      <w:tr>
        <w:tc>
          <w:tcPr>
            <w:tcW w:type="dxa" w:w="8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1A1A1A"/>
                <w:sz w:val="11"/>
                <w:szCs w:val="11"/>
              </w:rPr>
              <w:t xml:space="preserve">Nov 7, 2024</w:t>
            </w:r>
          </w:p>
        </w:tc>
        <w:tc>
          <w:tcPr>
            <w:tcW w:type="dxa" w:w="5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4B5563"/>
                <w:sz w:val="11"/>
                <w:szCs w:val="11"/>
              </w:rPr>
              <w:t xml:space="preserve">Form 4</w:t>
            </w:r>
          </w:p>
        </w:tc>
        <w:tc>
          <w:tcPr>
            <w:tcW w:type="dxa" w:w="2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19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Parker adopts NEW 10b5-1 plan (replaces Nov 2023 plan). Disclosed in Q2 Item 408(a)</w:t>
            </w:r>
          </w:p>
        </w:tc>
        <w:tc>
          <w:tcPr>
            <w:tcW w:type="dxa" w:w="2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7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0"/>
                <w:szCs w:val="10"/>
              </w:rPr>
              <w:t xml:space="preserve">GOLD</w:t>
            </w:r>
          </w:p>
        </w:tc>
      </w:tr>
      <w:tr>
        <w:tc>
          <w:tcPr>
            <w:tcW w:type="dxa" w:w="8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1A1A1A"/>
                <w:sz w:val="11"/>
                <w:szCs w:val="11"/>
              </w:rPr>
              <w:t xml:space="preserve">Nov 7, 2024</w:t>
            </w:r>
          </w:p>
        </w:tc>
        <w:tc>
          <w:tcPr>
            <w:tcW w:type="dxa" w:w="5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4B5563"/>
                <w:sz w:val="11"/>
                <w:szCs w:val="11"/>
              </w:rPr>
              <w:t xml:space="preserve">Form 4</w:t>
            </w:r>
          </w:p>
        </w:tc>
        <w:tc>
          <w:tcPr>
            <w:tcW w:type="dxa" w:w="2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19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047857"/>
                <w:sz w:val="11"/>
                <w:szCs w:val="11"/>
              </w:rPr>
              <w:t xml:space="preserve">Knudstorp purchases 16,150 shares @ $62.09 ($1.0M). New director, discretionary buy</w:t>
            </w:r>
          </w:p>
        </w:tc>
        <w:tc>
          <w:tcPr>
            <w:tcW w:type="dxa" w:w="2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1FAE5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7857"/>
                <w:sz w:val="10"/>
                <w:szCs w:val="10"/>
              </w:rPr>
              <w:t xml:space="preserve">EMERALD</w:t>
            </w:r>
          </w:p>
        </w:tc>
      </w:tr>
      <w:tr>
        <w:tc>
          <w:tcPr>
            <w:tcW w:type="dxa" w:w="8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1A1A1A"/>
                <w:sz w:val="11"/>
                <w:szCs w:val="11"/>
              </w:rPr>
              <w:t xml:space="preserve">Dec 20, 2024</w:t>
            </w:r>
          </w:p>
        </w:tc>
        <w:tc>
          <w:tcPr>
            <w:tcW w:type="dxa" w:w="5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4B5563"/>
                <w:sz w:val="11"/>
                <w:szCs w:val="11"/>
              </w:rPr>
              <w:t xml:space="preserve">8-K</w:t>
            </w:r>
          </w:p>
        </w:tc>
        <w:tc>
          <w:tcPr>
            <w:tcW w:type="dxa" w:w="2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Q2 FY2025 earnings. Revenue $12.4B (−8%). Gross margin 43.6%. Inventory $7.7B (−8%)</w:t>
            </w:r>
          </w:p>
        </w:tc>
        <w:tc>
          <w:tcPr>
            <w:tcW w:type="dxa" w:w="19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2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F4F6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0"/>
                <w:szCs w:val="10"/>
              </w:rPr>
              <w:t xml:space="preserve">GREY</w:t>
            </w:r>
          </w:p>
        </w:tc>
      </w:tr>
      <w:tr>
        <w:tc>
          <w:tcPr>
            <w:tcW w:type="dxa" w:w="8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1A1A1A"/>
                <w:sz w:val="11"/>
                <w:szCs w:val="11"/>
              </w:rPr>
              <w:t xml:space="preserve">Dec 27, 2024</w:t>
            </w:r>
          </w:p>
        </w:tc>
        <w:tc>
          <w:tcPr>
            <w:tcW w:type="dxa" w:w="5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4B5563"/>
                <w:sz w:val="11"/>
                <w:szCs w:val="11"/>
              </w:rPr>
              <w:t xml:space="preserve">Form 4</w:t>
            </w:r>
          </w:p>
        </w:tc>
        <w:tc>
          <w:tcPr>
            <w:tcW w:type="dxa" w:w="2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19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047857"/>
                <w:sz w:val="11"/>
                <w:szCs w:val="11"/>
              </w:rPr>
              <w:t xml:space="preserve">Rogers purchases 2,500 shares @ $76.65 ($192K). Discretionary buy</w:t>
            </w:r>
          </w:p>
        </w:tc>
        <w:tc>
          <w:tcPr>
            <w:tcW w:type="dxa" w:w="2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1FAE5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7857"/>
                <w:sz w:val="10"/>
                <w:szCs w:val="10"/>
              </w:rPr>
              <w:t xml:space="preserve">EMERALD</w:t>
            </w:r>
          </w:p>
        </w:tc>
      </w:tr>
      <w:tr>
        <w:tc>
          <w:tcPr>
            <w:tcW w:type="dxa" w:w="8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1A1A1A"/>
                <w:sz w:val="11"/>
                <w:szCs w:val="11"/>
              </w:rPr>
              <w:t xml:space="preserve">Dec 29, 2024</w:t>
            </w:r>
          </w:p>
        </w:tc>
        <w:tc>
          <w:tcPr>
            <w:tcW w:type="dxa" w:w="5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4B5563"/>
                <w:sz w:val="11"/>
                <w:szCs w:val="11"/>
              </w:rPr>
              <w:t xml:space="preserve">Form 4</w:t>
            </w:r>
          </w:p>
        </w:tc>
        <w:tc>
          <w:tcPr>
            <w:tcW w:type="dxa" w:w="2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19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047857"/>
                <w:sz w:val="11"/>
                <w:szCs w:val="11"/>
              </w:rPr>
              <w:t xml:space="preserve">Hill purchases 16,388 shares @ $61.10 ($1.0M). Discretionary. NKE +4% on news. FIRST CEO purchase since investigation began</w:t>
            </w:r>
          </w:p>
        </w:tc>
        <w:tc>
          <w:tcPr>
            <w:tcW w:type="dxa" w:w="2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1FAE5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7857"/>
                <w:sz w:val="10"/>
                <w:szCs w:val="10"/>
              </w:rPr>
              <w:t xml:space="preserve">EMERALD</w:t>
            </w:r>
          </w:p>
        </w:tc>
      </w:tr>
      <w:tr>
        <w:tc>
          <w:tcPr>
            <w:tcW w:type="dxa" w:w="8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1A1A1A"/>
                <w:sz w:val="11"/>
                <w:szCs w:val="11"/>
              </w:rPr>
              <w:t xml:space="preserve">Dec 29, 2024</w:t>
            </w:r>
          </w:p>
        </w:tc>
        <w:tc>
          <w:tcPr>
            <w:tcW w:type="dxa" w:w="5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4B5563"/>
                <w:sz w:val="11"/>
                <w:szCs w:val="11"/>
              </w:rPr>
              <w:t xml:space="preserve">Form 4</w:t>
            </w:r>
          </w:p>
        </w:tc>
        <w:tc>
          <w:tcPr>
            <w:tcW w:type="dxa" w:w="2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19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B91C1C"/>
                <w:sz w:val="11"/>
                <w:szCs w:val="11"/>
              </w:rPr>
              <w:t xml:space="preserve">SWOOSH MEGA-DISTRIBUTION: 9.5M Class A shares (5M to Swoosh members, 4.5M to Phil Knight). LARGEST EVER. Holdings: ~225.75M→~221.75M. NO 13D/A. 13D NOW 8.5 YEARS STALE</w:t>
            </w:r>
          </w:p>
        </w:tc>
        <w:tc>
          <w:tcPr>
            <w:tcW w:type="dxa" w:w="2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2937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FAFB"/>
                <w:sz w:val="10"/>
                <w:szCs w:val="10"/>
              </w:rPr>
              <w:t xml:space="preserve">BLACK</w:t>
            </w:r>
          </w:p>
        </w:tc>
      </w:tr>
      <w:tr>
        <w:tc>
          <w:tcPr>
            <w:tcW w:type="dxa" w:w="8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1A1A1A"/>
                <w:sz w:val="11"/>
                <w:szCs w:val="11"/>
              </w:rPr>
              <w:t xml:space="preserve">~Jan 3, 2025</w:t>
            </w:r>
          </w:p>
        </w:tc>
        <w:tc>
          <w:tcPr>
            <w:tcW w:type="dxa" w:w="5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4B5563"/>
                <w:sz w:val="11"/>
                <w:szCs w:val="11"/>
              </w:rPr>
              <w:t xml:space="preserve">10-Q</w:t>
            </w:r>
          </w:p>
        </w:tc>
        <w:tc>
          <w:tcPr>
            <w:tcW w:type="dxa" w:w="2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Q2 FY2025 10-Q (0000320187-25-000004). Hill signs. Donahoe separation + Hill offer letter filed as exhibits. Item 408(a): Parker plan + Leinwand plan</w:t>
            </w:r>
          </w:p>
        </w:tc>
        <w:tc>
          <w:tcPr>
            <w:tcW w:type="dxa" w:w="19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2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7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0"/>
                <w:szCs w:val="10"/>
              </w:rPr>
              <w:t xml:space="preserve">GOLD</w:t>
            </w:r>
          </w:p>
        </w:tc>
      </w:tr>
      <w:tr>
        <w:tc>
          <w:tcPr>
            <w:tcW w:type="dxa" w:w="8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1A1A1A"/>
                <w:sz w:val="11"/>
                <w:szCs w:val="11"/>
              </w:rPr>
              <w:t xml:space="preserve">Jan 5, 2026</w:t>
            </w:r>
          </w:p>
        </w:tc>
        <w:tc>
          <w:tcPr>
            <w:tcW w:type="dxa" w:w="5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4B5563"/>
                <w:sz w:val="11"/>
                <w:szCs w:val="11"/>
              </w:rPr>
              <w:t xml:space="preserve">Form 4</w:t>
            </w:r>
          </w:p>
        </w:tc>
        <w:tc>
          <w:tcPr>
            <w:tcW w:type="dxa" w:w="2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19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B91C1C"/>
                <w:sz w:val="11"/>
                <w:szCs w:val="11"/>
              </w:rPr>
              <w:t xml:space="preserve">Travis Knight Form 4 for Dec 22, 2025 transaction. FILED ~10 BUSINESS DAYS LATE. First confirmed §16 timeliness failure in the investigation</w:t>
            </w:r>
          </w:p>
        </w:tc>
        <w:tc>
          <w:tcPr>
            <w:tcW w:type="dxa" w:w="2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0"/>
                <w:szCs w:val="10"/>
              </w:rPr>
              <w:t xml:space="preserve">RED</w:t>
            </w:r>
          </w:p>
        </w:tc>
      </w:tr>
      <w:tr>
        <w:tc>
          <w:tcPr>
            <w:tcW w:type="dxa" w:w="8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1A1A1A"/>
                <w:sz w:val="11"/>
                <w:szCs w:val="11"/>
              </w:rPr>
              <w:t xml:space="preserve">Jan 31, 2025</w:t>
            </w:r>
          </w:p>
        </w:tc>
        <w:tc>
          <w:tcPr>
            <w:tcW w:type="dxa" w:w="5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4B5563"/>
                <w:sz w:val="11"/>
                <w:szCs w:val="11"/>
              </w:rPr>
              <w:t xml:space="preserve">N/A</w:t>
            </w:r>
          </w:p>
        </w:tc>
        <w:tc>
          <w:tcPr>
            <w:tcW w:type="dxa" w:w="2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Donahoe formal retirement date. Advisory period ends. No separate 8-K filed</w:t>
            </w:r>
          </w:p>
        </w:tc>
        <w:tc>
          <w:tcPr>
            <w:tcW w:type="dxa" w:w="19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2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F4F6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0"/>
                <w:szCs w:val="10"/>
              </w:rPr>
              <w:t xml:space="preserve">GREY</w:t>
            </w:r>
          </w:p>
        </w:tc>
      </w:tr>
      <w:tr>
        <w:tc>
          <w:tcPr>
            <w:tcW w:type="dxa" w:w="8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1A1A1A"/>
                <w:sz w:val="11"/>
                <w:szCs w:val="11"/>
              </w:rPr>
              <w:t xml:space="preserve">Feb 10, 2025</w:t>
            </w:r>
          </w:p>
        </w:tc>
        <w:tc>
          <w:tcPr>
            <w:tcW w:type="dxa" w:w="5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4B5563"/>
                <w:sz w:val="11"/>
                <w:szCs w:val="11"/>
              </w:rPr>
              <w:t xml:space="preserve">N/A</w:t>
            </w:r>
          </w:p>
        </w:tc>
        <w:tc>
          <w:tcPr>
            <w:tcW w:type="dxa" w:w="2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19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2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7C3AED"/>
                <w:sz w:val="11"/>
                <w:szCs w:val="11"/>
              </w:rPr>
              <w:t xml:space="preserve">AMENDED COMPLAINT filed (292 pages). Parker added as defendant. 19 confidential witnesses. $245M insider sales. Class period Mar 2021–Oct 2024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2937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FAFB"/>
                <w:sz w:val="10"/>
                <w:szCs w:val="10"/>
              </w:rPr>
              <w:t xml:space="preserve">BLACK</w:t>
            </w:r>
          </w:p>
        </w:tc>
      </w:tr>
      <w:tr>
        <w:tc>
          <w:tcPr>
            <w:tcW w:type="dxa" w:w="8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1A1A1A"/>
                <w:sz w:val="11"/>
                <w:szCs w:val="11"/>
              </w:rPr>
              <w:t xml:space="preserve">~Feb 2025</w:t>
            </w:r>
          </w:p>
        </w:tc>
        <w:tc>
          <w:tcPr>
            <w:tcW w:type="dxa" w:w="5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4B5563"/>
                <w:sz w:val="11"/>
                <w:szCs w:val="11"/>
              </w:rPr>
              <w:t xml:space="preserve">Form 4</w:t>
            </w:r>
          </w:p>
        </w:tc>
        <w:tc>
          <w:tcPr>
            <w:tcW w:type="dxa" w:w="2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19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Parker sells ~$14M under 10b5-1. O’Neill sells ~$1M. Leinwand sells ~$0.5M</w:t>
            </w:r>
          </w:p>
        </w:tc>
        <w:tc>
          <w:tcPr>
            <w:tcW w:type="dxa" w:w="2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7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0"/>
                <w:szCs w:val="10"/>
              </w:rPr>
              <w:t xml:space="preserve">AMBER</w:t>
            </w:r>
          </w:p>
        </w:tc>
      </w:tr>
      <w:tr>
        <w:tc>
          <w:tcPr>
            <w:tcW w:type="dxa" w:w="8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1A1A1A"/>
                <w:sz w:val="11"/>
                <w:szCs w:val="11"/>
              </w:rPr>
              <w:t xml:space="preserve">Mar 7, 2025</w:t>
            </w:r>
          </w:p>
        </w:tc>
        <w:tc>
          <w:tcPr>
            <w:tcW w:type="dxa" w:w="5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4B5563"/>
                <w:sz w:val="11"/>
                <w:szCs w:val="11"/>
              </w:rPr>
              <w:t xml:space="preserve">8-K</w:t>
            </w:r>
          </w:p>
        </w:tc>
        <w:tc>
          <w:tcPr>
            <w:tcW w:type="dxa" w:w="2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8-K: New credit facilities ($1B 364-day + $2B 5-year). Replaces expiring facilities. $1B notes repaid at maturity Mar 27</w:t>
            </w:r>
          </w:p>
        </w:tc>
        <w:tc>
          <w:tcPr>
            <w:tcW w:type="dxa" w:w="19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2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1FAE5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0"/>
                <w:szCs w:val="10"/>
              </w:rPr>
              <w:t xml:space="preserve">GREEN</w:t>
            </w:r>
          </w:p>
        </w:tc>
      </w:tr>
      <w:tr>
        <w:tc>
          <w:tcPr>
            <w:tcW w:type="dxa" w:w="8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1A1A1A"/>
                <w:sz w:val="11"/>
                <w:szCs w:val="11"/>
              </w:rPr>
              <w:t xml:space="preserve">Mar 20, 2025</w:t>
            </w:r>
          </w:p>
        </w:tc>
        <w:tc>
          <w:tcPr>
            <w:tcW w:type="dxa" w:w="5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4B5563"/>
                <w:sz w:val="11"/>
                <w:szCs w:val="11"/>
              </w:rPr>
              <w:t xml:space="preserve">8-K</w:t>
            </w:r>
          </w:p>
        </w:tc>
        <w:tc>
          <w:tcPr>
            <w:tcW w:type="dxa" w:w="2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Q3 FY2025 earnings. Revenue $11.3B (−10%). Gross margin 41.5% (−230bps). Running category +mid-single-digits</w:t>
            </w:r>
          </w:p>
        </w:tc>
        <w:tc>
          <w:tcPr>
            <w:tcW w:type="dxa" w:w="19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2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F4F6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0"/>
                <w:szCs w:val="10"/>
              </w:rPr>
              <w:t xml:space="preserve">GREY</w:t>
            </w:r>
          </w:p>
        </w:tc>
      </w:tr>
      <w:tr>
        <w:tc>
          <w:tcPr>
            <w:tcW w:type="dxa" w:w="8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1A1A1A"/>
                <w:sz w:val="11"/>
                <w:szCs w:val="11"/>
              </w:rPr>
              <w:t xml:space="preserve">~Apr 3, 2025</w:t>
            </w:r>
          </w:p>
        </w:tc>
        <w:tc>
          <w:tcPr>
            <w:tcW w:type="dxa" w:w="5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4B5563"/>
                <w:sz w:val="11"/>
                <w:szCs w:val="11"/>
              </w:rPr>
              <w:t xml:space="preserve">10-Q</w:t>
            </w:r>
          </w:p>
        </w:tc>
        <w:tc>
          <w:tcPr>
            <w:tcW w:type="dxa" w:w="2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Q3 FY2025 10-Q (0000320187-25-000016). Tariff risk quantified. Restructuring: O’Neill role eliminated. Item 408(a): O’Neill + Nielsen plans. Zero dual-class risk factors across ALL 3 10-Qs</w:t>
            </w:r>
          </w:p>
        </w:tc>
        <w:tc>
          <w:tcPr>
            <w:tcW w:type="dxa" w:w="19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2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1FAE5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0"/>
                <w:szCs w:val="10"/>
              </w:rPr>
              <w:t xml:space="preserve">GREEN</w:t>
            </w:r>
          </w:p>
        </w:tc>
      </w:tr>
      <w:tr>
        <w:tc>
          <w:tcPr>
            <w:tcW w:type="dxa" w:w="8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1A1A1A"/>
                <w:sz w:val="11"/>
                <w:szCs w:val="11"/>
              </w:rPr>
              <w:t xml:space="preserve">~May 2025</w:t>
            </w:r>
          </w:p>
        </w:tc>
        <w:tc>
          <w:tcPr>
            <w:tcW w:type="dxa" w:w="5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4B5563"/>
                <w:sz w:val="11"/>
                <w:szCs w:val="11"/>
              </w:rPr>
              <w:t xml:space="preserve">Form 4</w:t>
            </w:r>
          </w:p>
        </w:tc>
        <w:tc>
          <w:tcPr>
            <w:tcW w:type="dxa" w:w="2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19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Parker sells ~$14M. Cumulative FY2025: ~$57.5M. Career total: ~$565M+</w:t>
            </w:r>
          </w:p>
        </w:tc>
        <w:tc>
          <w:tcPr>
            <w:tcW w:type="dxa" w:w="2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7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0"/>
                <w:szCs w:val="10"/>
              </w:rPr>
              <w:t xml:space="preserve">AMBER</w:t>
            </w:r>
          </w:p>
        </w:tc>
      </w:tr>
      <w:tr>
        <w:tc>
          <w:tcPr>
            <w:tcW w:type="dxa" w:w="8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1A1A1A"/>
                <w:sz w:val="11"/>
                <w:szCs w:val="11"/>
              </w:rPr>
              <w:t xml:space="preserve">May 5, 2025</w:t>
            </w:r>
          </w:p>
        </w:tc>
        <w:tc>
          <w:tcPr>
            <w:tcW w:type="dxa" w:w="5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4B5563"/>
                <w:sz w:val="11"/>
                <w:szCs w:val="11"/>
              </w:rPr>
              <w:t xml:space="preserve">8-K</w:t>
            </w:r>
          </w:p>
        </w:tc>
        <w:tc>
          <w:tcPr>
            <w:tcW w:type="dxa" w:w="2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8-K: O’NEILL DEPARTS. President role eliminated under Hill restructuring. Sep 5 separation date. Named defendant in securities fraud</w:t>
            </w:r>
          </w:p>
        </w:tc>
        <w:tc>
          <w:tcPr>
            <w:tcW w:type="dxa" w:w="19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2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7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0"/>
                <w:szCs w:val="10"/>
              </w:rPr>
              <w:t xml:space="preserve">AMBER</w:t>
            </w:r>
          </w:p>
        </w:tc>
      </w:tr>
      <w:tr>
        <w:tc>
          <w:tcPr>
            <w:tcW w:type="dxa" w:w="8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1A1A1A"/>
                <w:sz w:val="11"/>
                <w:szCs w:val="11"/>
              </w:rPr>
              <w:t xml:space="preserve">May 31, 2025</w:t>
            </w:r>
          </w:p>
        </w:tc>
        <w:tc>
          <w:tcPr>
            <w:tcW w:type="dxa" w:w="5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4B5563"/>
                <w:sz w:val="11"/>
                <w:szCs w:val="11"/>
              </w:rPr>
              <w:t xml:space="preserve">N/A</w:t>
            </w:r>
          </w:p>
        </w:tc>
        <w:tc>
          <w:tcPr>
            <w:tcW w:type="dxa" w:w="2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FY2025 ends. Revenue $46.3B (−10%). Net income $3.1B (−42%). NKE ~$62. Buybacks $3.0B. 0% PSP/PSU payout for ALL NEOs</w:t>
            </w:r>
          </w:p>
        </w:tc>
        <w:tc>
          <w:tcPr>
            <w:tcW w:type="dxa" w:w="19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2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F4F6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0"/>
                <w:szCs w:val="10"/>
              </w:rPr>
              <w:t xml:space="preserve">GREY</w:t>
            </w:r>
          </w:p>
        </w:tc>
      </w:tr>
      <w:tr>
        <w:tc>
          <w:tcPr>
            <w:tcW w:type="dxa" w:w="8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1A1A1A"/>
                <w:sz w:val="11"/>
                <w:szCs w:val="11"/>
              </w:rPr>
              <w:t xml:space="preserve">Jun 26, 2025</w:t>
            </w:r>
          </w:p>
        </w:tc>
        <w:tc>
          <w:tcPr>
            <w:tcW w:type="dxa" w:w="5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4B5563"/>
                <w:sz w:val="11"/>
                <w:szCs w:val="11"/>
              </w:rPr>
              <w:t xml:space="preserve">8-K</w:t>
            </w:r>
          </w:p>
        </w:tc>
        <w:tc>
          <w:tcPr>
            <w:tcW w:type="dxa" w:w="2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Q4/FY2025 earnings. Revenue $10.9B (−8%). Gross margin 40.3% (−510bps). Tariff impact: ~$1B annualized. Hill: “Win Now”</w:t>
            </w:r>
          </w:p>
        </w:tc>
        <w:tc>
          <w:tcPr>
            <w:tcW w:type="dxa" w:w="19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2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F4F6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0"/>
                <w:szCs w:val="10"/>
              </w:rPr>
              <w:t xml:space="preserve">GREY</w:t>
            </w:r>
          </w:p>
        </w:tc>
      </w:tr>
      <w:tr>
        <w:tc>
          <w:tcPr>
            <w:tcW w:type="dxa" w:w="8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1A1A1A"/>
                <w:sz w:val="11"/>
                <w:szCs w:val="11"/>
              </w:rPr>
              <w:t xml:space="preserve">Jul 17, 2025</w:t>
            </w:r>
          </w:p>
        </w:tc>
        <w:tc>
          <w:tcPr>
            <w:tcW w:type="dxa" w:w="5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4B5563"/>
                <w:sz w:val="11"/>
                <w:szCs w:val="11"/>
              </w:rPr>
              <w:t xml:space="preserve">10-K</w:t>
            </w:r>
          </w:p>
        </w:tc>
        <w:tc>
          <w:tcPr>
            <w:tcW w:type="dxa" w:w="2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B91C1C"/>
                <w:sz w:val="11"/>
                <w:szCs w:val="11"/>
              </w:rPr>
              <w:t xml:space="preserve">FY2025 10-K filed (0000320187-25-000047). Exhibit 19 UNCHANGED (inc by ref from FY2024). Self-approval loophole PERSISTS. Tariff risk factor expanded. Dual-class: STILL ABSENT. S-3ASR shelf filed same day</w:t>
            </w:r>
          </w:p>
        </w:tc>
        <w:tc>
          <w:tcPr>
            <w:tcW w:type="dxa" w:w="19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2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0"/>
                <w:szCs w:val="10"/>
              </w:rPr>
              <w:t xml:space="preserve">RED</w:t>
            </w:r>
          </w:p>
        </w:tc>
      </w:tr>
      <w:tr>
        <w:tc>
          <w:tcPr>
            <w:tcW w:type="dxa" w:w="8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1A1A1A"/>
                <w:sz w:val="11"/>
                <w:szCs w:val="11"/>
              </w:rPr>
              <w:t xml:space="preserve">Jul 17, 2025</w:t>
            </w:r>
          </w:p>
        </w:tc>
        <w:tc>
          <w:tcPr>
            <w:tcW w:type="dxa" w:w="5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4B5563"/>
                <w:sz w:val="11"/>
                <w:szCs w:val="11"/>
              </w:rPr>
              <w:t xml:space="preserve">DEF 14A</w:t>
            </w:r>
          </w:p>
        </w:tc>
        <w:tc>
          <w:tcPr>
            <w:tcW w:type="dxa" w:w="2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B91C1C"/>
                <w:sz w:val="11"/>
                <w:szCs w:val="11"/>
              </w:rPr>
              <w:t xml:space="preserve">FY2025 proxy (0000320187-25-000048). §16(a) present (p.75). Parker bio: NO Swoosh mention. Item 408(b) deferred to proxy. Say-on-pay ~82.6% (FY2024 meeting). ZERO shareholder proposals for Sep 2025 meeting</w:t>
            </w:r>
          </w:p>
        </w:tc>
        <w:tc>
          <w:tcPr>
            <w:tcW w:type="dxa" w:w="19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2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0"/>
                <w:szCs w:val="10"/>
              </w:rPr>
              <w:t xml:space="preserve">RED</w:t>
            </w:r>
          </w:p>
        </w:tc>
      </w:tr>
      <w:tr>
        <w:tc>
          <w:tcPr>
            <w:tcW w:type="dxa" w:w="8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1A1A1A"/>
                <w:sz w:val="11"/>
                <w:szCs w:val="11"/>
              </w:rPr>
              <w:t xml:space="preserve">~Jul 2025</w:t>
            </w:r>
          </w:p>
        </w:tc>
        <w:tc>
          <w:tcPr>
            <w:tcW w:type="dxa" w:w="5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4B5563"/>
                <w:sz w:val="11"/>
                <w:szCs w:val="11"/>
              </w:rPr>
              <w:t xml:space="preserve">N/A</w:t>
            </w:r>
          </w:p>
        </w:tc>
        <w:tc>
          <w:tcPr>
            <w:tcW w:type="dxa" w:w="2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19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2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B91C1C"/>
                <w:sz w:val="11"/>
                <w:szCs w:val="11"/>
              </w:rPr>
              <w:t xml:space="preserve">S&amp;P DOWNGRADES Nike from AA− to A+ (Jul 16). Moody’s A1→A2 (Nov 13). Tariff + profitability concerns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0"/>
                <w:szCs w:val="10"/>
              </w:rPr>
              <w:t xml:space="preserve">RED</w:t>
            </w:r>
          </w:p>
        </w:tc>
      </w:tr>
      <w:tr>
        <w:tc>
          <w:tcPr>
            <w:tcW w:type="dxa" w:w="8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1A1A1A"/>
                <w:sz w:val="11"/>
                <w:szCs w:val="11"/>
              </w:rPr>
              <w:t xml:space="preserve">Sep 9, 2025</w:t>
            </w:r>
          </w:p>
        </w:tc>
        <w:tc>
          <w:tcPr>
            <w:tcW w:type="dxa" w:w="5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4B5563"/>
                <w:sz w:val="11"/>
                <w:szCs w:val="11"/>
              </w:rPr>
              <w:t xml:space="preserve">8-K</w:t>
            </w:r>
          </w:p>
        </w:tc>
        <w:tc>
          <w:tcPr>
            <w:tcW w:type="dxa" w:w="2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19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2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>FY2025 annual meeting (0000320187-25-000060). Knudstorp elected. ZERO shareholder proposals. All Class A: unanimous. Say-on-pay approved. Stock Incentive Plan +45M shares approved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3C7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0"/>
                <w:szCs w:val="10"/>
              </w:rPr>
              <w:t xml:space="preserve">AMBER</w:t>
            </w:r>
          </w:p>
        </w:tc>
      </w:tr>
      <w:tr>
        <w:tc>
          <w:tcPr>
            <w:tcW w:type="dxa" w:w="8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1A1A1A"/>
                <w:sz w:val="11"/>
                <w:szCs w:val="11"/>
              </w:rPr>
              <w:t xml:space="preserve">Dec 22, 2025</w:t>
            </w:r>
          </w:p>
        </w:tc>
        <w:tc>
          <w:tcPr>
            <w:tcW w:type="dxa" w:w="5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4B5563"/>
                <w:sz w:val="11"/>
                <w:szCs w:val="11"/>
              </w:rPr>
              <w:t xml:space="preserve">Form 4</w:t>
            </w:r>
          </w:p>
        </w:tc>
        <w:tc>
          <w:tcPr>
            <w:tcW w:type="dxa" w:w="2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19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047857"/>
                <w:sz w:val="11"/>
                <w:szCs w:val="11"/>
              </w:rPr>
              <w:t xml:space="preserve">Cook purchases 50,000 shares @ $58.97 ($2.95M). LARGEST SINGLE INSIDER BUY in 7-year investigation. Holdings +90%</w:t>
            </w:r>
          </w:p>
        </w:tc>
        <w:tc>
          <w:tcPr>
            <w:tcW w:type="dxa" w:w="2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1FAE5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7857"/>
                <w:sz w:val="10"/>
                <w:szCs w:val="10"/>
              </w:rPr>
              <w:t xml:space="preserve">EMERALD</w:t>
            </w:r>
          </w:p>
        </w:tc>
      </w:tr>
      <w:tr>
        <w:tc>
          <w:tcPr>
            <w:tcW w:type="dxa" w:w="8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1A1A1A"/>
                <w:sz w:val="11"/>
                <w:szCs w:val="11"/>
              </w:rPr>
              <w:t xml:space="preserve">~2012–2025</w:t>
            </w:r>
          </w:p>
        </w:tc>
        <w:tc>
          <w:tcPr>
            <w:tcW w:type="dxa" w:w="5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4B5563"/>
                <w:sz w:val="11"/>
                <w:szCs w:val="11"/>
              </w:rPr>
              <w:t xml:space="preserve">CORRESP</w:t>
            </w:r>
          </w:p>
        </w:tc>
        <w:tc>
          <w:tcPr>
            <w:tcW w:type="dxa" w:w="2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19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1"/>
                <w:szCs w:val="11"/>
              </w:rPr>
              <w:t xml:space="preserve"/>
            </w:r>
          </w:p>
        </w:tc>
        <w:tc>
          <w:tcPr>
            <w:tcW w:type="dxa" w:w="2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spacing w:before="3" w:after="3"/>
            </w:pPr>
            <w:r>
              <w:rPr>
                <w:rFonts w:ascii="Arial" w:cs="Arial" w:eastAsia="Arial" w:hAnsi="Arial"/>
                <w:b/>
                <w:bCs/>
                <w:color w:val="B91C1C"/>
                <w:sz w:val="11"/>
                <w:szCs w:val="11"/>
              </w:rPr>
              <w:t xml:space="preserve">~13-YEAR SEC COMMENT LETTER GAP. No CORRESP despite CEO termination, Exhibit 19, $245M fraud complaint, bylaws rewrite, 9-yr stale 13D, dual credit downgrades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8E8" w:val="clear"/>
            <w:tcMar>
              <w:top w:type="dxa" w:w="38"/>
              <w:left w:type="dxa" w:w="65"/>
              <w:bottom w:type="dxa" w:w="38"/>
              <w:right w:type="dxa" w:w="65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0"/>
                <w:szCs w:val="10"/>
              </w:rPr>
              <w:t xml:space="preserve">RED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Critical Convergence Points — FY2025</w:t>
      </w:r>
    </w:p>
    <w:p>
      <w:pPr>
        <w:pStyle w:val="Heading2"/>
      </w:pPr>
      <w:r>
        <w:t xml:space="preserve">Convergence 1: December 22–29, 2025 (The Signal Inversion)</w:t>
      </w:r>
    </w:p>
    <w:p>
      <w:pPr>
        <w:spacing w:before="0" w:after="95"/>
      </w:pPr>
      <w:r>
        <w:rPr>
          <w:rFonts w:ascii="Arial" w:cs="Arial" w:eastAsia="Arial" w:hAnsi="Arial"/>
          <w:b w:val="false"/>
          <w:bCs w:val="false"/>
          <w:color w:val="1A1A1A"/>
          <w:sz w:val="16"/>
          <w:szCs w:val="16"/>
        </w:rPr>
        <w:t xml:space="preserve">In seven days: Cook buys $2.95M in stock ($58.97, largest insider buy in the investigation); Hill buys $1.0M ($61.10, first CEO purchase since FY2019); and Swoosh distributes 9.5M Class A shares (largest ever) without 13D amendment. The directors are buying with personal funds at multi-year lows while the Knight family is distributing through the entity they’ve refused to update on EDGAR for 9 years. The signal inversion — buy-side confidence from governance principals, sell-side distribution from controlling shareholders — is the defining FY2025 convergence.</w:t>
      </w:r>
    </w:p>
    <w:p>
      <w:pPr>
        <w:pStyle w:val="Heading2"/>
      </w:pPr>
      <w:r>
        <w:t xml:space="preserve">Convergence 2: February 10 – July 17, 2025 (Amended Complaint → Unchanged Exhibit 19)</w:t>
      </w:r>
    </w:p>
    <w:p>
      <w:pPr>
        <w:spacing w:before="0" w:after="95"/>
      </w:pPr>
      <w:r>
        <w:rPr>
          <w:rFonts w:ascii="Arial" w:cs="Arial" w:eastAsia="Arial" w:hAnsi="Arial"/>
          <w:b w:val="false"/>
          <w:bCs w:val="false"/>
          <w:color w:val="1A1A1A"/>
          <w:sz w:val="16"/>
          <w:szCs w:val="16"/>
        </w:rPr>
        <w:t xml:space="preserve">The 292-page amended complaint added Parker as a defendant and detailed the pre-clearance self-approval pathway (citing Exhibit 19.2) as evidence of governance failure. Five months later, the FY2025 10-K incorporated Exhibit 19 by reference from FY2024 — unchanged. The complaint identified the structural flaw; the company’s response was to file the identical policy. The board had 5 months between the complaint’s public filing and the 10-K to reform the pre-clearance architecture. It chose not to.</w:t>
      </w:r>
    </w:p>
    <w:p>
      <w:pPr>
        <w:pStyle w:val="Heading2"/>
      </w:pPr>
      <w:r>
        <w:t xml:space="preserve">Convergence 3: Travis Knight’s Late Form 4 (Jan 5, 2026 for Dec 22 Transaction)</w:t>
      </w:r>
    </w:p>
    <w:p>
      <w:pPr>
        <w:spacing w:before="0" w:after="95"/>
      </w:pPr>
      <w:r>
        <w:rPr>
          <w:rFonts w:ascii="Arial" w:cs="Arial" w:eastAsia="Arial" w:hAnsi="Arial"/>
          <w:b w:val="false"/>
          <w:bCs w:val="false"/>
          <w:color w:val="1A1A1A"/>
          <w:sz w:val="16"/>
          <w:szCs w:val="16"/>
        </w:rPr>
        <w:t xml:space="preserve">Travis Knight’s Form 4 for a December 22, 2025 trust distribution was filed approximately January 5, 2026 — roughly 10 business days late, well beyond the 2-day statutory requirement. This is the first confirmed Section 16 timeliness failure by a Knight family member in the entire seven-year investigation. It occurred in the same week as the Swoosh mega-distribution that received no 13D amendment, reinforcing the pattern of Knight-family filing discipline operating independently of statutory deadlines.</w:t>
      </w:r>
    </w:p>
    <w:p>
      <w:pPr>
        <w:pStyle w:val="Heading1"/>
      </w:pPr>
      <w:r>
        <w:t xml:space="preserve">Methodology</w:t>
      </w:r>
    </w:p>
    <w:p>
      <w:pPr>
        <w:spacing w:before="0" w:after="95"/>
      </w:pPr>
      <w:r>
        <w:rPr>
          <w:rFonts w:ascii="Arial" w:cs="Arial" w:eastAsia="Arial" w:hAnsi="Arial"/>
          <w:b w:val="false"/>
          <w:bCs w:val="false"/>
          <w:color w:val="4B5563"/>
          <w:sz w:val="13"/>
          <w:szCs w:val="13"/>
        </w:rPr>
        <w:t xml:space="preserve">Final audit in the FY2019–FY2025 full-corpus series. 12 EDGAR filing categories for Nike CIK 0000320187 during June 2024–December 2025. New EMERALD flag category for insider purchases — the first sustained buy-side activity in the investigation. Securities fraud complaint cross-referenced against all filing types. Exhibit 19 incorporation-by-reference verified. Swoosh distribution chain tracked through Form 4 filings. This timeline completes 36 deliverables across 7 fiscal years.</w:t>
      </w:r>
    </w:p>
    <w:sectPr>
      <w:headerReference w:type="default" r:id="rId6"/>
      <w:footerReference w:type="default" r:id="rId7"/>
      <w:pgSz w:w="12240" w:h="15840" w:orient="landscape"/>
      <w:pgMar w:top="580" w:right="580" w:bottom="580" w:left="5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3"/>
      </w:pBdr>
      <w:tabs>
        <w:tab w:val="right" w:pos="9026"/>
      </w:tabs>
    </w:pPr>
    <w:r>
      <w:rPr>
        <w:rFonts w:ascii="Arial" w:cs="Arial" w:eastAsia="Arial" w:hAnsi="Arial"/>
        <w:color w:val="999999"/>
        <w:sz w:val="10"/>
        <w:szCs w:val="10"/>
      </w:rPr>
      <w:t xml:space="preserve">Nike Inc. (CIK 0000320187) — FY2025 Full-Corpus Timeline — FINAL IN 7-YEAR SERIES</w:t>
    </w:r>
    <w:r>
      <w:rPr>
        <w:rFonts w:ascii="Arial" w:cs="Arial" w:eastAsia="Arial" w:hAnsi="Arial"/>
        <w:color w:val="999999"/>
        <w:sz w:val="10"/>
        <w:szCs w:val="10"/>
      </w:rPr>
      <w:ptab w:alignment="right" w:relativeTo="margin" w:leader="none"/>
    </w:r>
    <w:r>
      <w:rPr>
        <w:rFonts w:ascii="Arial" w:cs="Arial" w:eastAsia="Arial" w:hAnsi="Arial"/>
        <w:color w:val="999999"/>
        <w:sz w:val="10"/>
        <w:szCs w:val="10"/>
      </w:rPr>
      <w:t xml:space="preserve">Page </w:t>
    </w:r>
    <w:r>
      <w:rPr>
        <w:rFonts w:ascii="Arial" w:cs="Arial" w:eastAsia="Arial" w:hAnsi="Arial"/>
        <w:color w:val="999999"/>
        <w:sz w:val="10"/>
        <w:szCs w:val="1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1B2D" w:sz="4" w:space="3"/>
      </w:pBdr>
    </w:pPr>
    <w:r>
      <w:rPr>
        <w:rFonts w:ascii="Arial" w:cs="Arial" w:eastAsia="Arial" w:hAnsi="Arial"/>
        <w:b/>
        <w:bCs/>
        <w:color w:val="B91C1C"/>
        <w:sz w:val="10"/>
        <w:szCs w:val="10"/>
      </w:rPr>
      <w:t xml:space="preserve">PRIVILEGED &amp; CONFIDENTIAL  |  FULL-CORPUS EDGAR AUDIT  |  FY2025 FINAL  |  ATTORNEY WORK PRODUCT</w:t>
    </w:r>
    <w:r>
      <w:rPr>
        <w:rFonts w:ascii="Arial" w:cs="Arial" w:eastAsia="Arial" w:hAnsi="Arial"/>
        <w:sz w:val="10"/>
        <w:szCs w:val="10"/>
      </w:rPr>
      <w:t xml:space="preserve">                              </w:t>
    </w:r>
    <w:r>
      <w:rPr>
        <w:rFonts w:ascii="Arial" w:cs="Arial" w:eastAsia="Arial" w:hAnsi="Arial"/>
        <w:color w:val="999999"/>
        <w:sz w:val="10"/>
        <w:szCs w:val="10"/>
      </w:rPr>
      <w:t xml:space="preserve">JLAW v4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30"/>
      <w:outlineLvl w:val="0"/>
    </w:pPr>
    <w:rPr>
      <w:rFonts w:ascii="Arial" w:cs="Arial" w:eastAsia="Arial" w:hAnsi="Arial"/>
      <w:b/>
      <w:bCs/>
      <w:color w:val="0F1B2D"/>
      <w:sz w:val="24"/>
      <w:szCs w:val="24"/>
    </w:rPr>
  </w:style>
  <w:style w:type="paragraph" w:styleId="Heading2">
    <w:name w:val="Heading 2"/>
    <w:basedOn w:val="Normal"/>
    <w:next w:val="Normal"/>
    <w:qFormat/>
    <w:pPr>
      <w:spacing w:before="190" w:after="100"/>
      <w:outlineLvl w:val="1"/>
    </w:pPr>
    <w:rPr>
      <w:rFonts w:ascii="Arial" w:cs="Arial" w:eastAsia="Arial" w:hAnsi="Arial"/>
      <w:b/>
      <w:bCs/>
      <w:color w:val="0F1B2D"/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2026-03-12T12:52:40.395Z</dcterms:created>
  <dcterms:modified xsi:type="dcterms:W3CDTF">2026-03-12T12:52:40.396Z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