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B2545" w:sz="6" w:space="5"/>
        </w:pBdr>
        <w:spacing w:after="80"/>
        <w:jc w:val="center"/>
      </w:pPr>
      <w:r>
        <w:rPr>
          <w:rFonts w:ascii="Arial" w:cs="Arial" w:eastAsia="Arial" w:hAnsi="Arial"/>
          <w:b/>
          <w:bCs/>
          <w:color w:val="0B2545"/>
          <w:sz w:val="25"/>
          <w:szCs w:val="25"/>
        </w:rPr>
        <w:t xml:space="preserve">GOVERNANCE BRIEFING MEMORANDUM — FY2025 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8110"/>
      </w:tblGrid>
      <w:tr>
        <w:tc>
          <w:tcPr>
            <w:tcW w:type="dxa" w:w="1250"/>
            <w:tcBorders>
              <w:top w:val="none"/>
              <w:left w:val="none"/>
              <w:bottom w:val="none"/>
              <w:right w:val="none"/>
            </w:tcBorders>
            <w:tcMar>
              <w:top w:type="dxa" w:w="38"/>
              <w:left w:type="dxa" w:w="68"/>
              <w:bottom w:type="dxa" w:w="38"/>
              <w:right w:type="dxa" w:w="68"/>
            </w:tcMar>
          </w:tcPr>
          <w:p>
            <w:r>
              <w:rPr>
                <w:rFonts w:ascii="Arial" w:cs="Arial" w:eastAsia="Arial" w:hAnsi="Arial"/>
                <w:b/>
                <w:bCs/>
                <w:color w:val="0B2545"/>
                <w:sz w:val="17"/>
                <w:szCs w:val="17"/>
              </w:rPr>
              <w:t xml:space="preserve">TO:</w:t>
            </w:r>
          </w:p>
        </w:tc>
        <w:tc>
          <w:tcPr>
            <w:tcW w:type="dxa" w:w="8110"/>
            <w:tcBorders>
              <w:top w:val="none"/>
              <w:left w:val="none"/>
              <w:bottom w:val="none"/>
              <w:right w:val="none"/>
            </w:tcBorders>
            <w:tcMar>
              <w:top w:type="dxa" w:w="38"/>
              <w:left w:type="dxa" w:w="68"/>
              <w:bottom w:type="dxa" w:w="38"/>
              <w:right w:type="dxa" w:w="68"/>
            </w:tcMar>
          </w:tcPr>
          <w:p>
            <w:r>
              <w:rPr>
                <w:rFonts w:ascii="Arial" w:cs="Arial" w:eastAsia="Arial" w:hAnsi="Arial"/>
                <w:sz w:val="17"/>
                <w:szCs w:val="17"/>
              </w:rPr>
              <w:t xml:space="preserve">ISS Governance Research Division</w:t>
            </w:r>
          </w:p>
        </w:tc>
      </w:tr>
      <w:tr>
        <w:tc>
          <w:tcPr>
            <w:tcW w:type="dxa" w:w="1250"/>
            <w:tcBorders>
              <w:top w:val="none"/>
              <w:left w:val="none"/>
              <w:bottom w:val="none"/>
              <w:right w:val="none"/>
            </w:tcBorders>
            <w:tcMar>
              <w:top w:type="dxa" w:w="38"/>
              <w:left w:type="dxa" w:w="68"/>
              <w:bottom w:type="dxa" w:w="38"/>
              <w:right w:type="dxa" w:w="68"/>
            </w:tcMar>
          </w:tcPr>
          <w:p>
            <w:r>
              <w:rPr>
                <w:rFonts w:ascii="Arial" w:cs="Arial" w:eastAsia="Arial" w:hAnsi="Arial"/>
                <w:b/>
                <w:bCs/>
                <w:color w:val="0B2545"/>
                <w:sz w:val="17"/>
                <w:szCs w:val="17"/>
              </w:rPr>
              <w:t xml:space="preserve">FROM:</w:t>
            </w:r>
          </w:p>
        </w:tc>
        <w:tc>
          <w:tcPr>
            <w:tcW w:type="dxa" w:w="8110"/>
            <w:tcBorders>
              <w:top w:val="none"/>
              <w:left w:val="none"/>
              <w:bottom w:val="none"/>
              <w:right w:val="none"/>
            </w:tcBorders>
            <w:tcMar>
              <w:top w:type="dxa" w:w="38"/>
              <w:left w:type="dxa" w:w="68"/>
              <w:bottom w:type="dxa" w:w="38"/>
              <w:right w:type="dxa" w:w="68"/>
            </w:tcMar>
          </w:tcPr>
          <w:p>
            <w:r>
              <w:rPr>
                <w:rFonts w:ascii="Arial" w:cs="Arial" w:eastAsia="Arial" w:hAnsi="Arial"/>
                <w:sz w:val="17"/>
                <w:szCs w:val="17"/>
              </w:rPr>
              <w:t xml:space="preserve">JLAW Forensic Intelligence Platform v4</w:t>
            </w:r>
          </w:p>
        </w:tc>
      </w:tr>
      <w:tr>
        <w:tc>
          <w:tcPr>
            <w:tcW w:type="dxa" w:w="1250"/>
            <w:tcBorders>
              <w:top w:val="none"/>
              <w:left w:val="none"/>
              <w:bottom w:val="none"/>
              <w:right w:val="none"/>
            </w:tcBorders>
            <w:tcMar>
              <w:top w:type="dxa" w:w="38"/>
              <w:left w:type="dxa" w:w="68"/>
              <w:bottom w:type="dxa" w:w="38"/>
              <w:right w:type="dxa" w:w="68"/>
            </w:tcMar>
          </w:tcPr>
          <w:p>
            <w:r>
              <w:rPr>
                <w:rFonts w:ascii="Arial" w:cs="Arial" w:eastAsia="Arial" w:hAnsi="Arial"/>
                <w:b/>
                <w:bCs/>
                <w:color w:val="0B2545"/>
                <w:sz w:val="17"/>
                <w:szCs w:val="17"/>
              </w:rPr>
              <w:t xml:space="preserve">DATE:</w:t>
            </w:r>
          </w:p>
        </w:tc>
        <w:tc>
          <w:tcPr>
            <w:tcW w:type="dxa" w:w="8110"/>
            <w:tcBorders>
              <w:top w:val="none"/>
              <w:left w:val="none"/>
              <w:bottom w:val="none"/>
              <w:right w:val="none"/>
            </w:tcBorders>
            <w:tcMar>
              <w:top w:type="dxa" w:w="38"/>
              <w:left w:type="dxa" w:w="68"/>
              <w:bottom w:type="dxa" w:w="38"/>
              <w:right w:type="dxa" w:w="68"/>
            </w:tcMar>
          </w:tcPr>
          <w:p>
            <w:r>
              <w:rPr>
                <w:rFonts w:ascii="Arial" w:cs="Arial" w:eastAsia="Arial" w:hAnsi="Arial"/>
                <w:sz w:val="17"/>
                <w:szCs w:val="17"/>
              </w:rPr>
              <w:t xml:space="preserve">March 12, 2026</w:t>
            </w:r>
          </w:p>
        </w:tc>
      </w:tr>
      <w:tr>
        <w:tc>
          <w:tcPr>
            <w:tcW w:type="dxa" w:w="1250"/>
            <w:tcBorders>
              <w:top w:val="none"/>
              <w:left w:val="none"/>
              <w:bottom w:val="none"/>
              <w:right w:val="none"/>
            </w:tcBorders>
            <w:tcMar>
              <w:top w:type="dxa" w:w="38"/>
              <w:left w:type="dxa" w:w="68"/>
              <w:bottom w:type="dxa" w:w="38"/>
              <w:right w:type="dxa" w:w="68"/>
            </w:tcMar>
          </w:tcPr>
          <w:p>
            <w:r>
              <w:rPr>
                <w:rFonts w:ascii="Arial" w:cs="Arial" w:eastAsia="Arial" w:hAnsi="Arial"/>
                <w:b/>
                <w:bCs/>
                <w:color w:val="0B2545"/>
                <w:sz w:val="17"/>
                <w:szCs w:val="17"/>
              </w:rPr>
              <w:t xml:space="preserve">RE:</w:t>
            </w:r>
          </w:p>
        </w:tc>
        <w:tc>
          <w:tcPr>
            <w:tcW w:type="dxa" w:w="8110"/>
            <w:tcBorders>
              <w:top w:val="none"/>
              <w:left w:val="none"/>
              <w:bottom w:val="none"/>
              <w:right w:val="none"/>
            </w:tcBorders>
            <w:tcMar>
              <w:top w:type="dxa" w:w="38"/>
              <w:left w:type="dxa" w:w="68"/>
              <w:bottom w:type="dxa" w:w="38"/>
              <w:right w:type="dxa" w:w="68"/>
            </w:tcMar>
          </w:tcPr>
          <w:p>
            <w:r>
              <w:rPr>
                <w:rFonts w:ascii="Arial" w:cs="Arial" w:eastAsia="Arial" w:hAnsi="Arial"/>
                <w:b/>
                <w:bCs/>
                <w:sz w:val="17"/>
                <w:szCs w:val="17"/>
              </w:rPr>
              <w:t xml:space="preserve">FINAL: Buy/Sell Divergence Quantifies Governance Bifurcation • Swoosh 9-Year Silence • Exhibit 19 Unchanged • MTD Pending</w:t>
            </w:r>
          </w:p>
        </w:tc>
      </w:tr>
      <w:tr>
        <w:tc>
          <w:tcPr>
            <w:tcW w:type="dxa" w:w="1250"/>
            <w:tcBorders>
              <w:top w:val="none"/>
              <w:left w:val="none"/>
              <w:bottom w:val="none"/>
              <w:right w:val="none"/>
            </w:tcBorders>
            <w:tcMar>
              <w:top w:type="dxa" w:w="38"/>
              <w:left w:type="dxa" w:w="68"/>
              <w:bottom w:type="dxa" w:w="38"/>
              <w:right w:type="dxa" w:w="68"/>
            </w:tcMar>
          </w:tcPr>
          <w:p>
            <w:r>
              <w:rPr>
                <w:rFonts w:ascii="Arial" w:cs="Arial" w:eastAsia="Arial" w:hAnsi="Arial"/>
                <w:b/>
                <w:bCs/>
                <w:color w:val="0B2545"/>
                <w:sz w:val="17"/>
                <w:szCs w:val="17"/>
              </w:rPr>
              <w:t xml:space="preserve">COMPANY:</w:t>
            </w:r>
          </w:p>
        </w:tc>
        <w:tc>
          <w:tcPr>
            <w:tcW w:type="dxa" w:w="8110"/>
            <w:tcBorders>
              <w:top w:val="none"/>
              <w:left w:val="none"/>
              <w:bottom w:val="none"/>
              <w:right w:val="none"/>
            </w:tcBorders>
            <w:tcMar>
              <w:top w:type="dxa" w:w="38"/>
              <w:left w:type="dxa" w:w="68"/>
              <w:bottom w:type="dxa" w:w="38"/>
              <w:right w:type="dxa" w:w="68"/>
            </w:tcMar>
          </w:tcPr>
          <w:p>
            <w:r>
              <w:rPr>
                <w:rFonts w:ascii="Arial" w:cs="Arial" w:eastAsia="Arial" w:hAnsi="Arial"/>
                <w:sz w:val="17"/>
                <w:szCs w:val="17"/>
              </w:rPr>
              <w:t xml:space="preserve">Nike, Inc. (NYSE: NKE) | CIK 0000320187 | S&amp;P 500 / Dow 30</w:t>
            </w:r>
          </w:p>
        </w:tc>
      </w:tr>
      <w:tr>
        <w:tc>
          <w:tcPr>
            <w:tcW w:type="dxa" w:w="1250"/>
            <w:tcBorders>
              <w:top w:val="none"/>
              <w:left w:val="none"/>
              <w:bottom w:val="none"/>
              <w:right w:val="none"/>
            </w:tcBorders>
            <w:tcMar>
              <w:top w:type="dxa" w:w="38"/>
              <w:left w:type="dxa" w:w="68"/>
              <w:bottom w:type="dxa" w:w="38"/>
              <w:right w:type="dxa" w:w="68"/>
            </w:tcMar>
          </w:tcPr>
          <w:p>
            <w:r>
              <w:rPr>
                <w:rFonts w:ascii="Arial" w:cs="Arial" w:eastAsia="Arial" w:hAnsi="Arial"/>
                <w:b/>
                <w:bCs/>
                <w:color w:val="0B2545"/>
                <w:sz w:val="17"/>
                <w:szCs w:val="17"/>
              </w:rPr>
              <w:t xml:space="preserve">SERIES:</w:t>
            </w:r>
          </w:p>
        </w:tc>
        <w:tc>
          <w:tcPr>
            <w:tcW w:type="dxa" w:w="8110"/>
            <w:tcBorders>
              <w:top w:val="none"/>
              <w:left w:val="none"/>
              <w:bottom w:val="none"/>
              <w:right w:val="none"/>
            </w:tcBorders>
            <w:tcMar>
              <w:top w:type="dxa" w:w="38"/>
              <w:left w:type="dxa" w:w="68"/>
              <w:bottom w:type="dxa" w:w="38"/>
              <w:right w:type="dxa" w:w="68"/>
            </w:tcMar>
          </w:tcPr>
          <w:p>
            <w:r>
              <w:rPr>
                <w:rFonts w:ascii="Arial" w:cs="Arial" w:eastAsia="Arial" w:hAnsi="Arial"/>
                <w:sz w:val="17"/>
                <w:szCs w:val="17"/>
              </w:rPr>
              <w:t xml:space="preserve">FINAL memo in FY2019–FY2025 series (10 prior memos across 6 fiscal years)</w:t>
            </w:r>
          </w:p>
        </w:tc>
      </w:tr>
    </w:tbl>
    <w:p>
      <w:pPr>
        <w:pBdr>
          <w:bottom w:val="single" w:color="0B2545" w:sz="2" w:space="4"/>
        </w:pBdr>
        <w:spacing w:before="80"/>
      </w:pPr>
    </w:p>
    <w:p>
      <w:pPr>
        <w:pStyle w:val="Heading1"/>
      </w:pPr>
      <w:r>
        <w:t xml:space="preserve">The Buy/Sell Divergence Is the Investigation’s Capstone Data Point</w:t>
      </w:r>
    </w:p>
    <w:p>
      <w:pPr>
        <w:spacing w:before="0" w:after="95"/>
      </w:pPr>
      <w:r>
        <w:rPr>
          <w:rFonts w:ascii="Arial" w:cs="Arial" w:eastAsia="Arial" w:hAnsi="Arial"/>
          <w:b w:val="false"/>
          <w:bCs w:val="false"/>
          <w:color w:val="1A1A1A"/>
          <w:sz w:val="17"/>
          <w:szCs w:val="17"/>
        </w:rPr>
        <w:t xml:space="preserve">For seven fiscal years (FY2019–FY2025), this investigation tracked insider trading activity at Nike. Through FY2024, the pattern was uniform: executives sold, nobody bought, and the governance architecture enabled $508M+ in Parker dispositions through a self-approval pre-clearance pathway. FY2025 introduces the first sustained counter-signal in the entire dataset.</w:t>
      </w:r>
    </w:p>
    <w:p>
      <w:pPr>
        <w:spacing w:before="0" w:after="95"/>
      </w:pPr>
      <w:r>
        <w:rPr>
          <w:rFonts w:ascii="Arial" w:cs="Arial" w:eastAsia="Arial" w:hAnsi="Arial"/>
          <w:b w:val="false"/>
          <w:bCs w:val="false"/>
          <w:color w:val="1A1A1A"/>
          <w:sz w:val="17"/>
          <w:szCs w:val="17"/>
        </w:rPr>
        <w:t xml:space="preserve">Directors Cook ($2.95M), Knudstorp ($1.0M), Swan ($1.2M), Rogers ($192K), and CEO Hill ($1.0M) collectively purchased $6.35M+ in Nike stock at multi-year lows ($58–77/share). Every purchase was discretionary (no 10b5-1 plan), made with personal funds, and filed within 2 business days. Simultaneously, Parker continued his quarterly 10b5-1 sell program ($57.5M in FY2025 alone, $565M+ cumulative), and O’Neill and Leinwand also sold.</w:t>
      </w:r>
    </w:p>
    <w:p>
      <w:pPr>
        <w:spacing w:before="0" w:after="95"/>
      </w:pPr>
      <w:r>
        <w:rPr>
          <w:rFonts w:ascii="Arial" w:cs="Arial" w:eastAsia="Arial" w:hAnsi="Arial"/>
          <w:b w:val="false"/>
          <w:bCs w:val="false"/>
          <w:color w:val="1A1A1A"/>
          <w:sz w:val="17"/>
          <w:szCs w:val="17"/>
        </w:rPr>
        <w:t xml:space="preserve">The divergence is not merely behavioral — it is structural. The buyers are governance principals who sit on the committees overseeing Nike’s strategy, compensation, and audit functions. The largest seller is the Executive Chairman who also governs the controlling shareholder entity (Swoosh) and pre-clears his own trades. These two groups are expressing diametrically opposed views of Nike’s value through transactions governed by the same Exhibit 19 policy — but processed through fundamentally different approval pathways.</w:t>
      </w:r>
    </w:p>
    <w:p>
      <w:pPr>
        <w:spacing w:before="0" w:after="95"/>
      </w:pPr>
      <w:r>
        <w:rPr>
          <w:rFonts w:ascii="Arial" w:cs="Arial" w:eastAsia="Arial" w:hAnsi="Arial"/>
          <w:b w:val="false"/>
          <w:bCs w:val="false"/>
          <w:color w:val="1A1A1A"/>
          <w:sz w:val="17"/>
          <w:szCs w:val="17"/>
        </w:rPr>
        <w:t xml:space="preserve">For ISS, this divergence has a specific scoring implication: the directors buying shares are signaling confidence in the turnaround that their own governance decisions enabled (CEO replacement, board refreshment, strategic reset). The officer selling is extracting value under a pre-clearance architecture that the board has chosen not to reform despite public exposure through the securities fraud complaint.</w:t>
      </w:r>
    </w:p>
    <w:p>
      <w:pPr>
        <w:pStyle w:val="Heading1"/>
      </w:pPr>
      <w:r>
        <w:t xml:space="preserve">Seven-Year Swoosh Governance Trajectory (FY2019–FY2025)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180"/>
        <w:gridCol w:w="1180"/>
        <w:gridCol w:w="1180"/>
        <w:gridCol w:w="1180"/>
        <w:gridCol w:w="1180"/>
        <w:gridCol w:w="1180"/>
        <w:gridCol w:w="1180"/>
      </w:tblGrid>
      <w:tr>
        <w:tc>
          <w:tcPr>
            <w:tcW w:type="dxa" w:w="1100"/>
            <w:tcBorders>
              <w:top w:val="single" w:color="AAAAAA" w:sz="1"/>
              <w:left w:val="single" w:color="AAAAAA" w:sz="1"/>
              <w:bottom w:val="single" w:color="AAAAAA" w:sz="1"/>
              <w:right w:val="single" w:color="AAAAAA" w:sz="1"/>
            </w:tcBorders>
            <w:shd w:fill="0B2545" w:val="clear"/>
            <w:tcMar>
              <w:top w:type="dxa" w:w="38"/>
              <w:left w:type="dxa" w:w="68"/>
              <w:bottom w:type="dxa" w:w="38"/>
              <w:right w:type="dxa" w:w="68"/>
            </w:tcMar>
          </w:tcPr>
          <w:p>
            <w:r>
              <w:rPr>
                <w:rFonts w:ascii="Arial" w:cs="Arial" w:eastAsia="Arial" w:hAnsi="Arial"/>
                <w:b/>
                <w:bCs/>
                <w:color w:val="FFFFFF"/>
                <w:sz w:val="11"/>
                <w:szCs w:val="11"/>
              </w:rPr>
              <w:t xml:space="preserve">METRIC</w:t>
            </w:r>
          </w:p>
        </w:tc>
        <w:tc>
          <w:tcPr>
            <w:tcW w:type="dxa" w:w="1180"/>
            <w:tcBorders>
              <w:top w:val="single" w:color="AAAAAA" w:sz="1"/>
              <w:left w:val="single" w:color="AAAAAA" w:sz="1"/>
              <w:bottom w:val="single" w:color="AAAAAA" w:sz="1"/>
              <w:right w:val="single" w:color="AAAAAA" w:sz="1"/>
            </w:tcBorders>
            <w:shd w:fill="0B2545" w:val="clear"/>
            <w:tcMar>
              <w:top w:type="dxa" w:w="38"/>
              <w:left w:type="dxa" w:w="68"/>
              <w:bottom w:type="dxa" w:w="38"/>
              <w:right w:type="dxa" w:w="68"/>
            </w:tcMar>
          </w:tcPr>
          <w:p>
            <w:r>
              <w:rPr>
                <w:rFonts w:ascii="Arial" w:cs="Arial" w:eastAsia="Arial" w:hAnsi="Arial"/>
                <w:b/>
                <w:bCs/>
                <w:color w:val="FFFFFF"/>
                <w:sz w:val="11"/>
                <w:szCs w:val="11"/>
              </w:rPr>
              <w:t xml:space="preserve">FY2019</w:t>
            </w:r>
          </w:p>
        </w:tc>
        <w:tc>
          <w:tcPr>
            <w:tcW w:type="dxa" w:w="1180"/>
            <w:tcBorders>
              <w:top w:val="single" w:color="AAAAAA" w:sz="1"/>
              <w:left w:val="single" w:color="AAAAAA" w:sz="1"/>
              <w:bottom w:val="single" w:color="AAAAAA" w:sz="1"/>
              <w:right w:val="single" w:color="AAAAAA" w:sz="1"/>
            </w:tcBorders>
            <w:shd w:fill="0B2545" w:val="clear"/>
            <w:tcMar>
              <w:top w:type="dxa" w:w="38"/>
              <w:left w:type="dxa" w:w="68"/>
              <w:bottom w:type="dxa" w:w="38"/>
              <w:right w:type="dxa" w:w="68"/>
            </w:tcMar>
          </w:tcPr>
          <w:p>
            <w:r>
              <w:rPr>
                <w:rFonts w:ascii="Arial" w:cs="Arial" w:eastAsia="Arial" w:hAnsi="Arial"/>
                <w:b/>
                <w:bCs/>
                <w:color w:val="FFFFFF"/>
                <w:sz w:val="11"/>
                <w:szCs w:val="11"/>
              </w:rPr>
              <w:t xml:space="preserve">FY2020</w:t>
            </w:r>
          </w:p>
        </w:tc>
        <w:tc>
          <w:tcPr>
            <w:tcW w:type="dxa" w:w="1180"/>
            <w:tcBorders>
              <w:top w:val="single" w:color="AAAAAA" w:sz="1"/>
              <w:left w:val="single" w:color="AAAAAA" w:sz="1"/>
              <w:bottom w:val="single" w:color="AAAAAA" w:sz="1"/>
              <w:right w:val="single" w:color="AAAAAA" w:sz="1"/>
            </w:tcBorders>
            <w:shd w:fill="0B2545" w:val="clear"/>
            <w:tcMar>
              <w:top w:type="dxa" w:w="38"/>
              <w:left w:type="dxa" w:w="68"/>
              <w:bottom w:type="dxa" w:w="38"/>
              <w:right w:type="dxa" w:w="68"/>
            </w:tcMar>
          </w:tcPr>
          <w:p>
            <w:r>
              <w:rPr>
                <w:rFonts w:ascii="Arial" w:cs="Arial" w:eastAsia="Arial" w:hAnsi="Arial"/>
                <w:b/>
                <w:bCs/>
                <w:color w:val="FFFFFF"/>
                <w:sz w:val="11"/>
                <w:szCs w:val="11"/>
              </w:rPr>
              <w:t xml:space="preserve">FY2021</w:t>
            </w:r>
          </w:p>
        </w:tc>
        <w:tc>
          <w:tcPr>
            <w:tcW w:type="dxa" w:w="1180"/>
            <w:tcBorders>
              <w:top w:val="single" w:color="AAAAAA" w:sz="1"/>
              <w:left w:val="single" w:color="AAAAAA" w:sz="1"/>
              <w:bottom w:val="single" w:color="AAAAAA" w:sz="1"/>
              <w:right w:val="single" w:color="AAAAAA" w:sz="1"/>
            </w:tcBorders>
            <w:shd w:fill="0B2545" w:val="clear"/>
            <w:tcMar>
              <w:top w:type="dxa" w:w="38"/>
              <w:left w:type="dxa" w:w="68"/>
              <w:bottom w:type="dxa" w:w="38"/>
              <w:right w:type="dxa" w:w="68"/>
            </w:tcMar>
          </w:tcPr>
          <w:p>
            <w:r>
              <w:rPr>
                <w:rFonts w:ascii="Arial" w:cs="Arial" w:eastAsia="Arial" w:hAnsi="Arial"/>
                <w:b/>
                <w:bCs/>
                <w:color w:val="FFFFFF"/>
                <w:sz w:val="11"/>
                <w:szCs w:val="11"/>
              </w:rPr>
              <w:t xml:space="preserve">FY2022</w:t>
            </w:r>
          </w:p>
        </w:tc>
        <w:tc>
          <w:tcPr>
            <w:tcW w:type="dxa" w:w="1180"/>
            <w:tcBorders>
              <w:top w:val="single" w:color="AAAAAA" w:sz="1"/>
              <w:left w:val="single" w:color="AAAAAA" w:sz="1"/>
              <w:bottom w:val="single" w:color="AAAAAA" w:sz="1"/>
              <w:right w:val="single" w:color="AAAAAA" w:sz="1"/>
            </w:tcBorders>
            <w:shd w:fill="0B2545" w:val="clear"/>
            <w:tcMar>
              <w:top w:type="dxa" w:w="38"/>
              <w:left w:type="dxa" w:w="68"/>
              <w:bottom w:type="dxa" w:w="38"/>
              <w:right w:type="dxa" w:w="68"/>
            </w:tcMar>
          </w:tcPr>
          <w:p>
            <w:r>
              <w:rPr>
                <w:rFonts w:ascii="Arial" w:cs="Arial" w:eastAsia="Arial" w:hAnsi="Arial"/>
                <w:b/>
                <w:bCs/>
                <w:color w:val="FFFFFF"/>
                <w:sz w:val="11"/>
                <w:szCs w:val="11"/>
              </w:rPr>
              <w:t xml:space="preserve">FY2023</w:t>
            </w:r>
          </w:p>
        </w:tc>
        <w:tc>
          <w:tcPr>
            <w:tcW w:type="dxa" w:w="1180"/>
            <w:tcBorders>
              <w:top w:val="single" w:color="AAAAAA" w:sz="1"/>
              <w:left w:val="single" w:color="AAAAAA" w:sz="1"/>
              <w:bottom w:val="single" w:color="AAAAAA" w:sz="1"/>
              <w:right w:val="single" w:color="AAAAAA" w:sz="1"/>
            </w:tcBorders>
            <w:shd w:fill="0B2545" w:val="clear"/>
            <w:tcMar>
              <w:top w:type="dxa" w:w="38"/>
              <w:left w:type="dxa" w:w="68"/>
              <w:bottom w:type="dxa" w:w="38"/>
              <w:right w:type="dxa" w:w="68"/>
            </w:tcMar>
          </w:tcPr>
          <w:p>
            <w:r>
              <w:rPr>
                <w:rFonts w:ascii="Arial" w:cs="Arial" w:eastAsia="Arial" w:hAnsi="Arial"/>
                <w:b/>
                <w:bCs/>
                <w:color w:val="FFFFFF"/>
                <w:sz w:val="11"/>
                <w:szCs w:val="11"/>
              </w:rPr>
              <w:t xml:space="preserve">FY2024</w:t>
            </w:r>
          </w:p>
        </w:tc>
        <w:tc>
          <w:tcPr>
            <w:tcW w:type="dxa" w:w="1180"/>
            <w:tcBorders>
              <w:top w:val="single" w:color="AAAAAA" w:sz="1"/>
              <w:left w:val="single" w:color="AAAAAA" w:sz="1"/>
              <w:bottom w:val="single" w:color="AAAAAA" w:sz="1"/>
              <w:right w:val="single" w:color="AAAAAA" w:sz="1"/>
            </w:tcBorders>
            <w:shd w:fill="0B2545" w:val="clear"/>
            <w:tcMar>
              <w:top w:type="dxa" w:w="38"/>
              <w:left w:type="dxa" w:w="68"/>
              <w:bottom w:type="dxa" w:w="38"/>
              <w:right w:type="dxa" w:w="68"/>
            </w:tcMar>
          </w:tcPr>
          <w:p>
            <w:r>
              <w:rPr>
                <w:rFonts w:ascii="Arial" w:cs="Arial" w:eastAsia="Arial" w:hAnsi="Arial"/>
                <w:b/>
                <w:bCs/>
                <w:color w:val="FFFFFF"/>
                <w:sz w:val="11"/>
                <w:szCs w:val="11"/>
              </w:rPr>
              <w:t xml:space="preserve">FY2025</w:t>
            </w:r>
          </w:p>
        </w:tc>
      </w:tr>
      <w:tr>
        <w:tc>
          <w:tcPr>
            <w:tcW w:type="dxa" w:w="110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bCs/>
                <w:color w:val="1A1A1A"/>
                <w:sz w:val="11"/>
                <w:szCs w:val="11"/>
              </w:rPr>
              <w:t xml:space="preserve">Swoosh config</w:t>
            </w:r>
          </w:p>
        </w:tc>
        <w:tc>
          <w:tcPr>
            <w:tcW w:type="dxa" w:w="118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1+2 indep</w:t>
            </w:r>
          </w:p>
        </w:tc>
        <w:tc>
          <w:tcPr>
            <w:tcW w:type="dxa" w:w="118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Triple-ins</w:t>
            </w:r>
          </w:p>
        </w:tc>
        <w:tc>
          <w:tcPr>
            <w:tcW w:type="dxa" w:w="118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Triple-ins</w:t>
            </w:r>
          </w:p>
        </w:tc>
        <w:tc>
          <w:tcPr>
            <w:tcW w:type="dxa" w:w="118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Triple+trust</w:t>
            </w:r>
          </w:p>
        </w:tc>
        <w:tc>
          <w:tcPr>
            <w:tcW w:type="dxa" w:w="118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Triple+dist</w:t>
            </w:r>
          </w:p>
        </w:tc>
        <w:tc>
          <w:tcPr>
            <w:tcW w:type="dxa" w:w="118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Graf/Don exit</w:t>
            </w:r>
          </w:p>
        </w:tc>
        <w:tc>
          <w:tcPr>
            <w:tcW w:type="dxa" w:w="118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bCs/>
                <w:color w:val="1A1A1A"/>
                <w:sz w:val="11"/>
                <w:szCs w:val="11"/>
              </w:rPr>
              <w:t xml:space="preserve">UNKNOWN — 2 seats vacant?</w:t>
            </w:r>
          </w:p>
        </w:tc>
      </w:tr>
      <w:tr>
        <w:tc>
          <w:tcPr>
            <w:tcW w:type="dxa" w:w="110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bCs/>
                <w:color w:val="1A1A1A"/>
                <w:sz w:val="11"/>
                <w:szCs w:val="11"/>
              </w:rPr>
              <w:t xml:space="preserve">13D staleness</w:t>
            </w:r>
          </w:p>
        </w:tc>
        <w:tc>
          <w:tcPr>
            <w:tcW w:type="dxa" w:w="118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3 yr</w:t>
            </w:r>
          </w:p>
        </w:tc>
        <w:tc>
          <w:tcPr>
            <w:tcW w:type="dxa" w:w="118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4 yr</w:t>
            </w:r>
          </w:p>
        </w:tc>
        <w:tc>
          <w:tcPr>
            <w:tcW w:type="dxa" w:w="118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5 yr</w:t>
            </w:r>
          </w:p>
        </w:tc>
        <w:tc>
          <w:tcPr>
            <w:tcW w:type="dxa" w:w="118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6 yr</w:t>
            </w:r>
          </w:p>
        </w:tc>
        <w:tc>
          <w:tcPr>
            <w:tcW w:type="dxa" w:w="118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7 yr</w:t>
            </w:r>
          </w:p>
        </w:tc>
        <w:tc>
          <w:tcPr>
            <w:tcW w:type="dxa" w:w="118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8 yr</w:t>
            </w:r>
          </w:p>
        </w:tc>
        <w:tc>
          <w:tcPr>
            <w:tcW w:type="dxa" w:w="118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bCs/>
                <w:color w:val="1A1A1A"/>
                <w:sz w:val="11"/>
                <w:szCs w:val="11"/>
              </w:rPr>
              <w:t xml:space="preserve">9+ YRS</w:t>
            </w:r>
          </w:p>
        </w:tc>
      </w:tr>
      <w:tr>
        <w:tc>
          <w:tcPr>
            <w:tcW w:type="dxa" w:w="110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bCs/>
                <w:color w:val="1A1A1A"/>
                <w:sz w:val="11"/>
                <w:szCs w:val="11"/>
              </w:rPr>
              <w:t xml:space="preserve">Parker sales</w:t>
            </w:r>
          </w:p>
        </w:tc>
        <w:tc>
          <w:tcPr>
            <w:tcW w:type="dxa" w:w="118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$78M</w:t>
            </w:r>
          </w:p>
        </w:tc>
        <w:tc>
          <w:tcPr>
            <w:tcW w:type="dxa" w:w="118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$37M</w:t>
            </w:r>
          </w:p>
        </w:tc>
        <w:tc>
          <w:tcPr>
            <w:tcW w:type="dxa" w:w="118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$125M</w:t>
            </w:r>
          </w:p>
        </w:tc>
        <w:tc>
          <w:tcPr>
            <w:tcW w:type="dxa" w:w="118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$82M</w:t>
            </w:r>
          </w:p>
        </w:tc>
        <w:tc>
          <w:tcPr>
            <w:tcW w:type="dxa" w:w="118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$44M</w:t>
            </w:r>
          </w:p>
        </w:tc>
        <w:tc>
          <w:tcPr>
            <w:tcW w:type="dxa" w:w="118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$44M</w:t>
            </w:r>
          </w:p>
        </w:tc>
        <w:tc>
          <w:tcPr>
            <w:tcW w:type="dxa" w:w="118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bCs/>
                <w:color w:val="1A1A1A"/>
                <w:sz w:val="11"/>
                <w:szCs w:val="11"/>
              </w:rPr>
              <w:t xml:space="preserve">$57.5M ($565M cum)</w:t>
            </w:r>
          </w:p>
        </w:tc>
      </w:tr>
      <w:tr>
        <w:tc>
          <w:tcPr>
            <w:tcW w:type="dxa" w:w="110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bCs/>
                <w:color w:val="1A1A1A"/>
                <w:sz w:val="11"/>
                <w:szCs w:val="11"/>
              </w:rPr>
              <w:t xml:space="preserve">10b5-1 visible</w:t>
            </w:r>
          </w:p>
        </w:tc>
        <w:tc>
          <w:tcPr>
            <w:tcW w:type="dxa" w:w="118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ZERO</w:t>
            </w:r>
          </w:p>
        </w:tc>
        <w:tc>
          <w:tcPr>
            <w:tcW w:type="dxa" w:w="118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ZERO</w:t>
            </w:r>
          </w:p>
        </w:tc>
        <w:tc>
          <w:tcPr>
            <w:tcW w:type="dxa" w:w="118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ZERO</w:t>
            </w:r>
          </w:p>
        </w:tc>
        <w:tc>
          <w:tcPr>
            <w:tcW w:type="dxa" w:w="118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ZERO</w:t>
            </w:r>
          </w:p>
        </w:tc>
        <w:tc>
          <w:tcPr>
            <w:tcW w:type="dxa" w:w="118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Checkbox</w:t>
            </w:r>
          </w:p>
        </w:tc>
        <w:tc>
          <w:tcPr>
            <w:tcW w:type="dxa" w:w="118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Ex 19+408</w:t>
            </w:r>
          </w:p>
        </w:tc>
        <w:tc>
          <w:tcPr>
            <w:tcW w:type="dxa" w:w="118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bCs/>
                <w:color w:val="1A1A1A"/>
                <w:sz w:val="11"/>
                <w:szCs w:val="11"/>
              </w:rPr>
              <w:t xml:space="preserve">UNCHANGED</w:t>
            </w:r>
          </w:p>
        </w:tc>
      </w:tr>
      <w:tr>
        <w:tc>
          <w:tcPr>
            <w:tcW w:type="dxa" w:w="110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bCs/>
                <w:color w:val="1A1A1A"/>
                <w:sz w:val="11"/>
                <w:szCs w:val="11"/>
              </w:rPr>
              <w:t xml:space="preserve">Insider buys</w:t>
            </w:r>
          </w:p>
        </w:tc>
        <w:tc>
          <w:tcPr>
            <w:tcW w:type="dxa" w:w="118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$0</w:t>
            </w:r>
          </w:p>
        </w:tc>
        <w:tc>
          <w:tcPr>
            <w:tcW w:type="dxa" w:w="118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$0</w:t>
            </w:r>
          </w:p>
        </w:tc>
        <w:tc>
          <w:tcPr>
            <w:tcW w:type="dxa" w:w="118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$0</w:t>
            </w:r>
          </w:p>
        </w:tc>
        <w:tc>
          <w:tcPr>
            <w:tcW w:type="dxa" w:w="118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$0</w:t>
            </w:r>
          </w:p>
        </w:tc>
        <w:tc>
          <w:tcPr>
            <w:tcW w:type="dxa" w:w="118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Swan $1.5M</w:t>
            </w:r>
          </w:p>
        </w:tc>
        <w:tc>
          <w:tcPr>
            <w:tcW w:type="dxa" w:w="118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Swan $1.2M</w:t>
            </w:r>
          </w:p>
        </w:tc>
        <w:tc>
          <w:tcPr>
            <w:tcW w:type="dxa" w:w="118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bCs/>
                <w:color w:val="1A1A1A"/>
                <w:sz w:val="11"/>
                <w:szCs w:val="11"/>
              </w:rPr>
              <w:t xml:space="preserve">$6.35M (5 buyers)</w:t>
            </w:r>
          </w:p>
        </w:tc>
      </w:tr>
      <w:tr>
        <w:tc>
          <w:tcPr>
            <w:tcW w:type="dxa" w:w="110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bCs/>
                <w:color w:val="1A1A1A"/>
                <w:sz w:val="11"/>
                <w:szCs w:val="11"/>
              </w:rPr>
              <w:t xml:space="preserve">Say-on-pay</w:t>
            </w:r>
          </w:p>
        </w:tc>
        <w:tc>
          <w:tcPr>
            <w:tcW w:type="dxa" w:w="118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97%</w:t>
            </w:r>
          </w:p>
        </w:tc>
        <w:tc>
          <w:tcPr>
            <w:tcW w:type="dxa" w:w="118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54%</w:t>
            </w:r>
          </w:p>
        </w:tc>
        <w:tc>
          <w:tcPr>
            <w:tcW w:type="dxa" w:w="118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72%</w:t>
            </w:r>
          </w:p>
        </w:tc>
        <w:tc>
          <w:tcPr>
            <w:tcW w:type="dxa" w:w="118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65%</w:t>
            </w:r>
          </w:p>
        </w:tc>
        <w:tc>
          <w:tcPr>
            <w:tcW w:type="dxa" w:w="118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88%</w:t>
            </w:r>
          </w:p>
        </w:tc>
        <w:tc>
          <w:tcPr>
            <w:tcW w:type="dxa" w:w="118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83%</w:t>
            </w:r>
          </w:p>
        </w:tc>
        <w:tc>
          <w:tcPr>
            <w:tcW w:type="dxa" w:w="118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bCs/>
                <w:color w:val="1A1A1A"/>
                <w:sz w:val="11"/>
                <w:szCs w:val="11"/>
              </w:rPr>
              <w:t xml:space="preserve">82.6%</w:t>
            </w:r>
          </w:p>
        </w:tc>
      </w:tr>
      <w:tr>
        <w:tc>
          <w:tcPr>
            <w:tcW w:type="dxa" w:w="110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bCs/>
                <w:color w:val="1A1A1A"/>
                <w:sz w:val="11"/>
                <w:szCs w:val="11"/>
              </w:rPr>
              <w:t xml:space="preserve">Rogers withh.</w:t>
            </w:r>
          </w:p>
        </w:tc>
        <w:tc>
          <w:tcPr>
            <w:tcW w:type="dxa" w:w="118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N/A</w:t>
            </w:r>
          </w:p>
        </w:tc>
        <w:tc>
          <w:tcPr>
            <w:tcW w:type="dxa" w:w="118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N/A</w:t>
            </w:r>
          </w:p>
        </w:tc>
        <w:tc>
          <w:tcPr>
            <w:tcW w:type="dxa" w:w="118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N/A</w:t>
            </w:r>
          </w:p>
        </w:tc>
        <w:tc>
          <w:tcPr>
            <w:tcW w:type="dxa" w:w="118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N/A</w:t>
            </w:r>
          </w:p>
        </w:tc>
        <w:tc>
          <w:tcPr>
            <w:tcW w:type="dxa" w:w="118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35.5%</w:t>
            </w:r>
          </w:p>
        </w:tc>
        <w:tc>
          <w:tcPr>
            <w:tcW w:type="dxa" w:w="118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40%</w:t>
            </w:r>
          </w:p>
        </w:tc>
        <w:tc>
          <w:tcPr>
            <w:tcW w:type="dxa" w:w="118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bCs/>
                <w:color w:val="1A1A1A"/>
                <w:sz w:val="11"/>
                <w:szCs w:val="11"/>
              </w:rPr>
              <w:t xml:space="preserve">~40%</w:t>
            </w:r>
          </w:p>
        </w:tc>
      </w:tr>
      <w:tr>
        <w:tc>
          <w:tcPr>
            <w:tcW w:type="dxa" w:w="110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bCs/>
                <w:color w:val="1A1A1A"/>
                <w:sz w:val="11"/>
                <w:szCs w:val="11"/>
              </w:rPr>
              <w:t xml:space="preserve">SEC corresp</w:t>
            </w:r>
          </w:p>
        </w:tc>
        <w:tc>
          <w:tcPr>
            <w:tcW w:type="dxa" w:w="118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10-yr</w:t>
            </w:r>
          </w:p>
        </w:tc>
        <w:tc>
          <w:tcPr>
            <w:tcW w:type="dxa" w:w="118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11-yr</w:t>
            </w:r>
          </w:p>
        </w:tc>
        <w:tc>
          <w:tcPr>
            <w:tcW w:type="dxa" w:w="118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12-yr</w:t>
            </w:r>
          </w:p>
        </w:tc>
        <w:tc>
          <w:tcPr>
            <w:tcW w:type="dxa" w:w="118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13-yr</w:t>
            </w:r>
          </w:p>
        </w:tc>
        <w:tc>
          <w:tcPr>
            <w:tcW w:type="dxa" w:w="118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14-yr</w:t>
            </w:r>
          </w:p>
        </w:tc>
        <w:tc>
          <w:tcPr>
            <w:tcW w:type="dxa" w:w="118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~13-yr</w:t>
            </w:r>
          </w:p>
        </w:tc>
        <w:tc>
          <w:tcPr>
            <w:tcW w:type="dxa" w:w="118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bCs/>
                <w:color w:val="1A1A1A"/>
                <w:sz w:val="11"/>
                <w:szCs w:val="11"/>
              </w:rPr>
              <w:t xml:space="preserve">~13-yr</w:t>
            </w:r>
          </w:p>
        </w:tc>
      </w:tr>
      <w:tr>
        <w:tc>
          <w:tcPr>
            <w:tcW w:type="dxa" w:w="110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bCs/>
                <w:color w:val="1A1A1A"/>
                <w:sz w:val="11"/>
                <w:szCs w:val="11"/>
              </w:rPr>
              <w:t xml:space="preserve">Litigation</w:t>
            </w:r>
          </w:p>
        </w:tc>
        <w:tc>
          <w:tcPr>
            <w:tcW w:type="dxa" w:w="118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None</w:t>
            </w:r>
          </w:p>
        </w:tc>
        <w:tc>
          <w:tcPr>
            <w:tcW w:type="dxa" w:w="118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None</w:t>
            </w:r>
          </w:p>
        </w:tc>
        <w:tc>
          <w:tcPr>
            <w:tcW w:type="dxa" w:w="118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Class beg</w:t>
            </w:r>
          </w:p>
        </w:tc>
        <w:tc>
          <w:tcPr>
            <w:tcW w:type="dxa" w:w="118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Active</w:t>
            </w:r>
          </w:p>
        </w:tc>
        <w:tc>
          <w:tcPr>
            <w:tcW w:type="dxa" w:w="118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Active</w:t>
            </w:r>
          </w:p>
        </w:tc>
        <w:tc>
          <w:tcPr>
            <w:tcW w:type="dxa" w:w="118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Filed</w:t>
            </w:r>
          </w:p>
        </w:tc>
        <w:tc>
          <w:tcPr>
            <w:tcW w:type="dxa" w:w="118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bCs/>
                <w:color w:val="1A1A1A"/>
                <w:sz w:val="11"/>
                <w:szCs w:val="11"/>
              </w:rPr>
              <w:t xml:space="preserve">MTD PENDING</w:t>
            </w:r>
          </w:p>
        </w:tc>
      </w:tr>
    </w:tbl>
    <w:p>
      <w:r>
        <w:br w:type="page"/>
      </w:r>
    </w:p>
    <w:p>
      <w:pPr>
        <w:pStyle w:val="Heading1"/>
      </w:pPr>
      <w:r>
        <w:t xml:space="preserve">Swoosh Board Composition: Now Completely Opaque</w:t>
      </w:r>
    </w:p>
    <w:p>
      <w:pPr>
        <w:spacing w:before="0" w:after="95"/>
      </w:pPr>
      <w:r>
        <w:rPr>
          <w:rFonts w:ascii="Arial" w:cs="Arial" w:eastAsia="Arial" w:hAnsi="Arial"/>
          <w:b w:val="false"/>
          <w:bCs w:val="false"/>
          <w:color w:val="1A1A1A"/>
          <w:sz w:val="17"/>
          <w:szCs w:val="17"/>
        </w:rPr>
        <w:t xml:space="preserve">The last known Swoosh LLC board composition (January 2020–June 2024) was: Travis Knight (2 Class X seats), Parker (Independent Director), Donahoe (Independent Director), Graf (Independent Director). Graf departed June 2024. Donahoe departed October 2024. At least two Independent Director seats are now either vacant or filled by unknown individuals. Parker may or may not remain.</w:t>
      </w:r>
    </w:p>
    <w:p>
      <w:pPr>
        <w:spacing w:before="0" w:after="95"/>
      </w:pPr>
      <w:r>
        <w:rPr>
          <w:rFonts w:ascii="Arial" w:cs="Arial" w:eastAsia="Arial" w:hAnsi="Arial"/>
          <w:b w:val="false"/>
          <w:bCs w:val="false"/>
          <w:color w:val="1A1A1A"/>
          <w:sz w:val="17"/>
          <w:szCs w:val="17"/>
        </w:rPr>
        <w:t xml:space="preserve">No public filing discloses the current Swoosh board. The 13D has not been amended since 2016. The proxy mentions Swoosh only in Travis Knight’s biography and the Capital Structure section. Parker’s proxy bio contains no Swoosh reference. The Q2 FY2025 10-Q filed the Donahoe separation letter but it does not address his Swoosh directorship. The entity controlling ~97% of Nike’s voting power is now governed by unknown individuals — a governance black hole at the center of a $90 billion public company.</w:t>
      </w:r>
    </w:p>
    <w:p>
      <w:pPr>
        <w:spacing w:before="0" w:after="95"/>
      </w:pPr>
      <w:r>
        <w:rPr>
          <w:rFonts w:ascii="Arial" w:cs="Arial" w:eastAsia="Arial" w:hAnsi="Arial"/>
          <w:b w:val="false"/>
          <w:bCs w:val="false"/>
          <w:color w:val="1A1A1A"/>
          <w:sz w:val="17"/>
          <w:szCs w:val="17"/>
        </w:rPr>
        <w:t xml:space="preserve">ISS should treat this opacity as the single most urgent engagement priority. The question is not whether the 13D should be amended — it must be. The question is who currently governs Swoosh, and whether the current board maintains the conflict-of-interest dynamics that defined the triple-insider era.</w:t>
      </w:r>
    </w:p>
    <w:p>
      <w:pPr>
        <w:pStyle w:val="Heading1"/>
      </w:pPr>
      <w:r>
        <w:t xml:space="preserve">The Hill Era: Operational Revolution, Governance Continuity</w:t>
      </w:r>
    </w:p>
    <w:p>
      <w:pPr>
        <w:spacing w:before="0" w:after="95"/>
      </w:pPr>
      <w:r>
        <w:rPr>
          <w:rFonts w:ascii="Arial" w:cs="Arial" w:eastAsia="Arial" w:hAnsi="Arial"/>
          <w:b w:val="false"/>
          <w:bCs w:val="false"/>
          <w:color w:val="1A1A1A"/>
          <w:sz w:val="17"/>
          <w:szCs w:val="17"/>
        </w:rPr>
        <w:t xml:space="preserve">Hill’s FY2025 restructuring was the most aggressive in Nike’s history: CEO, CTO, CCO, President roles all eliminated or replaced; new COO created; CFO scope expanded to include sales; four regional presidents elevated; “Win Now” strategy replacing CDA. Zero percent PSP/PSU payouts for all NEOs reflected the depth of the reset.</w:t>
      </w:r>
    </w:p>
    <w:p>
      <w:pPr>
        <w:spacing w:before="0" w:after="95"/>
      </w:pPr>
      <w:r>
        <w:rPr>
          <w:rFonts w:ascii="Arial" w:cs="Arial" w:eastAsia="Arial" w:hAnsi="Arial"/>
          <w:b w:val="false"/>
          <w:bCs w:val="false"/>
          <w:color w:val="1A1A1A"/>
          <w:sz w:val="17"/>
          <w:szCs w:val="17"/>
        </w:rPr>
        <w:t xml:space="preserve">What Hill did NOT change: the Exhibit 19 pre-clearance self-approval pathway; the Swoosh 13D staleness; the absence of dual-class risk factors in the 10-K; Parker’s Executive Chairman title and authority; or the structural barrier that renders all shareholder proposals futile via Class A voting power. Hill’s $1 million personal stock purchase signals confidence, but his governance reform extends only to operational leadership, not to the structural architecture that this investigation has documented across seven years.</w:t>
      </w:r>
    </w:p>
    <w:p>
      <w:pPr>
        <w:pStyle w:val="Heading1"/>
      </w:pPr>
      <w:r>
        <w:t xml:space="preserve">Final Recommendations — Informed by Seven-Year Full-Corpus Audit</w:t>
      </w:r>
    </w:p>
    <w:p>
      <w:pPr>
        <w:pStyle w:val="Heading2"/>
      </w:pPr>
      <w:r>
        <w:t xml:space="preserve">Tier 1: QualityScore Methodology — Insider Trading Pre-Clearance Sub-Factor</w:t>
      </w:r>
    </w:p>
    <w:p>
      <w:pPr>
        <w:spacing w:before="0" w:after="95"/>
      </w:pPr>
      <w:r>
        <w:rPr>
          <w:rFonts w:ascii="Arial" w:cs="Arial" w:eastAsia="Arial" w:hAnsi="Arial"/>
          <w:b w:val="false"/>
          <w:bCs w:val="false"/>
          <w:color w:val="1A1A1A"/>
          <w:sz w:val="17"/>
          <w:szCs w:val="17"/>
        </w:rPr>
        <w:t xml:space="preserve">Develop the sub-factor proposed in the FY2024 memo using Exhibit 19 data now available for all S&amp;P 500 filers. Score Nike at the bottom of the framework: Chairman self-approval, no independent oversight, no board committee review, $565M+ sold through the pathway. Publish the methodology and apply it to the Fall 2026 QualityScore update.</w:t>
      </w:r>
    </w:p>
    <w:p>
      <w:pPr>
        <w:pStyle w:val="Heading2"/>
      </w:pPr>
      <w:r>
        <w:t xml:space="preserve">Tier 2: Swoosh Board Composition — Formal Demand</w:t>
      </w:r>
    </w:p>
    <w:p>
      <w:pPr>
        <w:spacing w:before="0" w:after="95"/>
      </w:pPr>
      <w:r>
        <w:rPr>
          <w:rFonts w:ascii="Arial" w:cs="Arial" w:eastAsia="Arial" w:hAnsi="Arial"/>
          <w:b w:val="false"/>
          <w:bCs w:val="false"/>
          <w:color w:val="1A1A1A"/>
          <w:sz w:val="17"/>
          <w:szCs w:val="17"/>
        </w:rPr>
        <w:t xml:space="preserve">After seven years of documenting the 13D’s staleness, ISS should issue a formal governance alert to Nike’s board of directors and the Knight family’s counsel (Jasper Ridge Partners/Quixote Investments) demanding disclosure of: (a) current Swoosh board composition; (b) whether Parker remains an Independent Director; (c) who replaced Donahoe and Graf; (d) the Protectors’ current status; (e) the rationale for 9 years without 13D amendment.</w:t>
      </w:r>
    </w:p>
    <w:p>
      <w:pPr>
        <w:pStyle w:val="Heading2"/>
      </w:pPr>
      <w:r>
        <w:t xml:space="preserve">Tier 3: Dual-Class Escalation — Against Recommendation for Parker</w:t>
      </w:r>
    </w:p>
    <w:p>
      <w:pPr>
        <w:spacing w:before="0" w:after="95"/>
      </w:pPr>
      <w:r>
        <w:rPr>
          <w:rFonts w:ascii="Arial" w:cs="Arial" w:eastAsia="Arial" w:hAnsi="Arial"/>
          <w:b w:val="false"/>
          <w:bCs w:val="false"/>
          <w:color w:val="1A1A1A"/>
          <w:sz w:val="17"/>
          <w:szCs w:val="17"/>
        </w:rPr>
        <w:t xml:space="preserve">Consider recommending AGAINST Parker’s reelection to the Nike board on the basis that: (a) he serves as the pre-clearance gatekeeper for his own $565M+ selling program; (b) his Swoosh LLC directorship remains undisclosed in his proxy biography; (c) the securities fraud complaint names him as a defendant; (d) the Exhibit 19 self-approval loophole has not been reformed under his chairmanship. While the dual-class structure ensures his election regardless of Class B opposition, the recommendation would formalize ISS’s governance concerns.</w:t>
      </w:r>
    </w:p>
    <w:p>
      <w:pPr>
        <w:pStyle w:val="Heading2"/>
      </w:pPr>
      <w:r>
        <w:t xml:space="preserve">Tier 4: Securities Fraud Discovery Monitoring</w:t>
      </w:r>
    </w:p>
    <w:p>
      <w:pPr>
        <w:spacing w:before="0" w:after="95"/>
      </w:pPr>
      <w:r>
        <w:rPr>
          <w:rFonts w:ascii="Arial" w:cs="Arial" w:eastAsia="Arial" w:hAnsi="Arial"/>
          <w:b w:val="false"/>
          <w:bCs w:val="false"/>
          <w:color w:val="1A1A1A"/>
          <w:sz w:val="17"/>
          <w:szCs w:val="17"/>
        </w:rPr>
        <w:t xml:space="preserve">If the MTD is denied, discovery will produce the documents this investigation has sought for seven years: pre-clearance approval records, Swoosh board minutes, internal CDA strategy communications, and trading plan adoption documents. ISS should establish a dedicated monitoring protocol and prepare governance profile updates for each major court filing. The litigation may resolve questions that the EDGAR filing corpus alone cannot answer.</w:t>
      </w:r>
    </w:p>
    <w:p>
      <w:r>
        <w:br w:type="page"/>
      </w:r>
    </w:p>
    <w:p>
      <w:pPr>
        <w:pStyle w:val="Heading1"/>
      </w:pPr>
      <w:r>
        <w:t xml:space="preserve">Closing: The Seven-Year Arc</w:t>
      </w:r>
    </w:p>
    <w:p>
      <w:pPr>
        <w:spacing w:before="0" w:after="95"/>
      </w:pPr>
      <w:r>
        <w:rPr>
          <w:rFonts w:ascii="Arial" w:cs="Arial" w:eastAsia="Arial" w:hAnsi="Arial"/>
          <w:b w:val="false"/>
          <w:bCs w:val="false"/>
          <w:color w:val="1A1A1A"/>
          <w:sz w:val="17"/>
          <w:szCs w:val="17"/>
        </w:rPr>
        <w:t xml:space="preserve">This is the final memo in a series spanning seven fiscal years (FY2019–FY2025), 18 full-corpus deliverables, and 12 EDGAR filing categories per year. The investigation began with a single observation: Mark Parker exercised stock options during a quarterly blackout window on December 2, 2019. From that starting point, the analysis expanded to encompass the Swoosh LLC governance structure, the triple-insider board, five years of zero 10b5-1 disclosure, the Section 16(a) delinquency toggle, the securities fraud class action, the CEO termination, and ultimately the Exhibit 19 self-approval revelation.</w:t>
      </w:r>
    </w:p>
    <w:p>
      <w:pPr>
        <w:spacing w:before="0" w:after="95"/>
      </w:pPr>
      <w:r>
        <w:rPr>
          <w:rFonts w:ascii="Arial" w:cs="Arial" w:eastAsia="Arial" w:hAnsi="Arial"/>
          <w:b w:val="false"/>
          <w:bCs w:val="false"/>
          <w:color w:val="1A1A1A"/>
          <w:sz w:val="17"/>
          <w:szCs w:val="17"/>
        </w:rPr>
        <w:t xml:space="preserve">The arc from inference to documentation is now complete. What was suspected in FY2019 (that Parker’s trades were plan-based) was confirmed in FY2023 (via the Form 4 checkbox). What was invisible in FY2020 (the insider trading policy) became visible in FY2024 (via Exhibit 19). What was opaque in FY2021 (the Swoosh board composition) is now genuinely unknowable due to 9 years of 13D staleness and the departure of 2 of 3 known Independent Directors.</w:t>
      </w:r>
    </w:p>
    <w:p>
      <w:pPr>
        <w:spacing w:before="0" w:after="95"/>
      </w:pPr>
      <w:r>
        <w:rPr>
          <w:rFonts w:ascii="Arial" w:cs="Arial" w:eastAsia="Arial" w:hAnsi="Arial"/>
          <w:b w:val="false"/>
          <w:bCs w:val="false"/>
          <w:color w:val="4B5563"/>
          <w:sz w:val="15"/>
          <w:szCs w:val="15"/>
        </w:rPr>
        <w:t xml:space="preserve">The governance architecture that enabled $565 million in Executive Chairman stock sales through a self-approval pre-clearance pathway, while the controlling shareholder’s 13D went 9 years without amendment and the SEC went 13 years without comment, is now fully documented. The question of whether this architecture constitutes adequate governance — a question that Nike’s own filings conspicuously avoid raising — is now in the hands of Judge Nelson, the SEC staff, and the institutional investors who hold 85% of Nike’s Class B shares but control 0% of its Class A votes.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3"/>
      </w:pBdr>
      <w:tabs>
        <w:tab w:val="right" w:pos="9026"/>
      </w:tabs>
    </w:pPr>
    <w:r>
      <w:rPr>
        <w:rFonts w:ascii="Arial" w:cs="Arial" w:eastAsia="Arial" w:hAnsi="Arial"/>
        <w:color w:val="999999"/>
        <w:sz w:val="9"/>
        <w:szCs w:val="9"/>
      </w:rPr>
      <w:t xml:space="preserve">Nike Inc. (NKE) — Swoosh LLC Final Assessment FY2025 — JLAW v4</w:t>
    </w:r>
    <w:r>
      <w:rPr>
        <w:rFonts w:ascii="Arial" w:cs="Arial" w:eastAsia="Arial" w:hAnsi="Arial"/>
        <w:color w:val="999999"/>
        <w:sz w:val="9"/>
        <w:szCs w:val="9"/>
      </w:rPr>
      <w:ptab w:alignment="right" w:relativeTo="margin" w:leader="none"/>
    </w:r>
    <w:r>
      <w:rPr>
        <w:rFonts w:ascii="Arial" w:cs="Arial" w:eastAsia="Arial" w:hAnsi="Arial"/>
        <w:color w:val="999999"/>
        <w:sz w:val="9"/>
        <w:szCs w:val="9"/>
      </w:rPr>
      <w:t xml:space="preserve">Page </w:t>
    </w:r>
    <w:r>
      <w:rPr>
        <w:rFonts w:ascii="Arial" w:cs="Arial" w:eastAsia="Arial" w:hAnsi="Arial"/>
        <w:color w:val="999999"/>
        <w:sz w:val="9"/>
        <w:szCs w:val="9"/>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B2545" w:sz="4" w:space="3"/>
      </w:pBdr>
    </w:pPr>
    <w:r>
      <w:rPr>
        <w:rFonts w:ascii="Arial" w:cs="Arial" w:eastAsia="Arial" w:hAnsi="Arial"/>
        <w:b/>
        <w:bCs/>
        <w:color w:val="0B2545"/>
        <w:sz w:val="10"/>
        <w:szCs w:val="10"/>
      </w:rPr>
      <w:t xml:space="preserve">ISS GOVERNANCE ALERT  |  FINAL IN 7-YEAR SERIES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50" w:after="130"/>
      <w:outlineLvl w:val="0"/>
    </w:pPr>
    <w:rPr>
      <w:rFonts w:ascii="Arial" w:cs="Arial" w:eastAsia="Arial" w:hAnsi="Arial"/>
      <w:b/>
      <w:bCs/>
      <w:color w:val="0B2545"/>
      <w:sz w:val="22"/>
      <w:szCs w:val="22"/>
    </w:rPr>
  </w:style>
  <w:style w:type="paragraph" w:styleId="Heading2">
    <w:name w:val="Heading 2"/>
    <w:basedOn w:val="Normal"/>
    <w:next w:val="Normal"/>
    <w:qFormat/>
    <w:pPr>
      <w:spacing w:before="190" w:after="100"/>
      <w:outlineLvl w:val="1"/>
    </w:pPr>
    <w:rPr>
      <w:rFonts w:ascii="Arial" w:cs="Arial" w:eastAsia="Arial" w:hAnsi="Arial"/>
      <w:b/>
      <w:bCs/>
      <w:color w:val="0B2545"/>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2026-03-12T12:52:41.449Z</dcterms:created>
  <dcterms:modified xsi:type="dcterms:W3CDTF">2026-03-12T12:52:41.450Z</dcterms:modified>
</cp:coreProperties>
</file>

<file path=docProps/custom.xml><?xml version="1.0" encoding="utf-8"?>
<Properties xmlns="http://schemas.openxmlformats.org/officeDocument/2006/custom-properties" xmlns:vt="http://schemas.openxmlformats.org/officeDocument/2006/docPropsVTypes"/>
</file>