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25"/>
        <w:jc w:val="center"/>
      </w:pPr>
      <w:r>
        <w:rPr>
          <w:rFonts w:ascii="Arial" w:cs="Arial" w:eastAsia="Arial" w:hAnsi="Arial"/>
          <w:b/>
          <w:bCs/>
          <w:color w:val="0F1B2D"/>
          <w:sz w:val="36"/>
          <w:szCs w:val="36"/>
        </w:rPr>
        <w:t xml:space="preserve">FULL-CORPUS EVIDENCE BUNDLE</w:t>
      </w:r>
    </w:p>
    <w:p>
      <w:pPr>
        <w:spacing w:after="10"/>
        <w:jc w:val="center"/>
      </w:pPr>
      <w:r>
        <w:rPr>
          <w:rFonts w:ascii="Arial" w:cs="Arial" w:eastAsia="Arial" w:hAnsi="Arial"/>
          <w:color w:val="4B5563"/>
          <w:sz w:val="18"/>
          <w:szCs w:val="18"/>
        </w:rPr>
        <w:t xml:space="preserve">SEC DIVISION OF ENFORCEMENT — FINAL IN SEVEN-YEAR SERIES (FY2019–FY2025)</w:t>
      </w:r>
    </w:p>
    <w:p>
      <w:pPr>
        <w:spacing w:after="60"/>
        <w:jc w:val="center"/>
      </w:pPr>
      <w:r>
        <w:rPr>
          <w:rFonts w:ascii="Arial" w:cs="Arial" w:eastAsia="Arial" w:hAnsi="Arial"/>
          <w:b/>
          <w:bCs/>
          <w:color w:val="B91C1C"/>
          <w:sz w:val="16"/>
          <w:szCs w:val="16"/>
        </w:rPr>
        <w:t xml:space="preserve">FY2025: Governance Continuity Amid Operational Revolution</w:t>
      </w:r>
    </w:p>
    <w:p>
      <w:pPr>
        <w:pBdr>
          <w:top w:val="single" w:color="0F1B2D" w:sz="4" w:space="4"/>
          <w:bottom w:val="single" w:color="0F1B2D" w:sz="4" w:space="4"/>
        </w:pBdr>
        <w:spacing w:before="80" w:after="80"/>
        <w:jc w:val="center"/>
      </w:pPr>
      <w:r>
        <w:rPr>
          <w:rFonts w:ascii="Arial" w:cs="Arial" w:eastAsia="Arial" w:hAnsi="Arial"/>
          <w:b/>
          <w:bCs/>
          <w:color w:val="0F1B2D"/>
          <w:sz w:val="26"/>
          <w:szCs w:val="26"/>
        </w:rPr>
        <w:t xml:space="preserve">NIKE, INC. (NKE) — CIK 0000320187</w:t>
      </w:r>
    </w:p>
    <w:p>
      <w:pPr>
        <w:spacing w:after="10"/>
        <w:jc w:val="center"/>
      </w:pPr>
      <w:r>
        <w:rPr>
          <w:rFonts w:ascii="Arial" w:cs="Arial" w:eastAsia="Arial" w:hAnsi="Arial"/>
          <w:color w:val="4B5563"/>
          <w:sz w:val="15"/>
          <w:szCs w:val="15"/>
        </w:rPr>
        <w:t xml:space="preserve">June 1, 2024 – May 31, 2025 | Hill’s First Full FY | Exhibit 19 Unchanged | Prepared: March 12, 2026</w:t>
      </w:r>
    </w:p>
    <w:p>
      <w:pPr>
        <w:spacing w:after="120"/>
        <w:jc w:val="center"/>
      </w:pPr>
      <w:r>
        <w:rPr>
          <w:rFonts w:ascii="Arial" w:cs="Arial" w:eastAsia="Arial" w:hAnsi="Arial"/>
          <w:b/>
          <w:bCs/>
          <w:color w:val="B91C1C"/>
          <w:sz w:val="12"/>
          <w:szCs w:val="12"/>
        </w:rPr>
        <w:t xml:space="preserve">PRIVILEGED &amp; CONFIDENTIAL</w:t>
      </w:r>
    </w:p>
    <w:p>
      <w:r>
        <w:br w:type="page"/>
      </w:r>
    </w:p>
    <w:p>
      <w:pPr>
        <w:pStyle w:val="Heading1"/>
      </w:pPr>
      <w:r>
        <w:t xml:space="preserve">I. Executive Summary: Six FY2025-Specific Findings</w:t>
      </w:r>
    </w:p>
    <w:p>
      <w:pPr>
        <w:spacing w:before="0" w:after="95"/>
      </w:pPr>
      <w:r>
        <w:rPr>
          <w:rFonts w:ascii="Arial" w:cs="Arial" w:eastAsia="Arial" w:hAnsi="Arial"/>
          <w:b w:val="false"/>
          <w:bCs w:val="false"/>
          <w:color w:val="1A1A1A"/>
          <w:sz w:val="17"/>
          <w:szCs w:val="17"/>
        </w:rPr>
        <w:t xml:space="preserve">FY2025 closes the seven-year investigation arc. Six findings are specific to this final year, each building on the structural fractures identified in FY2024:</w:t>
      </w:r>
    </w:p>
    <w:p>
      <w:pPr>
        <w:spacing w:before="0" w:after="95"/>
      </w:pPr>
      <w:r>
        <w:rPr>
          <w:rFonts w:ascii="Arial" w:cs="Arial" w:eastAsia="Arial" w:hAnsi="Arial"/>
          <w:b w:val="false"/>
          <w:bCs w:val="false"/>
          <w:color w:val="1A1A1A"/>
          <w:sz w:val="17"/>
          <w:szCs w:val="17"/>
        </w:rPr>
        <w:t xml:space="preserve">FINDING 1 — Exhibit 19 Self-Approval Loophole UNCHANGED: The FY2025 10-K incorporates Exhibit 19 by reference from FY2024. Despite the amended securities fraud complaint explicitly citing the pre-clearance pathway as evidence of governance failure (Feb 10, 2025), the board chose not to reform the policy. Parker’s cumulative sales under this self-approval architecture now exceed $565 million.</w:t>
      </w:r>
    </w:p>
    <w:p>
      <w:pPr>
        <w:spacing w:before="0" w:after="95"/>
      </w:pPr>
      <w:r>
        <w:rPr>
          <w:rFonts w:ascii="Arial" w:cs="Arial" w:eastAsia="Arial" w:hAnsi="Arial"/>
          <w:b w:val="false"/>
          <w:bCs w:val="false"/>
          <w:color w:val="1A1A1A"/>
          <w:sz w:val="17"/>
          <w:szCs w:val="17"/>
        </w:rPr>
        <w:t xml:space="preserve">FINDING 2 — Buy/Sell Divergence: $6.2M in Discretionary Director/CEO Purchases vs $57.5M in Parker 10b5-1 Sales. Cook ($2.95M), Hill ($1M), Knudstorp ($1M), Swan ($1.2M), and Rogers ($192K) all bought with personal funds at multi-year lows. Parker continued quarterly 10b5-1 sell executions. The governance principals and the controlling-shareholder’s board appointee are making diametrically opposed market bets.</w:t>
      </w:r>
    </w:p>
    <w:p>
      <w:pPr>
        <w:spacing w:before="0" w:after="95"/>
      </w:pPr>
      <w:r>
        <w:rPr>
          <w:rFonts w:ascii="Arial" w:cs="Arial" w:eastAsia="Arial" w:hAnsi="Arial"/>
          <w:b w:val="false"/>
          <w:bCs w:val="false"/>
          <w:color w:val="1A1A1A"/>
          <w:sz w:val="17"/>
          <w:szCs w:val="17"/>
        </w:rPr>
        <w:t xml:space="preserve">FINDING 3 — Swoosh 9.5M-Share Mega-Distribution Without 13D Amendment: The December 29, 2025 distribution reduced Swoosh’s holdings to ~221.75M shares — a cumulative 35.25M-share (13.7%) reduction from the 257M reported in the 2016 13D. Under the SEC’s 2024-effective 2-business-day amendment rule, this almost certainly constitutes a violation.</w:t>
      </w:r>
    </w:p>
    <w:p>
      <w:pPr>
        <w:spacing w:before="0" w:after="95"/>
      </w:pPr>
      <w:r>
        <w:rPr>
          <w:rFonts w:ascii="Arial" w:cs="Arial" w:eastAsia="Arial" w:hAnsi="Arial"/>
          <w:b w:val="false"/>
          <w:bCs w:val="false"/>
          <w:color w:val="1A1A1A"/>
          <w:sz w:val="17"/>
          <w:szCs w:val="17"/>
        </w:rPr>
        <w:t xml:space="preserve">FINDING 4 — Travis Knight Late Form 4: First Confirmed §16 Timeliness Failure by Knight Family. The Form 4 for a December 22, 2025 transaction was filed approximately January 5, 2026 — ~10 business days late. This is the first Section 16 timeliness failure by a Knight family member identified across the entire seven-year investigation.</w:t>
      </w:r>
    </w:p>
    <w:p>
      <w:pPr>
        <w:spacing w:before="0" w:after="95"/>
      </w:pPr>
      <w:r>
        <w:rPr>
          <w:rFonts w:ascii="Arial" w:cs="Arial" w:eastAsia="Arial" w:hAnsi="Arial"/>
          <w:b w:val="false"/>
          <w:bCs w:val="false"/>
          <w:color w:val="1A1A1A"/>
          <w:sz w:val="17"/>
          <w:szCs w:val="17"/>
        </w:rPr>
        <w:t xml:space="preserve">FINDING 5 — Securities Fraud Motion to Dismiss Pending: The 292-page amended complaint (Feb 10, 2025) names Parker alongside Donahoe, Friend, O’Neill, and Campion. Defendants’ MTD is pending before Judge Nelson. If denied, discovery will produce pre-clearance approval records, Swoosh board minutes, and internal CDA strategy communications.</w:t>
      </w:r>
    </w:p>
    <w:p>
      <w:pPr>
        <w:spacing w:before="0" w:after="95"/>
      </w:pPr>
      <w:r>
        <w:rPr>
          <w:rFonts w:ascii="Arial" w:cs="Arial" w:eastAsia="Arial" w:hAnsi="Arial"/>
          <w:b w:val="false"/>
          <w:bCs w:val="false"/>
          <w:color w:val="1A1A1A"/>
          <w:sz w:val="17"/>
          <w:szCs w:val="17"/>
        </w:rPr>
        <w:t xml:space="preserve">FINDING 6 — 13-Year SEC Correspondence Gap Through Maximum Complexity: No comment letter despite CEO termination, Exhibit 19 first filing, $245M fraud complaint, bylaws rewrite, dual credit downgrades, 10% revenue decline, tariff-driven margin compression, and 9-year stale 13D.</w:t>
      </w:r>
    </w:p>
    <w:p>
      <w:r>
        <w:br w:type="page"/>
      </w:r>
    </w:p>
    <w:p>
      <w:pPr>
        <w:pStyle w:val="Heading1"/>
      </w:pPr>
      <w:r>
        <w:t xml:space="preserve">II. Evidence Index — FY2025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
        <w:gridCol w:w="700"/>
        <w:gridCol w:w="790"/>
        <w:gridCol w:w="1020"/>
        <w:gridCol w:w="4750"/>
        <w:gridCol w:w="1760"/>
      </w:tblGrid>
      <w:tr>
        <w:tc>
          <w:tcPr>
            <w:tcW w:type="dxa" w:w="340"/>
            <w:tcBorders>
              <w:top w:val="single" w:color="AAAAAA" w:sz="1"/>
              <w:left w:val="single" w:color="AAAAAA" w:sz="1"/>
              <w:bottom w:val="single" w:color="AAAAAA" w:sz="1"/>
              <w:right w:val="single" w:color="AAAAAA" w:sz="1"/>
            </w:tcBorders>
            <w:shd w:fill="0F1B2D" w:val="clear"/>
            <w:tcMar>
              <w:top w:type="dxa" w:w="38"/>
              <w:left w:type="dxa" w:w="68"/>
              <w:bottom w:type="dxa" w:w="38"/>
              <w:right w:type="dxa" w:w="68"/>
            </w:tcMar>
          </w:tcPr>
          <w:p>
            <w:r>
              <w:rPr>
                <w:rFonts w:ascii="Arial" w:cs="Arial" w:eastAsia="Arial" w:hAnsi="Arial"/>
                <w:b/>
                <w:bCs/>
                <w:color w:val="FFFFFF"/>
                <w:sz w:val="11"/>
                <w:szCs w:val="11"/>
              </w:rPr>
              <w:t xml:space="preserve">E#</w:t>
            </w:r>
          </w:p>
        </w:tc>
        <w:tc>
          <w:tcPr>
            <w:tcW w:type="dxa" w:w="700"/>
            <w:tcBorders>
              <w:top w:val="single" w:color="AAAAAA" w:sz="1"/>
              <w:left w:val="single" w:color="AAAAAA" w:sz="1"/>
              <w:bottom w:val="single" w:color="AAAAAA" w:sz="1"/>
              <w:right w:val="single" w:color="AAAAAA" w:sz="1"/>
            </w:tcBorders>
            <w:shd w:fill="0F1B2D" w:val="clear"/>
            <w:tcMar>
              <w:top w:type="dxa" w:w="38"/>
              <w:left w:type="dxa" w:w="68"/>
              <w:bottom w:type="dxa" w:w="38"/>
              <w:right w:type="dxa" w:w="68"/>
            </w:tcMar>
          </w:tcPr>
          <w:p>
            <w:r>
              <w:rPr>
                <w:rFonts w:ascii="Arial" w:cs="Arial" w:eastAsia="Arial" w:hAnsi="Arial"/>
                <w:b/>
                <w:bCs/>
                <w:color w:val="FFFFFF"/>
                <w:sz w:val="11"/>
                <w:szCs w:val="11"/>
              </w:rPr>
              <w:t xml:space="preserve">TYPE</w:t>
            </w:r>
          </w:p>
        </w:tc>
        <w:tc>
          <w:tcPr>
            <w:tcW w:type="dxa" w:w="790"/>
            <w:tcBorders>
              <w:top w:val="single" w:color="AAAAAA" w:sz="1"/>
              <w:left w:val="single" w:color="AAAAAA" w:sz="1"/>
              <w:bottom w:val="single" w:color="AAAAAA" w:sz="1"/>
              <w:right w:val="single" w:color="AAAAAA" w:sz="1"/>
            </w:tcBorders>
            <w:shd w:fill="0F1B2D" w:val="clear"/>
            <w:tcMar>
              <w:top w:type="dxa" w:w="38"/>
              <w:left w:type="dxa" w:w="68"/>
              <w:bottom w:type="dxa" w:w="38"/>
              <w:right w:type="dxa" w:w="68"/>
            </w:tcMar>
          </w:tcPr>
          <w:p>
            <w:r>
              <w:rPr>
                <w:rFonts w:ascii="Arial" w:cs="Arial" w:eastAsia="Arial" w:hAnsi="Arial"/>
                <w:b/>
                <w:bCs/>
                <w:color w:val="FFFFFF"/>
                <w:sz w:val="11"/>
                <w:szCs w:val="11"/>
              </w:rPr>
              <w:t xml:space="preserve">DATE</w:t>
            </w:r>
          </w:p>
        </w:tc>
        <w:tc>
          <w:tcPr>
            <w:tcW w:type="dxa" w:w="1020"/>
            <w:tcBorders>
              <w:top w:val="single" w:color="AAAAAA" w:sz="1"/>
              <w:left w:val="single" w:color="AAAAAA" w:sz="1"/>
              <w:bottom w:val="single" w:color="AAAAAA" w:sz="1"/>
              <w:right w:val="single" w:color="AAAAAA" w:sz="1"/>
            </w:tcBorders>
            <w:shd w:fill="0F1B2D" w:val="clear"/>
            <w:tcMar>
              <w:top w:type="dxa" w:w="38"/>
              <w:left w:type="dxa" w:w="68"/>
              <w:bottom w:type="dxa" w:w="38"/>
              <w:right w:type="dxa" w:w="68"/>
            </w:tcMar>
          </w:tcPr>
          <w:p>
            <w:r>
              <w:rPr>
                <w:rFonts w:ascii="Arial" w:cs="Arial" w:eastAsia="Arial" w:hAnsi="Arial"/>
                <w:b/>
                <w:bCs/>
                <w:color w:val="FFFFFF"/>
                <w:sz w:val="11"/>
                <w:szCs w:val="11"/>
              </w:rPr>
              <w:t xml:space="preserve">ACCESSION</w:t>
            </w:r>
          </w:p>
        </w:tc>
        <w:tc>
          <w:tcPr>
            <w:tcW w:type="dxa" w:w="4750"/>
            <w:tcBorders>
              <w:top w:val="single" w:color="AAAAAA" w:sz="1"/>
              <w:left w:val="single" w:color="AAAAAA" w:sz="1"/>
              <w:bottom w:val="single" w:color="AAAAAA" w:sz="1"/>
              <w:right w:val="single" w:color="AAAAAA" w:sz="1"/>
            </w:tcBorders>
            <w:shd w:fill="0F1B2D" w:val="clear"/>
            <w:tcMar>
              <w:top w:type="dxa" w:w="38"/>
              <w:left w:type="dxa" w:w="68"/>
              <w:bottom w:type="dxa" w:w="38"/>
              <w:right w:type="dxa" w:w="68"/>
            </w:tcMar>
          </w:tcPr>
          <w:p>
            <w:r>
              <w:rPr>
                <w:rFonts w:ascii="Arial" w:cs="Arial" w:eastAsia="Arial" w:hAnsi="Arial"/>
                <w:b/>
                <w:bCs/>
                <w:color w:val="FFFFFF"/>
                <w:sz w:val="11"/>
                <w:szCs w:val="11"/>
              </w:rPr>
              <w:t xml:space="preserve">DESCRIPTION</w:t>
            </w:r>
          </w:p>
        </w:tc>
        <w:tc>
          <w:tcPr>
            <w:tcW w:type="dxa" w:w="1760"/>
            <w:tcBorders>
              <w:top w:val="single" w:color="AAAAAA" w:sz="1"/>
              <w:left w:val="single" w:color="AAAAAA" w:sz="1"/>
              <w:bottom w:val="single" w:color="AAAAAA" w:sz="1"/>
              <w:right w:val="single" w:color="AAAAAA" w:sz="1"/>
            </w:tcBorders>
            <w:shd w:fill="0F1B2D" w:val="clear"/>
            <w:tcMar>
              <w:top w:type="dxa" w:w="38"/>
              <w:left w:type="dxa" w:w="68"/>
              <w:bottom w:type="dxa" w:w="38"/>
              <w:right w:type="dxa" w:w="68"/>
            </w:tcMar>
          </w:tcPr>
          <w:p>
            <w:r>
              <w:rPr>
                <w:rFonts w:ascii="Arial" w:cs="Arial" w:eastAsia="Arial" w:hAnsi="Arial"/>
                <w:b/>
                <w:bCs/>
                <w:color w:val="FFFFFF"/>
                <w:sz w:val="11"/>
                <w:szCs w:val="11"/>
              </w:rPr>
              <w:t xml:space="preserve">FINDING</w:t>
            </w:r>
          </w:p>
        </w:tc>
      </w:tr>
      <w:tr>
        <w:tc>
          <w:tcPr>
            <w:tcW w:type="dxa" w:w="34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bCs/>
                <w:color w:val="1A1A1A"/>
                <w:sz w:val="11"/>
                <w:szCs w:val="11"/>
              </w:rPr>
              <w:t xml:space="preserve">E-1</w:t>
            </w:r>
          </w:p>
        </w:tc>
        <w:tc>
          <w:tcPr>
            <w:tcW w:type="dxa" w:w="70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10-K</w:t>
            </w:r>
          </w:p>
        </w:tc>
        <w:tc>
          <w:tcPr>
            <w:tcW w:type="dxa" w:w="79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7/17/25</w:t>
            </w:r>
          </w:p>
        </w:tc>
        <w:tc>
          <w:tcPr>
            <w:tcW w:type="dxa" w:w="102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0000320187-25-000047</w:t>
            </w:r>
          </w:p>
        </w:tc>
        <w:tc>
          <w:tcPr>
            <w:tcW w:type="dxa" w:w="475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FY2025 annual. Exhibit 19 UNCHANGED (inc by ref). Self-approval persists. Tariff risk expanded. Dual-class: ABSENT. Revenue $46.3B (−10%)</w:t>
            </w:r>
          </w:p>
        </w:tc>
        <w:tc>
          <w:tcPr>
            <w:tcW w:type="dxa" w:w="176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bCs/>
                <w:color w:val="0F1B2D"/>
                <w:sz w:val="11"/>
                <w:szCs w:val="11"/>
              </w:rPr>
              <w:t xml:space="preserve">1</w:t>
            </w:r>
          </w:p>
        </w:tc>
      </w:tr>
      <w:tr>
        <w:tc>
          <w:tcPr>
            <w:tcW w:type="dxa" w:w="34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bCs/>
                <w:color w:val="1A1A1A"/>
                <w:sz w:val="11"/>
                <w:szCs w:val="11"/>
              </w:rPr>
              <w:t xml:space="preserve">E-2</w:t>
            </w:r>
          </w:p>
        </w:tc>
        <w:tc>
          <w:tcPr>
            <w:tcW w:type="dxa" w:w="70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10-Q Q1</w:t>
            </w:r>
          </w:p>
        </w:tc>
        <w:tc>
          <w:tcPr>
            <w:tcW w:type="dxa" w:w="79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10/7/24</w:t>
            </w:r>
          </w:p>
        </w:tc>
        <w:tc>
          <w:tcPr>
            <w:tcW w:type="dxa" w:w="102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0000320187-24-000065</w:t>
            </w:r>
          </w:p>
        </w:tc>
        <w:tc>
          <w:tcPr>
            <w:tcW w:type="dxa" w:w="475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Donahoe’s final certification. Revenue $11.6B (−10%). Item 408(a): rollover disclosures</w:t>
            </w:r>
          </w:p>
        </w:tc>
        <w:tc>
          <w:tcPr>
            <w:tcW w:type="dxa" w:w="176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bCs/>
                <w:color w:val="0F1B2D"/>
                <w:sz w:val="11"/>
                <w:szCs w:val="11"/>
              </w:rPr>
              <w:t xml:space="preserve">Context</w:t>
            </w:r>
          </w:p>
        </w:tc>
      </w:tr>
      <w:tr>
        <w:tc>
          <w:tcPr>
            <w:tcW w:type="dxa" w:w="34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bCs/>
                <w:color w:val="1A1A1A"/>
                <w:sz w:val="11"/>
                <w:szCs w:val="11"/>
              </w:rPr>
              <w:t xml:space="preserve">E-3</w:t>
            </w:r>
          </w:p>
        </w:tc>
        <w:tc>
          <w:tcPr>
            <w:tcW w:type="dxa" w:w="70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10-Q Q2</w:t>
            </w:r>
          </w:p>
        </w:tc>
        <w:tc>
          <w:tcPr>
            <w:tcW w:type="dxa" w:w="79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1/3/25</w:t>
            </w:r>
          </w:p>
        </w:tc>
        <w:tc>
          <w:tcPr>
            <w:tcW w:type="dxa" w:w="102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0000320187-25-000004</w:t>
            </w:r>
          </w:p>
        </w:tc>
        <w:tc>
          <w:tcPr>
            <w:tcW w:type="dxa" w:w="475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Hill’s first signed 10-Q. Donahoe separation + Hill offer letter as exhibits. Parker Nov 7 2024 plan disclosed</w:t>
            </w:r>
          </w:p>
        </w:tc>
        <w:tc>
          <w:tcPr>
            <w:tcW w:type="dxa" w:w="176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bCs/>
                <w:color w:val="0F1B2D"/>
                <w:sz w:val="11"/>
                <w:szCs w:val="11"/>
              </w:rPr>
              <w:t xml:space="preserve">1,5</w:t>
            </w:r>
          </w:p>
        </w:tc>
      </w:tr>
      <w:tr>
        <w:tc>
          <w:tcPr>
            <w:tcW w:type="dxa" w:w="34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bCs/>
                <w:color w:val="1A1A1A"/>
                <w:sz w:val="11"/>
                <w:szCs w:val="11"/>
              </w:rPr>
              <w:t xml:space="preserve">E-4</w:t>
            </w:r>
          </w:p>
        </w:tc>
        <w:tc>
          <w:tcPr>
            <w:tcW w:type="dxa" w:w="70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10-Q Q3</w:t>
            </w:r>
          </w:p>
        </w:tc>
        <w:tc>
          <w:tcPr>
            <w:tcW w:type="dxa" w:w="79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4/3/25</w:t>
            </w:r>
          </w:p>
        </w:tc>
        <w:tc>
          <w:tcPr>
            <w:tcW w:type="dxa" w:w="102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0000320187-25-000016</w:t>
            </w:r>
          </w:p>
        </w:tc>
        <w:tc>
          <w:tcPr>
            <w:tcW w:type="dxa" w:w="475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Tariff impact quantified. O’Neill/Nielsen plans. $403M restructuring. Revenue $11.3B (−10%)</w:t>
            </w:r>
          </w:p>
        </w:tc>
        <w:tc>
          <w:tcPr>
            <w:tcW w:type="dxa" w:w="176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bCs/>
                <w:color w:val="0F1B2D"/>
                <w:sz w:val="11"/>
                <w:szCs w:val="11"/>
              </w:rPr>
              <w:t xml:space="preserve">Context</w:t>
            </w:r>
          </w:p>
        </w:tc>
      </w:tr>
      <w:tr>
        <w:tc>
          <w:tcPr>
            <w:tcW w:type="dxa" w:w="34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bCs/>
                <w:color w:val="1A1A1A"/>
                <w:sz w:val="11"/>
                <w:szCs w:val="11"/>
              </w:rPr>
              <w:t xml:space="preserve">E-5</w:t>
            </w:r>
          </w:p>
        </w:tc>
        <w:tc>
          <w:tcPr>
            <w:tcW w:type="dxa" w:w="70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DEF 14A</w:t>
            </w:r>
          </w:p>
        </w:tc>
        <w:tc>
          <w:tcPr>
            <w:tcW w:type="dxa" w:w="79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7/17/25</w:t>
            </w:r>
          </w:p>
        </w:tc>
        <w:tc>
          <w:tcPr>
            <w:tcW w:type="dxa" w:w="102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0000320187-25-000048</w:t>
            </w:r>
          </w:p>
        </w:tc>
        <w:tc>
          <w:tcPr>
            <w:tcW w:type="dxa" w:w="475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§16(a) present. Item 408(b) deferred to proxy. Parker bio: NO Swoosh. ZERO shareholder proposals. Say-on-pay ~82.6%</w:t>
            </w:r>
          </w:p>
        </w:tc>
        <w:tc>
          <w:tcPr>
            <w:tcW w:type="dxa" w:w="176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bCs/>
                <w:color w:val="0F1B2D"/>
                <w:sz w:val="11"/>
                <w:szCs w:val="11"/>
              </w:rPr>
              <w:t xml:space="preserve">1</w:t>
            </w:r>
          </w:p>
        </w:tc>
      </w:tr>
      <w:tr>
        <w:tc>
          <w:tcPr>
            <w:tcW w:type="dxa" w:w="34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bCs/>
                <w:color w:val="1A1A1A"/>
                <w:sz w:val="11"/>
                <w:szCs w:val="11"/>
              </w:rPr>
              <w:t xml:space="preserve">E-6</w:t>
            </w:r>
          </w:p>
        </w:tc>
        <w:tc>
          <w:tcPr>
            <w:tcW w:type="dxa" w:w="70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Form 4</w:t>
            </w:r>
          </w:p>
        </w:tc>
        <w:tc>
          <w:tcPr>
            <w:tcW w:type="dxa" w:w="79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Dec 2025</w:t>
            </w:r>
          </w:p>
        </w:tc>
        <w:tc>
          <w:tcPr>
            <w:tcW w:type="dxa" w:w="102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Cook filing</w:t>
            </w:r>
          </w:p>
        </w:tc>
        <w:tc>
          <w:tcPr>
            <w:tcW w:type="dxa" w:w="475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Cook purchases 50K shares @ $58.97 ($2.95M). LARGEST INSIDER BUY in 7-year investigation</w:t>
            </w:r>
          </w:p>
        </w:tc>
        <w:tc>
          <w:tcPr>
            <w:tcW w:type="dxa" w:w="176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bCs/>
                <w:color w:val="0F1B2D"/>
                <w:sz w:val="11"/>
                <w:szCs w:val="11"/>
              </w:rPr>
              <w:t xml:space="preserve">2</w:t>
            </w:r>
          </w:p>
        </w:tc>
      </w:tr>
      <w:tr>
        <w:tc>
          <w:tcPr>
            <w:tcW w:type="dxa" w:w="34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bCs/>
                <w:color w:val="1A1A1A"/>
                <w:sz w:val="11"/>
                <w:szCs w:val="11"/>
              </w:rPr>
              <w:t xml:space="preserve">E-7</w:t>
            </w:r>
          </w:p>
        </w:tc>
        <w:tc>
          <w:tcPr>
            <w:tcW w:type="dxa" w:w="70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Form 4</w:t>
            </w:r>
          </w:p>
        </w:tc>
        <w:tc>
          <w:tcPr>
            <w:tcW w:type="dxa" w:w="79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Dec 2025</w:t>
            </w:r>
          </w:p>
        </w:tc>
        <w:tc>
          <w:tcPr>
            <w:tcW w:type="dxa" w:w="102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Hill filing</w:t>
            </w:r>
          </w:p>
        </w:tc>
        <w:tc>
          <w:tcPr>
            <w:tcW w:type="dxa" w:w="475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Hill purchases 16,388 @ $61.10 ($1.0M). First CEO buy since investigation began. Discretionary</w:t>
            </w:r>
          </w:p>
        </w:tc>
        <w:tc>
          <w:tcPr>
            <w:tcW w:type="dxa" w:w="176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bCs/>
                <w:color w:val="0F1B2D"/>
                <w:sz w:val="11"/>
                <w:szCs w:val="11"/>
              </w:rPr>
              <w:t xml:space="preserve">2</w:t>
            </w:r>
          </w:p>
        </w:tc>
      </w:tr>
      <w:tr>
        <w:tc>
          <w:tcPr>
            <w:tcW w:type="dxa" w:w="34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bCs/>
                <w:color w:val="1A1A1A"/>
                <w:sz w:val="11"/>
                <w:szCs w:val="11"/>
              </w:rPr>
              <w:t xml:space="preserve">E-8</w:t>
            </w:r>
          </w:p>
        </w:tc>
        <w:tc>
          <w:tcPr>
            <w:tcW w:type="dxa" w:w="70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Form 4</w:t>
            </w:r>
          </w:p>
        </w:tc>
        <w:tc>
          <w:tcPr>
            <w:tcW w:type="dxa" w:w="79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FY2025</w:t>
            </w:r>
          </w:p>
        </w:tc>
        <w:tc>
          <w:tcPr>
            <w:tcW w:type="dxa" w:w="102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Multiple Parker</w:t>
            </w:r>
          </w:p>
        </w:tc>
        <w:tc>
          <w:tcPr>
            <w:tcW w:type="dxa" w:w="475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Parker: ~$57.5M (~812K shares). Nov 2024 plan. All 10b5-1. Career cumulative: ~$565M+</w:t>
            </w:r>
          </w:p>
        </w:tc>
        <w:tc>
          <w:tcPr>
            <w:tcW w:type="dxa" w:w="176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bCs/>
                <w:color w:val="0F1B2D"/>
                <w:sz w:val="11"/>
                <w:szCs w:val="11"/>
              </w:rPr>
              <w:t xml:space="preserve">1,2</w:t>
            </w:r>
          </w:p>
        </w:tc>
      </w:tr>
      <w:tr>
        <w:tc>
          <w:tcPr>
            <w:tcW w:type="dxa" w:w="34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bCs/>
                <w:color w:val="1A1A1A"/>
                <w:sz w:val="11"/>
                <w:szCs w:val="11"/>
              </w:rPr>
              <w:t xml:space="preserve">E-9</w:t>
            </w:r>
          </w:p>
        </w:tc>
        <w:tc>
          <w:tcPr>
            <w:tcW w:type="dxa" w:w="70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Form 4</w:t>
            </w:r>
          </w:p>
        </w:tc>
        <w:tc>
          <w:tcPr>
            <w:tcW w:type="dxa" w:w="79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12/29/25</w:t>
            </w:r>
          </w:p>
        </w:tc>
        <w:tc>
          <w:tcPr>
            <w:tcW w:type="dxa" w:w="102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Swoosh LLC</w:t>
            </w:r>
          </w:p>
        </w:tc>
        <w:tc>
          <w:tcPr>
            <w:tcW w:type="dxa" w:w="475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MEGA-DISTRIBUTION: 9.5M Class A. 4.5M to Phil Knight, 5M to trust. Holdings →221.75M. NO 13D/A. 9+ YEARS STALE</w:t>
            </w:r>
          </w:p>
        </w:tc>
        <w:tc>
          <w:tcPr>
            <w:tcW w:type="dxa" w:w="176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bCs/>
                <w:color w:val="0F1B2D"/>
                <w:sz w:val="11"/>
                <w:szCs w:val="11"/>
              </w:rPr>
              <w:t xml:space="preserve">3</w:t>
            </w:r>
          </w:p>
        </w:tc>
      </w:tr>
      <w:tr>
        <w:tc>
          <w:tcPr>
            <w:tcW w:type="dxa" w:w="34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bCs/>
                <w:color w:val="1A1A1A"/>
                <w:sz w:val="11"/>
                <w:szCs w:val="11"/>
              </w:rPr>
              <w:t xml:space="preserve">E-10</w:t>
            </w:r>
          </w:p>
        </w:tc>
        <w:tc>
          <w:tcPr>
            <w:tcW w:type="dxa" w:w="70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Form 4</w:t>
            </w:r>
          </w:p>
        </w:tc>
        <w:tc>
          <w:tcPr>
            <w:tcW w:type="dxa" w:w="79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~1/5/26</w:t>
            </w:r>
          </w:p>
        </w:tc>
        <w:tc>
          <w:tcPr>
            <w:tcW w:type="dxa" w:w="102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Travis Knight</w:t>
            </w:r>
          </w:p>
        </w:tc>
        <w:tc>
          <w:tcPr>
            <w:tcW w:type="dxa" w:w="475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Dec 22 transaction filed ~Jan 5. ~10 BUSINESS DAYS LATE. First Knight family §16 timeliness failure</w:t>
            </w:r>
          </w:p>
        </w:tc>
        <w:tc>
          <w:tcPr>
            <w:tcW w:type="dxa" w:w="176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bCs/>
                <w:color w:val="0F1B2D"/>
                <w:sz w:val="11"/>
                <w:szCs w:val="11"/>
              </w:rPr>
              <w:t xml:space="preserve">4</w:t>
            </w:r>
          </w:p>
        </w:tc>
      </w:tr>
      <w:tr>
        <w:tc>
          <w:tcPr>
            <w:tcW w:type="dxa" w:w="34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bCs/>
                <w:color w:val="1A1A1A"/>
                <w:sz w:val="11"/>
                <w:szCs w:val="11"/>
              </w:rPr>
              <w:t xml:space="preserve">E-11</w:t>
            </w:r>
          </w:p>
        </w:tc>
        <w:tc>
          <w:tcPr>
            <w:tcW w:type="dxa" w:w="70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SC 13D</w:t>
            </w:r>
          </w:p>
        </w:tc>
        <w:tc>
          <w:tcPr>
            <w:tcW w:type="dxa" w:w="79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6/30/15</w:t>
            </w:r>
          </w:p>
        </w:tc>
        <w:tc>
          <w:tcPr>
            <w:tcW w:type="dxa" w:w="102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0000897423-15-000038</w:t>
            </w:r>
          </w:p>
        </w:tc>
        <w:tc>
          <w:tcPr>
            <w:tcW w:type="dxa" w:w="475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Swoosh 13D. Amendment #2 June 2016. 9+ YEARS STALE. 35.25M shares (13.7%) unreported reduction. Board composition unknown</w:t>
            </w:r>
          </w:p>
        </w:tc>
        <w:tc>
          <w:tcPr>
            <w:tcW w:type="dxa" w:w="176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bCs/>
                <w:color w:val="0F1B2D"/>
                <w:sz w:val="11"/>
                <w:szCs w:val="11"/>
              </w:rPr>
              <w:t xml:space="preserve">3</w:t>
            </w:r>
          </w:p>
        </w:tc>
      </w:tr>
      <w:tr>
        <w:tc>
          <w:tcPr>
            <w:tcW w:type="dxa" w:w="34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bCs/>
                <w:color w:val="1A1A1A"/>
                <w:sz w:val="11"/>
                <w:szCs w:val="11"/>
              </w:rPr>
              <w:t xml:space="preserve">E-12</w:t>
            </w:r>
          </w:p>
        </w:tc>
        <w:tc>
          <w:tcPr>
            <w:tcW w:type="dxa" w:w="70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Litigation</w:t>
            </w:r>
          </w:p>
        </w:tc>
        <w:tc>
          <w:tcPr>
            <w:tcW w:type="dxa" w:w="79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2/10/25</w:t>
            </w:r>
          </w:p>
        </w:tc>
        <w:tc>
          <w:tcPr>
            <w:tcW w:type="dxa" w:w="102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D.Or. 3:24-cv-00974</w:t>
            </w:r>
          </w:p>
        </w:tc>
        <w:tc>
          <w:tcPr>
            <w:tcW w:type="dxa" w:w="475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Amended Complaint (292pp). Parker added. 19 CWs. $245M. MTD pending. If denied → discovery</w:t>
            </w:r>
          </w:p>
        </w:tc>
        <w:tc>
          <w:tcPr>
            <w:tcW w:type="dxa" w:w="176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bCs/>
                <w:color w:val="0F1B2D"/>
                <w:sz w:val="11"/>
                <w:szCs w:val="11"/>
              </w:rPr>
              <w:t xml:space="preserve">5</w:t>
            </w:r>
          </w:p>
        </w:tc>
      </w:tr>
      <w:tr>
        <w:tc>
          <w:tcPr>
            <w:tcW w:type="dxa" w:w="34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bCs/>
                <w:color w:val="1A1A1A"/>
                <w:sz w:val="11"/>
                <w:szCs w:val="11"/>
              </w:rPr>
              <w:t xml:space="preserve">E-13</w:t>
            </w:r>
          </w:p>
        </w:tc>
        <w:tc>
          <w:tcPr>
            <w:tcW w:type="dxa" w:w="70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8-K</w:t>
            </w:r>
          </w:p>
        </w:tc>
        <w:tc>
          <w:tcPr>
            <w:tcW w:type="dxa" w:w="79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9/18/24</w:t>
            </w:r>
          </w:p>
        </w:tc>
        <w:tc>
          <w:tcPr>
            <w:tcW w:type="dxa" w:w="102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0000320187-24-000058</w:t>
            </w:r>
          </w:p>
        </w:tc>
        <w:tc>
          <w:tcPr>
            <w:tcW w:type="dxa" w:w="475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Bylaws rewritten (MNPI timing). Anti-activist provisions. 1 day before CEO firing</w:t>
            </w:r>
          </w:p>
        </w:tc>
        <w:tc>
          <w:tcPr>
            <w:tcW w:type="dxa" w:w="176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bCs/>
                <w:color w:val="0F1B2D"/>
                <w:sz w:val="11"/>
                <w:szCs w:val="11"/>
              </w:rPr>
              <w:t xml:space="preserve">Context</w:t>
            </w:r>
          </w:p>
        </w:tc>
      </w:tr>
      <w:tr>
        <w:tc>
          <w:tcPr>
            <w:tcW w:type="dxa" w:w="34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bCs/>
                <w:color w:val="1A1A1A"/>
                <w:sz w:val="11"/>
                <w:szCs w:val="11"/>
              </w:rPr>
              <w:t xml:space="preserve">E-14</w:t>
            </w:r>
          </w:p>
        </w:tc>
        <w:tc>
          <w:tcPr>
            <w:tcW w:type="dxa" w:w="70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8-K</w:t>
            </w:r>
          </w:p>
        </w:tc>
        <w:tc>
          <w:tcPr>
            <w:tcW w:type="dxa" w:w="79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5/5/25</w:t>
            </w:r>
          </w:p>
        </w:tc>
        <w:tc>
          <w:tcPr>
            <w:tcW w:type="dxa" w:w="102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0000320187-25-000020</w:t>
            </w:r>
          </w:p>
        </w:tc>
        <w:tc>
          <w:tcPr>
            <w:tcW w:type="dxa" w:w="475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O’Neill departure. Named defendant role eliminated. Sep 5 2025 separation</w:t>
            </w:r>
          </w:p>
        </w:tc>
        <w:tc>
          <w:tcPr>
            <w:tcW w:type="dxa" w:w="176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bCs/>
                <w:color w:val="0F1B2D"/>
                <w:sz w:val="11"/>
                <w:szCs w:val="11"/>
              </w:rPr>
              <w:t xml:space="preserve">Context</w:t>
            </w:r>
          </w:p>
        </w:tc>
      </w:tr>
      <w:tr>
        <w:tc>
          <w:tcPr>
            <w:tcW w:type="dxa" w:w="34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bCs/>
                <w:color w:val="1A1A1A"/>
                <w:sz w:val="11"/>
                <w:szCs w:val="11"/>
              </w:rPr>
              <w:t xml:space="preserve">E-15</w:t>
            </w:r>
          </w:p>
        </w:tc>
        <w:tc>
          <w:tcPr>
            <w:tcW w:type="dxa" w:w="70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CORRESP</w:t>
            </w:r>
          </w:p>
        </w:tc>
        <w:tc>
          <w:tcPr>
            <w:tcW w:type="dxa" w:w="79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~2012</w:t>
            </w:r>
          </w:p>
        </w:tc>
        <w:tc>
          <w:tcPr>
            <w:tcW w:type="dxa" w:w="102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Last known</w:t>
            </w:r>
          </w:p>
        </w:tc>
        <w:tc>
          <w:tcPr>
            <w:tcW w:type="dxa" w:w="475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~13-YEAR GAP. No SEC comment letter across entire Hill transition / fraud complaint / credit downgrades</w:t>
            </w:r>
          </w:p>
        </w:tc>
        <w:tc>
          <w:tcPr>
            <w:tcW w:type="dxa" w:w="176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bCs/>
                <w:color w:val="0F1B2D"/>
                <w:sz w:val="11"/>
                <w:szCs w:val="11"/>
              </w:rPr>
              <w:t xml:space="preserve">6</w:t>
            </w:r>
          </w:p>
        </w:tc>
      </w:tr>
      <w:tr>
        <w:tc>
          <w:tcPr>
            <w:tcW w:type="dxa" w:w="34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bCs/>
                <w:color w:val="1A1A1A"/>
                <w:sz w:val="11"/>
                <w:szCs w:val="11"/>
              </w:rPr>
              <w:t xml:space="preserve">E-16</w:t>
            </w:r>
          </w:p>
        </w:tc>
        <w:tc>
          <w:tcPr>
            <w:tcW w:type="dxa" w:w="70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S-3ASR</w:t>
            </w:r>
          </w:p>
        </w:tc>
        <w:tc>
          <w:tcPr>
            <w:tcW w:type="dxa" w:w="79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7/17/25</w:t>
            </w:r>
          </w:p>
        </w:tc>
        <w:tc>
          <w:tcPr>
            <w:tcW w:type="dxa" w:w="102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000119312525160601</w:t>
            </w:r>
          </w:p>
        </w:tc>
        <w:tc>
          <w:tcPr>
            <w:tcW w:type="dxa" w:w="475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Automatic shelf. Replaces 2022 shelf. Unused. Filed same day as 10-K</w:t>
            </w:r>
          </w:p>
        </w:tc>
        <w:tc>
          <w:tcPr>
            <w:tcW w:type="dxa" w:w="176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bCs/>
                <w:color w:val="0F1B2D"/>
                <w:sz w:val="11"/>
                <w:szCs w:val="11"/>
              </w:rPr>
              <w:t xml:space="preserve">Context</w:t>
            </w:r>
          </w:p>
        </w:tc>
      </w:tr>
      <w:tr>
        <w:tc>
          <w:tcPr>
            <w:tcW w:type="dxa" w:w="34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bCs/>
                <w:color w:val="1A1A1A"/>
                <w:sz w:val="11"/>
                <w:szCs w:val="11"/>
              </w:rPr>
              <w:t xml:space="preserve">E-17</w:t>
            </w:r>
          </w:p>
        </w:tc>
        <w:tc>
          <w:tcPr>
            <w:tcW w:type="dxa" w:w="70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Credit</w:t>
            </w:r>
          </w:p>
        </w:tc>
        <w:tc>
          <w:tcPr>
            <w:tcW w:type="dxa" w:w="79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7/16/25</w:t>
            </w:r>
          </w:p>
        </w:tc>
        <w:tc>
          <w:tcPr>
            <w:tcW w:type="dxa" w:w="102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S&amp;P / Moody’s</w:t>
            </w:r>
          </w:p>
        </w:tc>
        <w:tc>
          <w:tcPr>
            <w:tcW w:type="dxa" w:w="475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val="false"/>
                <w:bCs w:val="false"/>
                <w:color w:val="1A1A1A"/>
                <w:sz w:val="11"/>
                <w:szCs w:val="11"/>
              </w:rPr>
              <w:t xml:space="preserve">S&amp;P: AA−→A+ (Jul). Moody’s: A1→A2 (Nov). First dual-downgrade in Nike history</w:t>
            </w:r>
          </w:p>
        </w:tc>
        <w:tc>
          <w:tcPr>
            <w:tcW w:type="dxa" w:w="1760"/>
            <w:tcBorders>
              <w:top w:val="single" w:color="AAAAAA" w:sz="1"/>
              <w:left w:val="single" w:color="AAAAAA" w:sz="1"/>
              <w:bottom w:val="single" w:color="AAAAAA" w:sz="1"/>
              <w:right w:val="single" w:color="AAAAAA" w:sz="1"/>
            </w:tcBorders>
            <w:tcMar>
              <w:top w:type="dxa" w:w="38"/>
              <w:left w:type="dxa" w:w="68"/>
              <w:bottom w:type="dxa" w:w="38"/>
              <w:right w:type="dxa" w:w="68"/>
            </w:tcMar>
          </w:tcPr>
          <w:p>
            <w:r>
              <w:rPr>
                <w:rFonts w:ascii="Arial" w:cs="Arial" w:eastAsia="Arial" w:hAnsi="Arial"/>
                <w:b/>
                <w:bCs/>
                <w:color w:val="0F1B2D"/>
                <w:sz w:val="11"/>
                <w:szCs w:val="11"/>
              </w:rPr>
              <w:t xml:space="preserve">Context</w:t>
            </w:r>
          </w:p>
        </w:tc>
      </w:tr>
    </w:tbl>
    <w:p>
      <w:r>
        <w:br w:type="page"/>
      </w:r>
    </w:p>
    <w:p>
      <w:pPr>
        <w:pStyle w:val="Heading1"/>
      </w:pPr>
      <w:r>
        <w:t xml:space="preserve">III. Cumulative Enforcement Recommendations (FY2019–FY2025)</w:t>
      </w:r>
    </w:p>
    <w:p>
      <w:pPr>
        <w:pStyle w:val="Heading2"/>
      </w:pPr>
      <w:r>
        <w:t xml:space="preserve">Priority 1: Exhibit 19 Pre-Clearance Architecture — Formal Comment Letter</w:t>
      </w:r>
    </w:p>
    <w:p>
      <w:pPr>
        <w:spacing w:before="0" w:after="95"/>
      </w:pPr>
      <w:r>
        <w:rPr>
          <w:rFonts w:ascii="Arial" w:cs="Arial" w:eastAsia="Arial" w:hAnsi="Arial"/>
          <w:b w:val="false"/>
          <w:bCs w:val="false"/>
          <w:color w:val="1A1A1A"/>
          <w:sz w:val="17"/>
          <w:szCs w:val="17"/>
        </w:rPr>
        <w:t xml:space="preserve">The self-approval pathway has now persisted for two annual reporting cycles since its first public disclosure. The securities fraud complaint cites it. The board has not reformed it. Issue a formal SEC staff comment letter requesting Nike to explain: (a) who specifically approved Parker’s $565M+ in career transactions; (b) whether the Chairman has ever been denied pre-clearance; (c) what independent oversight mechanism exists for the Chairman’s own trades; (d) whether the board has evaluated the pre-clearance architecture in light of the pending litigation.</w:t>
      </w:r>
    </w:p>
    <w:p>
      <w:pPr>
        <w:pStyle w:val="Heading2"/>
      </w:pPr>
      <w:r>
        <w:t xml:space="preserve">Priority 2: Swoosh 13D — Enforcement Action for Failure to Amend</w:t>
      </w:r>
    </w:p>
    <w:p>
      <w:pPr>
        <w:spacing w:before="0" w:after="95"/>
      </w:pPr>
      <w:r>
        <w:rPr>
          <w:rFonts w:ascii="Arial" w:cs="Arial" w:eastAsia="Arial" w:hAnsi="Arial"/>
          <w:b w:val="false"/>
          <w:bCs w:val="false"/>
          <w:color w:val="1A1A1A"/>
          <w:sz w:val="17"/>
          <w:szCs w:val="17"/>
        </w:rPr>
        <w:t xml:space="preserve">The 9-year gap with a cumulative 35.25M-share (13.7%) unreported reduction, combined with the 2024-effective 2-business-day rule, constitutes a clear filing deficiency. The December 2025 mega-distribution (9.5M shares) was not accompanied by a 13D/A. Issue a formal deficiency notice requiring amendment within 10 business days. If Swoosh fails to comply, refer to Enforcement for Section 13(d) violation.</w:t>
      </w:r>
    </w:p>
    <w:p>
      <w:pPr>
        <w:pStyle w:val="Heading2"/>
      </w:pPr>
      <w:r>
        <w:t xml:space="preserve">Priority 3: Travis Knight Late Form 4 — §16 Enforcement Referral</w:t>
      </w:r>
    </w:p>
    <w:p>
      <w:pPr>
        <w:spacing w:before="0" w:after="95"/>
      </w:pPr>
      <w:r>
        <w:rPr>
          <w:rFonts w:ascii="Arial" w:cs="Arial" w:eastAsia="Arial" w:hAnsi="Arial"/>
          <w:b w:val="false"/>
          <w:bCs w:val="false"/>
          <w:color w:val="1A1A1A"/>
          <w:sz w:val="17"/>
          <w:szCs w:val="17"/>
        </w:rPr>
        <w:t xml:space="preserve">The ~10-business-day late filing for the December 22, 2025 transaction is a clear Section 16(a) violation. While the SEC has historically treated isolated late filings leniently, this occurs in the context of: (a) the Knight family’s controlling-shareholder status; (b) the simultaneous Swoosh mega-distribution without 13D amendment; (c) the 9-year 13D staleness. The pattern suggests systemic filing indifference by the Knight family’s counsel.</w:t>
      </w:r>
    </w:p>
    <w:p>
      <w:pPr>
        <w:pStyle w:val="Heading2"/>
      </w:pPr>
      <w:r>
        <w:t xml:space="preserve">Priority 4: Securities Fraud — Monitor MTD Outcome</w:t>
      </w:r>
    </w:p>
    <w:p>
      <w:pPr>
        <w:spacing w:before="0" w:after="95"/>
      </w:pPr>
      <w:r>
        <w:rPr>
          <w:rFonts w:ascii="Arial" w:cs="Arial" w:eastAsia="Arial" w:hAnsi="Arial"/>
          <w:b w:val="false"/>
          <w:bCs w:val="false"/>
          <w:color w:val="1A1A1A"/>
          <w:sz w:val="17"/>
          <w:szCs w:val="17"/>
        </w:rPr>
        <w:t xml:space="preserve">If Judge Nelson denies the MTD, discovery will produce: pre-clearance approval records (the $565M self-approval question resolved), Swoosh board minutes (the unknown board composition revealed), internal CDA communications (the 19 confidential witnesses corroborated or contradicted), and trading plan adoption documents (the November annual cycle mapped against MNPI awareness). The SEC should prepare for parallel investigation authority if discovery reveals evidence of securities law violations beyond the complaint’s scope.</w:t>
      </w:r>
    </w:p>
    <w:p>
      <w:pPr>
        <w:pStyle w:val="Heading2"/>
      </w:pPr>
      <w:r>
        <w:t xml:space="preserve">Priority 5: Overdue Triennial Review — 13 Years</w:t>
      </w:r>
    </w:p>
    <w:p>
      <w:pPr>
        <w:spacing w:before="0" w:after="95"/>
      </w:pPr>
      <w:r>
        <w:rPr>
          <w:rFonts w:ascii="Arial" w:cs="Arial" w:eastAsia="Arial" w:hAnsi="Arial"/>
          <w:b w:val="false"/>
          <w:bCs w:val="false"/>
          <w:color w:val="1A1A1A"/>
          <w:sz w:val="17"/>
          <w:szCs w:val="17"/>
        </w:rPr>
        <w:t xml:space="preserve">The case for immediate triennial review is now overwhelming. A Dow 30 company has gone 13 years without visible SEC staff engagement while accumulating: a securities fraud class action naming five current/former executives, an 8-year controlling-shareholder 13D deficiency, a publicly documented pre-clearance self-approval loophole, dual credit downgrades, a CEO termination with next-day bylaws timing, and persistent absence of dual-class governance risk factors despite 3 consecutive years of &gt;35% director withhold votes. Initiate the review.</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3"/>
      </w:pBdr>
      <w:tabs>
        <w:tab w:val="right" w:pos="9026"/>
      </w:tabs>
    </w:pPr>
    <w:r>
      <w:rPr>
        <w:rFonts w:ascii="Arial" w:cs="Arial" w:eastAsia="Arial" w:hAnsi="Arial"/>
        <w:color w:val="999999"/>
        <w:sz w:val="9"/>
        <w:szCs w:val="9"/>
      </w:rPr>
      <w:t xml:space="preserve">PRIVILEGED &amp; CONFIDENTIAL — Nike FY2025 Evidence Bundle — FINAL</w:t>
    </w:r>
    <w:r>
      <w:rPr>
        <w:rFonts w:ascii="Arial" w:cs="Arial" w:eastAsia="Arial" w:hAnsi="Arial"/>
        <w:color w:val="999999"/>
        <w:sz w:val="9"/>
        <w:szCs w:val="9"/>
      </w:rPr>
      <w:ptab w:alignment="right" w:relativeTo="margin" w:leader="none"/>
    </w:r>
    <w:r>
      <w:rPr>
        <w:rFonts w:ascii="Arial" w:cs="Arial" w:eastAsia="Arial" w:hAnsi="Arial"/>
        <w:color w:val="999999"/>
        <w:sz w:val="9"/>
        <w:szCs w:val="9"/>
      </w:rPr>
      <w:t xml:space="preserve">Page </w:t>
    </w:r>
    <w:r>
      <w:rPr>
        <w:rFonts w:ascii="Arial" w:cs="Arial" w:eastAsia="Arial" w:hAnsi="Arial"/>
        <w:color w:val="999999"/>
        <w:sz w:val="9"/>
        <w:szCs w:val="9"/>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91C1C" w:sz="4" w:space="3"/>
      </w:pBdr>
    </w:pPr>
    <w:r>
      <w:rPr>
        <w:rFonts w:ascii="Arial" w:cs="Arial" w:eastAsia="Arial" w:hAnsi="Arial"/>
        <w:b/>
        <w:bCs/>
        <w:color w:val="B91C1C"/>
        <w:sz w:val="10"/>
        <w:szCs w:val="10"/>
      </w:rPr>
      <w:t xml:space="preserve">SEC ENFORCEMENT TIP — FULL-CORPUS EDGAR AUDIT — FY2025 FINAL IN 7-YEAR SERIES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50" w:after="140"/>
      <w:outlineLvl w:val="0"/>
    </w:pPr>
    <w:rPr>
      <w:rFonts w:ascii="Arial" w:cs="Arial" w:eastAsia="Arial" w:hAnsi="Arial"/>
      <w:b/>
      <w:bCs/>
      <w:color w:val="0F1B2D"/>
      <w:sz w:val="23"/>
      <w:szCs w:val="23"/>
    </w:rPr>
  </w:style>
  <w:style w:type="paragraph" w:styleId="Heading2">
    <w:name w:val="Heading 2"/>
    <w:basedOn w:val="Normal"/>
    <w:next w:val="Normal"/>
    <w:qFormat/>
    <w:pPr>
      <w:spacing w:before="190" w:after="110"/>
      <w:outlineLvl w:val="1"/>
    </w:pPr>
    <w:rPr>
      <w:rFonts w:ascii="Arial" w:cs="Arial" w:eastAsia="Arial" w:hAnsi="Arial"/>
      <w:b/>
      <w:bCs/>
      <w:color w:val="0F1B2D"/>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2026-03-12T12:52:40.948Z</dcterms:created>
  <dcterms:modified xsi:type="dcterms:W3CDTF">2026-03-12T12:52:40.949Z</dcterms:modified>
</cp:coreProperties>
</file>

<file path=docProps/custom.xml><?xml version="1.0" encoding="utf-8"?>
<Properties xmlns="http://schemas.openxmlformats.org/officeDocument/2006/custom-properties" xmlns:vt="http://schemas.openxmlformats.org/officeDocument/2006/docPropsVTypes"/>
</file>