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  <w:jc w:val="center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SUPPLEMENTAL COMPARATIVE FORENSIC TIMELINE — Q1 CY2026</w:t>
      </w:r>
    </w:p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B91C1C"/>
          <w:sz w:val="15"/>
          <w:szCs w:val="15"/>
        </w:rPr>
        <w:t xml:space="preserve">REAL-TIME STATUS: 8 Filings in 73 Days • Swoosh 13D 75+ Days Overdue • MTD Unruled 6 Months • 3 New 10b5-1 Plans • 14-Year SEC Silence</w:t>
      </w:r>
    </w:p>
    <w:p>
      <w:pPr>
        <w:spacing w:after="10"/>
        <w:jc w:val="center"/>
      </w:pPr>
      <w:r>
        <w:rPr>
          <w:rFonts w:ascii="Arial" w:cs="Arial" w:eastAsia="Arial" w:hAnsi="Arial"/>
          <w:color w:val="6B7280"/>
          <w:sz w:val="13"/>
          <w:szCs w:val="13"/>
        </w:rPr>
        <w:t xml:space="preserve">Nike Inc. (NKE) | CIK 0000320187 | January 1 – March 13, 2026 | Generated: March 13, 2026</w:t>
      </w:r>
    </w:p>
    <w:p>
      <w:pPr>
        <w:spacing w:before="20" w:after="25"/>
      </w:pPr>
      <w:r>
        <w:rPr>
          <w:rFonts w:ascii="Arial" w:cs="Arial" w:eastAsia="Arial" w:hAnsi="Arial"/>
          <w:b/>
          <w:bCs/>
          <w:color w:val="0F1B2D"/>
          <w:sz w:val="11"/>
          <w:szCs w:val="11"/>
        </w:rPr>
        <w:t xml:space="preserve">FLAGS  </w:t>
      </w:r>
      <w:r>
        <w:rPr>
          <w:rFonts w:ascii="Arial" w:cs="Arial" w:eastAsia="Arial" w:hAnsi="Arial"/>
          <w:color w:val="4B5563"/>
          <w:sz w:val="10"/>
          <w:szCs w:val="10"/>
        </w:rPr>
        <w:t xml:space="preserve">BLACK = Active violation / structural fracture  |  RED = Anomaly  |  AMBER = Irregularity  |  GREEN = Compliant  |  GOLD = Forensically significant  |  GREY = Calendar/market</w:t>
      </w:r>
    </w:p>
    <w:tbl>
      <w:tblPr>
        <w:tblW w:type="dxa" w:w="8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590"/>
        <w:gridCol w:w="2300"/>
        <w:gridCol w:w="2000"/>
        <w:gridCol w:w="2300"/>
        <w:gridCol w:w="530"/>
      </w:tblGrid>
      <w:tr>
        <w:trPr>
          <w:tblHeader/>
        </w:trPr>
        <w:tc>
          <w:tcPr>
            <w:tcW w:type="dxa" w:w="8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DATE</w:t>
            </w:r>
          </w:p>
        </w:tc>
        <w:tc>
          <w:tcPr>
            <w:tcW w:type="dxa" w:w="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FILING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PERIODIC / CORPORATE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FORM 4 / SECTION 16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GOVERNANCE / LITIGATION / EXTERNAL</w:t>
            </w:r>
          </w:p>
        </w:tc>
        <w:tc>
          <w:tcPr>
            <w:tcW w:type="dxa" w:w="5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FLAG</w:t>
            </w:r>
          </w:p>
        </w:tc>
      </w:tr>
      <w:tr>
        <w:tc>
          <w:tcPr>
            <w:tcW w:type="dxa" w:w="8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Jan 5, 2026</w:t>
            </w:r>
          </w:p>
        </w:tc>
        <w:tc>
          <w:tcPr>
            <w:tcW w:type="dxa" w:w="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Travis Knight: 1.69M shares contributed to Three Strings L.P. (Dec 22) + 3M shares from 2009 Trust II to same (Dec 31). FILED ~10 BUSINESS DAYS LATE for Dec 22 txn. First confirmed Knight family §16 failure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Feb 2, 2026</w:t>
            </w:r>
          </w:p>
        </w:tc>
        <w:tc>
          <w:tcPr>
            <w:tcW w:type="dxa" w:w="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Phil Knight converts 4.5M Class A → Class B. Timely filed Feb 4. Post-txn: 27.5M Class A direct, 12.8M Class B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0"/>
                <w:szCs w:val="10"/>
              </w:rPr>
              <w:t xml:space="preserve">GREEN</w:t>
            </w:r>
          </w:p>
        </w:tc>
      </w:tr>
      <w:tr>
        <w:tc>
          <w:tcPr>
            <w:tcW w:type="dxa" w:w="8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Feb 4, 2026</w:t>
            </w:r>
          </w:p>
        </w:tc>
        <w:tc>
          <w:tcPr>
            <w:tcW w:type="dxa" w:w="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N/A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EEOC FILES SUBPOENA ENFORCEMENT ACTION (E.D. Mo. 4:26-mc-00128). DEI discrimination investigation against Nike. America First Legal complaint (Jan 2024). Nike resists as “fishing expedition”</w:t>
            </w:r>
          </w:p>
        </w:tc>
        <w:tc>
          <w:tcPr>
            <w:tcW w:type="dxa" w:w="5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0"/>
                <w:szCs w:val="10"/>
              </w:rPr>
              <w:t xml:space="preserve">AMBER</w:t>
            </w:r>
          </w:p>
        </w:tc>
      </w:tr>
      <w:tr>
        <w:tc>
          <w:tcPr>
            <w:tcW w:type="dxa" w:w="8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Feb 10, 2026</w:t>
            </w:r>
          </w:p>
        </w:tc>
        <w:tc>
          <w:tcPr>
            <w:tcW w:type="dxa" w:w="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Heinle Treasure (CPO): 853 shares withheld @ $62.41 for RSU taxes (Code F). Timely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0"/>
                <w:szCs w:val="10"/>
              </w:rPr>
              <w:t xml:space="preserve">GREEN</w:t>
            </w:r>
          </w:p>
        </w:tc>
      </w:tr>
      <w:tr>
        <w:tc>
          <w:tcPr>
            <w:tcW w:type="dxa" w:w="8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Feb 10, 2026</w:t>
            </w:r>
          </w:p>
        </w:tc>
        <w:tc>
          <w:tcPr>
            <w:tcW w:type="dxa" w:w="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Leinwand (CLO): 4,647 shares withheld @ $62.41 for RSU taxes (Code F). Timely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0"/>
                <w:szCs w:val="10"/>
              </w:rPr>
              <w:t xml:space="preserve">GREEN</w:t>
            </w:r>
          </w:p>
        </w:tc>
      </w:tr>
      <w:tr>
        <w:tc>
          <w:tcPr>
            <w:tcW w:type="dxa" w:w="8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Feb 11, 2026</w:t>
            </w:r>
          </w:p>
        </w:tc>
        <w:tc>
          <w:tcPr>
            <w:tcW w:type="dxa" w:w="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Phil Knight gifts 4.5M Class B shares to spouse Penelope P. Knight (Code G). Filed Feb 13. Timely. Post-txn: 8.3M Class B direct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0"/>
                <w:szCs w:val="10"/>
              </w:rPr>
              <w:t xml:space="preserve">GREEN</w:t>
            </w:r>
          </w:p>
        </w:tc>
      </w:tr>
      <w:tr>
        <w:tc>
          <w:tcPr>
            <w:tcW w:type="dxa" w:w="8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Feb 12, 2026</w:t>
            </w:r>
          </w:p>
        </w:tc>
        <w:tc>
          <w:tcPr>
            <w:tcW w:type="dxa" w:w="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 + 144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Leinwand sells 9,065 shares @ $62.33 ($565K). ONLY open-market sale in 73-day window. CLO trading under policy he oversees. Under 10b5-1 adopted Q2 FY2026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0"/>
                <w:szCs w:val="10"/>
              </w:rPr>
              <w:t xml:space="preserve">AMBER</w:t>
            </w:r>
          </w:p>
        </w:tc>
      </w:tr>
      <w:tr>
        <w:tc>
          <w:tcPr>
            <w:tcW w:type="dxa" w:w="8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Mar 5, 2026</w:t>
            </w:r>
          </w:p>
        </w:tc>
        <w:tc>
          <w:tcPr>
            <w:tcW w:type="dxa" w:w="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8-K (0000320187-26-000017): New $1B 364-day unsecured revolving credit facility. BofA admin agent. SOFR +59.5bps. Replaces Mar 2025 facility. No financial covenants. Expandable to $1.5B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0"/>
                <w:szCs w:val="10"/>
              </w:rPr>
              <w:t xml:space="preserve">GREEN</w:t>
            </w:r>
          </w:p>
        </w:tc>
      </w:tr>
      <w:tr>
        <w:tc>
          <w:tcPr>
            <w:tcW w:type="dxa" w:w="8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Mar 11, 2026</w:t>
            </w:r>
          </w:p>
        </w:tc>
        <w:tc>
          <w:tcPr>
            <w:tcW w:type="dxa" w:w="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N/A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Barclays upgrades NKE to Overweight. “The worst may be behind.” NKE ~$54, down 67% from ATH</w:t>
            </w:r>
          </w:p>
        </w:tc>
        <w:tc>
          <w:tcPr>
            <w:tcW w:type="dxa" w:w="5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0"/>
                <w:szCs w:val="10"/>
              </w:rPr>
              <w:t xml:space="preserve">GREY</w:t>
            </w:r>
          </w:p>
        </w:tc>
      </w:tr>
      <w:tr>
        <w:tc>
          <w:tcPr>
            <w:tcW w:type="dxa" w:w="8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Mar 13, 2026</w:t>
            </w:r>
          </w:p>
        </w:tc>
        <w:tc>
          <w:tcPr>
            <w:tcW w:type="dxa" w:w="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N/A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TODAY. NKE ~$54. Q3 FY2026 earnings scheduled Mar 31. 8 filings in 73 days. Zero Parker sales. Zero CORRESP. Zero 13D/A. MTD pending ~6 months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0"/>
                <w:szCs w:val="10"/>
              </w:rPr>
              <w:t xml:space="preserve">GREY</w:t>
            </w:r>
          </w:p>
        </w:tc>
      </w:tr>
      <w:tr>
        <w:tc>
          <w:tcPr>
            <w:tcW w:type="dxa" w:w="8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--- SILENT ---</w:t>
            </w:r>
          </w:p>
        </w:tc>
        <w:tc>
          <w:tcPr>
            <w:tcW w:type="dxa" w:w="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CORRESP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~14-YEAR SEC COMMENT LETTER GAP persists. Last known: Dec 14, 2011. No CORRESP filed Jan–Mar 2026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7C3AED"/>
                <w:sz w:val="11"/>
                <w:szCs w:val="11"/>
              </w:rPr>
              <w:t xml:space="preserve">--- SILENT ---</w:t>
            </w:r>
          </w:p>
        </w:tc>
        <w:tc>
          <w:tcPr>
            <w:tcW w:type="dxa" w:w="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SC 13D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SWOOSH 13D: 9 YRS 8 MONTHS STALE. Dec 2025 mega-distribution 75+ BUSINESS DAYS overdue for 13D/A. Active Rule 13d-2 violation under 2024 amendments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0"/>
                <w:szCs w:val="10"/>
              </w:rPr>
              <w:t xml:space="preserve">BLACK</w:t>
            </w:r>
          </w:p>
        </w:tc>
      </w:tr>
      <w:tr>
        <w:tc>
          <w:tcPr>
            <w:tcW w:type="dxa" w:w="8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7C3AED"/>
                <w:sz w:val="11"/>
                <w:szCs w:val="11"/>
              </w:rPr>
              <w:t xml:space="preserve">--- PENDING ---</w:t>
            </w:r>
          </w:p>
        </w:tc>
        <w:tc>
          <w:tcPr>
            <w:tcW w:type="dxa" w:w="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Litigation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7C3AED"/>
                <w:sz w:val="11"/>
                <w:szCs w:val="11"/>
              </w:rPr>
              <w:t xml:space="preserve">In Re Nike (D.Or. 3:24-cv-00974-AN): MTD FULLY BRIEFED, UNRULED ~6 MONTHS. No docket activity Jan–Mar 2026. Judge Adrienne Nelson. If denied → discovery into $245M insider sales + pre-clearance records</w:t>
            </w:r>
          </w:p>
        </w:tc>
        <w:tc>
          <w:tcPr>
            <w:tcW w:type="dxa" w:w="5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0"/>
                <w:szCs w:val="10"/>
              </w:rPr>
              <w:t xml:space="preserve">BLACK</w:t>
            </w:r>
          </w:p>
        </w:tc>
      </w:tr>
      <w:tr>
        <w:tc>
          <w:tcPr>
            <w:tcW w:type="dxa" w:w="8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--- NEW ---</w:t>
            </w:r>
          </w:p>
        </w:tc>
        <w:tc>
          <w:tcPr>
            <w:tcW w:type="dxa" w:w="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Item 408(a)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Q2 FY2026 10-Q (filed Dec 30, 2025) disclosed THREE new 10b5-1 plan adoptions: Friend (CFO, named defendant), Leinwand (CLO), McCartney (CINO). After 2 consecutive quarters of ZERO adoptions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0"/>
              <w:left w:type="dxa" w:w="68"/>
              <w:bottom w:type="dxa" w:w="40"/>
              <w:right w:type="dxa" w:w="6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0"/>
                <w:szCs w:val="10"/>
              </w:rPr>
              <w:t xml:space="preserve">GOLD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Seven-Year Investigation Thread Tracker — As of March 13, 2026</w:t>
      </w:r>
    </w:p>
    <w:p>
      <w:pPr>
        <w:pStyle w:val="Heading2"/>
      </w:pPr>
      <w:r>
        <w:t xml:space="preserve">WORSENED: Swoosh 13D Delinquency</w:t>
      </w:r>
    </w:p>
    <w:p>
      <w:pPr>
        <w:spacing w:before="0" w:after="95"/>
      </w:pPr>
      <w:r>
        <w:rPr>
          <w:rFonts w:ascii="Arial" w:cs="Arial" w:eastAsia="Arial" w:hAnsi="Arial"/>
          <w:b w:val="false"/>
          <w:bCs w:val="false"/>
          <w:color w:val="1A1A1A"/>
          <w:sz w:val="16"/>
          <w:szCs w:val="16"/>
        </w:rPr>
        <w:t xml:space="preserve">The December 29, 2025 mega-distribution (9.5M Class A shares) triggered a 2-business-day amendment obligation under the 2024-effective Rule 13d-2(a) amendments. As of today, the 13D/A is 75+ business days overdue. This has crossed from “stale” to “actively violative.” The 13D still reports 257M shares from 2016; actual holdings are ~221.75M — a 35.25M-share (13.7%) discrepancy. The Swoosh board composition remains completely unknown following the departures of Donahoe and Graf.</w:t>
      </w:r>
    </w:p>
    <w:p>
      <w:pPr>
        <w:pStyle w:val="Heading2"/>
      </w:pPr>
      <w:r>
        <w:t xml:space="preserve">CONFIRMED: Travis Knight Late Form 4</w:t>
      </w:r>
    </w:p>
    <w:p>
      <w:pPr>
        <w:spacing w:before="0" w:after="95"/>
      </w:pPr>
      <w:r>
        <w:rPr>
          <w:rFonts w:ascii="Arial" w:cs="Arial" w:eastAsia="Arial" w:hAnsi="Arial"/>
          <w:b w:val="false"/>
          <w:bCs w:val="false"/>
          <w:color w:val="1A1A1A"/>
          <w:sz w:val="16"/>
          <w:szCs w:val="16"/>
        </w:rPr>
        <w:t xml:space="preserve">The January 5, 2026 filing for a December 22 transaction is confirmed as the first Knight family §16 timeliness failure in the entire seven-year investigation. The ~10-business-day delay is not marginal — it represents a 5x overshoot of the 2-day statutory deadline. Combined with the 13D delinquency, this establishes a pattern of Knight-family filing discipline operating independently of statutory deadlines.</w:t>
      </w:r>
    </w:p>
    <w:p>
      <w:pPr>
        <w:pStyle w:val="Heading2"/>
      </w:pPr>
      <w:r>
        <w:t xml:space="preserve">NEW: Three C-Suite 10b5-1 Plan Adoptions</w:t>
      </w:r>
    </w:p>
    <w:p>
      <w:pPr>
        <w:spacing w:before="0" w:after="95"/>
      </w:pPr>
      <w:r>
        <w:rPr>
          <w:rFonts w:ascii="Arial" w:cs="Arial" w:eastAsia="Arial" w:hAnsi="Arial"/>
          <w:b w:val="false"/>
          <w:bCs w:val="false"/>
          <w:color w:val="1A1A1A"/>
          <w:sz w:val="16"/>
          <w:szCs w:val="16"/>
        </w:rPr>
        <w:t xml:space="preserve">The Q2 FY2026 Item 408(a) disclosure reveals that CFO Friend (named defendant), CLO Leinwand, and CINO McCartney all adopted 10b5-1 plans during Q2 FY2026 — after two consecutive quarters of zero adoptions. Leinwand has already executed ($565K sale on Feb 12). Friend’s plan adoption is forensically significant: he is a named defendant in the $245M securities fraud complaint. If his plan was adopted while aware of the litigation’s potential outcome or settlement trajectory, the timing could become material in discovery.</w:t>
      </w:r>
    </w:p>
    <w:p>
      <w:pPr>
        <w:pStyle w:val="Heading2"/>
      </w:pPr>
      <w:r>
        <w:t xml:space="preserve">PENDING: MTD Ruling (~6 Months Under Advisement)</w:t>
      </w:r>
    </w:p>
    <w:p>
      <w:pPr>
        <w:spacing w:before="0" w:after="95"/>
      </w:pPr>
      <w:r>
        <w:rPr>
          <w:rFonts w:ascii="Arial" w:cs="Arial" w:eastAsia="Arial" w:hAnsi="Arial"/>
          <w:b w:val="false"/>
          <w:bCs w:val="false"/>
          <w:color w:val="1A1A1A"/>
          <w:sz w:val="16"/>
          <w:szCs w:val="16"/>
        </w:rPr>
        <w:t xml:space="preserve">The securities fraud MTD remains the single most consequential near-term catalyst. If denied, discovery will produce pre-clearance approval records (resolving the $565M self-approval question), Swoosh board minutes, internal CDA communications, and trading plan adoption documents. If granted, the investigation’s findings remain public record through the 292-page amended complaint but cannot be tested through litigation discovery. Q3 FY2026 earnings on March 31 could generate additional newsflow relevant to the case.</w:t>
      </w:r>
    </w:p>
    <w:p>
      <w:pPr>
        <w:pStyle w:val="Heading2"/>
      </w:pPr>
      <w:r>
        <w:t xml:space="preserve">STATIC: Exhibit 19 Self-Approval Loophole + 14-Year SEC Silence</w:t>
      </w:r>
    </w:p>
    <w:p>
      <w:pPr>
        <w:spacing w:before="0" w:after="95"/>
      </w:pPr>
      <w:r>
        <w:rPr>
          <w:rFonts w:ascii="Arial" w:cs="Arial" w:eastAsia="Arial" w:hAnsi="Arial"/>
          <w:b w:val="false"/>
          <w:bCs w:val="false"/>
          <w:color w:val="4B5563"/>
          <w:sz w:val="14"/>
          <w:szCs w:val="14"/>
        </w:rPr>
        <w:t xml:space="preserve">Neither has changed. The Insider Trading Policy incorporated by reference from July 2024 remains the operative document. Parker recorded zero transactions in the window — notable given his near-quarterly cadence across the prior 7 years. The SEC has not communicated with Nike since December 2011. The gap has now crossed 14 years.</w:t>
      </w:r>
    </w:p>
    <w:sectPr>
      <w:headerReference w:type="default" r:id="rId6"/>
      <w:footerReference w:type="default" r:id="rId7"/>
      <w:pgSz w:w="12240" w:h="15840" w:orient="landscape"/>
      <w:pgMar w:top="580" w:right="580" w:bottom="58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3"/>
      </w:pBdr>
      <w:tabs>
        <w:tab w:val="right" w:pos="9026"/>
      </w:tabs>
    </w:pPr>
    <w:r>
      <w:rPr>
        <w:rFonts w:ascii="Arial" w:cs="Arial" w:eastAsia="Arial" w:hAnsi="Arial"/>
        <w:color w:val="999999"/>
        <w:sz w:val="10"/>
        <w:szCs w:val="10"/>
      </w:rPr>
      <w:t xml:space="preserve">Nike Inc. (CIK 0000320187) — Q1 CY2026 Real-Time Supplemental Timeline — 73-Day Window</w:t>
    </w:r>
    <w:r>
      <w:rPr>
        <w:rFonts w:ascii="Arial" w:cs="Arial" w:eastAsia="Arial" w:hAnsi="Arial"/>
        <w:color w:val="999999"/>
        <w:sz w:val="10"/>
        <w:szCs w:val="10"/>
      </w:rPr>
      <w:ptab w:alignment="right" w:relativeTo="margin" w:leader="none"/>
    </w:r>
    <w:r>
      <w:rPr>
        <w:rFonts w:ascii="Arial" w:cs="Arial" w:eastAsia="Arial" w:hAnsi="Arial"/>
        <w:color w:val="999999"/>
        <w:sz w:val="10"/>
        <w:szCs w:val="10"/>
      </w:rPr>
      <w:t xml:space="preserve">Page </w:t>
    </w:r>
    <w:r>
      <w:rPr>
        <w:rFonts w:ascii="Arial" w:cs="Arial" w:eastAsia="Arial" w:hAnsi="Arial"/>
        <w:color w:val="999999"/>
        <w:sz w:val="10"/>
        <w:szCs w:val="1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1B2D" w:sz="4" w:space="3"/>
      </w:pBdr>
    </w:pPr>
    <w:r>
      <w:rPr>
        <w:rFonts w:ascii="Arial" w:cs="Arial" w:eastAsia="Arial" w:hAnsi="Arial"/>
        <w:b/>
        <w:bCs/>
        <w:color w:val="B91C1C"/>
        <w:sz w:val="10"/>
        <w:szCs w:val="10"/>
      </w:rPr>
      <w:t xml:space="preserve">PRIVILEGED &amp; CONFIDENTIAL  |  SUPPLEMENTAL REAL-TIME AUDIT  |  Q1 CY2026  |  ATTORNEY WORK PRODUCT</w:t>
    </w:r>
    <w:r>
      <w:rPr>
        <w:rFonts w:ascii="Arial" w:cs="Arial" w:eastAsia="Arial" w:hAnsi="Arial"/>
        <w:sz w:val="10"/>
        <w:szCs w:val="10"/>
      </w:rPr>
      <w:t xml:space="preserve">                                    </w:t>
    </w:r>
    <w:r>
      <w:rPr>
        <w:rFonts w:ascii="Arial" w:cs="Arial" w:eastAsia="Arial" w:hAnsi="Arial"/>
        <w:color w:val="999999"/>
        <w:sz w:val="10"/>
        <w:szCs w:val="10"/>
      </w:rPr>
      <w:t xml:space="preserve">JLAW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30"/>
      <w:outlineLvl w:val="0"/>
    </w:pPr>
    <w:rPr>
      <w:rFonts w:ascii="Arial" w:cs="Arial" w:eastAsia="Arial" w:hAnsi="Arial"/>
      <w:b/>
      <w:bCs/>
      <w:color w:val="0F1B2D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90" w:after="100"/>
      <w:outlineLvl w:val="1"/>
    </w:pPr>
    <w:rPr>
      <w:rFonts w:ascii="Arial" w:cs="Arial" w:eastAsia="Arial" w:hAnsi="Arial"/>
      <w:b/>
      <w:bCs/>
      <w:color w:val="0F1B2D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2026-03-13T23:36:18.871Z</dcterms:created>
  <dcterms:modified xsi:type="dcterms:W3CDTF">2026-03-13T23:36:18.872Z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