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bottom w:val="single" w:color="0B2545" w:sz="6" w:space="5"/>
        </w:pBdr>
        <w:pStyle w:val="Normal"/>
        <w:spacing w:after="80"/>
        <w:ind/>
        <w:jc w:val="center"/>
        <w:rPr/>
      </w:pPr>
      <w:r>
        <w:rPr>
          <w:rFonts w:ascii="Arial" w:eastAsia="Arial" w:hAnsi="Arial" w:cs="Arial"/>
          <w:b/>
          <w:bCs/>
          <w:color w:val="0B2545"/>
          <w:sz w:val="25"/>
          <w:szCs w:val="25"/>
        </w:rPr>
        <w:t xml:space="preserve">GOVERNANCE BRIEFING — Q1 CY2026 SUPPLEMENTAL</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250"/>
        <w:gridCol w:w="81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50" w:type="dxa"/>
            <w:tcMar>
              <w:top w:w="38" w:type="dxa"/>
              <w:left w:w="68" w:type="dxa"/>
              <w:bottom w:w="38" w:type="dxa"/>
              <w:right w:w="68" w:type="dxa"/>
            </w:tcMar>
            <w:tcBorders>
              <w:top w:val="none" w:sz="0" w:space="0"/>
              <w:left w:val="none" w:sz="0" w:space="0"/>
              <w:bottom w:val="none" w:sz="0" w:space="0"/>
              <w:right w:val="none" w:sz="0" w:space="0"/>
            </w:tcBorders>
            <w:shd w:fill="auto" w:color="auto"/>
            <w:vAlign w:val="top"/>
          </w:tcPr>
          <w:p>
            <w:pPr>
              <w:pBdr/>
              <w:pStyle w:val="Normal"/>
              <w:spacing/>
              <w:ind/>
              <w:rPr/>
            </w:pPr>
            <w:r>
              <w:rPr>
                <w:rFonts w:ascii="Arial" w:eastAsia="Arial" w:hAnsi="Arial" w:cs="Arial"/>
                <w:b/>
                <w:bCs/>
                <w:color w:val="0B2545"/>
                <w:sz w:val="17"/>
                <w:szCs w:val="17"/>
              </w:rPr>
              <w:t xml:space="preserve">TO:</w:t>
            </w:r>
          </w:p>
        </w:tc>
        <w:tc>
          <w:tcPr>
            <w:tcW w:w="8110" w:type="dxa"/>
            <w:tcMar>
              <w:top w:w="38" w:type="dxa"/>
              <w:left w:w="68" w:type="dxa"/>
              <w:bottom w:w="38" w:type="dxa"/>
              <w:right w:w="68" w:type="dxa"/>
            </w:tcMar>
            <w:tcBorders>
              <w:top w:val="none" w:sz="0" w:space="0"/>
              <w:left w:val="none" w:sz="0" w:space="0"/>
              <w:bottom w:val="none" w:sz="0" w:space="0"/>
              <w:right w:val="none" w:sz="0" w:space="0"/>
            </w:tcBorders>
            <w:shd w:fill="auto" w:color="auto"/>
            <w:vAlign w:val="top"/>
          </w:tcPr>
          <w:p>
            <w:pPr>
              <w:pBdr/>
              <w:pStyle w:val="Normal"/>
              <w:spacing/>
              <w:ind/>
              <w:rPr/>
            </w:pPr>
            <w:r>
              <w:rPr>
                <w:rFonts w:ascii="Arial" w:eastAsia="Arial" w:hAnsi="Arial" w:cs="Arial"/>
                <w:sz w:val="17"/>
                <w:szCs w:val="17"/>
              </w:rPr>
              <w:t xml:space="preserve">ISS Governance Research Division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50" w:type="dxa"/>
            <w:tcMar>
              <w:top w:w="38" w:type="dxa"/>
              <w:left w:w="68" w:type="dxa"/>
              <w:bottom w:w="38" w:type="dxa"/>
              <w:right w:w="68" w:type="dxa"/>
            </w:tcMar>
            <w:tcBorders>
              <w:top w:val="none" w:sz="0" w:space="0"/>
              <w:left w:val="none" w:sz="0" w:space="0"/>
              <w:bottom w:val="none" w:sz="0" w:space="0"/>
              <w:right w:val="none" w:sz="0" w:space="0"/>
            </w:tcBorders>
            <w:shd w:fill="auto" w:color="auto"/>
            <w:vAlign w:val="top"/>
          </w:tcPr>
          <w:p>
            <w:pPr>
              <w:pBdr/>
              <w:pStyle w:val="Normal"/>
              <w:spacing/>
              <w:ind/>
              <w:rPr/>
            </w:pPr>
            <w:r>
              <w:rPr>
                <w:rFonts w:ascii="Arial" w:eastAsia="Arial" w:hAnsi="Arial" w:cs="Arial"/>
                <w:b/>
                <w:bCs/>
                <w:color w:val="0B2545"/>
                <w:sz w:val="17"/>
                <w:szCs w:val="17"/>
              </w:rPr>
              <w:t xml:space="preserve">FROM:</w:t>
            </w:r>
          </w:p>
        </w:tc>
        <w:tc>
          <w:tcPr>
            <w:tcW w:w="8110" w:type="dxa"/>
            <w:tcMar>
              <w:top w:w="38" w:type="dxa"/>
              <w:left w:w="68" w:type="dxa"/>
              <w:bottom w:w="38" w:type="dxa"/>
              <w:right w:w="68" w:type="dxa"/>
            </w:tcMar>
            <w:tcBorders>
              <w:top w:val="none" w:sz="0" w:space="0"/>
              <w:left w:val="none" w:sz="0" w:space="0"/>
              <w:bottom w:val="none" w:sz="0" w:space="0"/>
              <w:right w:val="none" w:sz="0" w:space="0"/>
            </w:tcBorders>
            <w:shd w:fill="auto" w:color="auto"/>
            <w:vAlign w:val="top"/>
          </w:tcPr>
          <w:p>
            <w:pPr>
              <w:pBdr/>
              <w:pStyle w:val="Normal"/>
              <w:spacing/>
              <w:ind/>
              <w:rPr/>
            </w:pPr>
            <w:r>
              <w:rPr>
                <w:rFonts w:ascii="Arial" w:eastAsia="Arial" w:hAnsi="Arial" w:cs="Arial"/>
                <w:sz w:val="17"/>
                <w:szCs w:val="17"/>
              </w:rPr>
              <w:t xml:space="preserve">JLAW Forensic Intelligence Platform v4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50" w:type="dxa"/>
            <w:tcMar>
              <w:top w:w="38" w:type="dxa"/>
              <w:left w:w="68" w:type="dxa"/>
              <w:bottom w:w="38" w:type="dxa"/>
              <w:right w:w="68" w:type="dxa"/>
            </w:tcMar>
            <w:tcBorders>
              <w:top w:val="none" w:sz="0" w:space="0"/>
              <w:left w:val="none" w:sz="0" w:space="0"/>
              <w:bottom w:val="none" w:sz="0" w:space="0"/>
              <w:right w:val="none" w:sz="0" w:space="0"/>
            </w:tcBorders>
            <w:shd w:fill="auto" w:color="auto"/>
            <w:vAlign w:val="top"/>
          </w:tcPr>
          <w:p>
            <w:pPr>
              <w:pBdr/>
              <w:pStyle w:val="Normal"/>
              <w:spacing/>
              <w:ind/>
              <w:rPr/>
            </w:pPr>
            <w:r>
              <w:rPr>
                <w:rFonts w:ascii="Arial" w:eastAsia="Arial" w:hAnsi="Arial" w:cs="Arial"/>
                <w:b/>
                <w:bCs/>
                <w:color w:val="0B2545"/>
                <w:sz w:val="17"/>
                <w:szCs w:val="17"/>
              </w:rPr>
              <w:t xml:space="preserve">DATE:</w:t>
            </w:r>
          </w:p>
        </w:tc>
        <w:tc>
          <w:tcPr>
            <w:tcW w:w="8110" w:type="dxa"/>
            <w:tcMar>
              <w:top w:w="38" w:type="dxa"/>
              <w:left w:w="68" w:type="dxa"/>
              <w:bottom w:w="38" w:type="dxa"/>
              <w:right w:w="68" w:type="dxa"/>
            </w:tcMar>
            <w:tcBorders>
              <w:top w:val="none" w:sz="0" w:space="0"/>
              <w:left w:val="none" w:sz="0" w:space="0"/>
              <w:bottom w:val="none" w:sz="0" w:space="0"/>
              <w:right w:val="none" w:sz="0" w:space="0"/>
            </w:tcBorders>
            <w:shd w:fill="auto" w:color="auto"/>
            <w:vAlign w:val="top"/>
          </w:tcPr>
          <w:p>
            <w:pPr>
              <w:pBdr/>
              <w:pStyle w:val="Normal"/>
              <w:spacing/>
              <w:ind/>
              <w:rPr/>
            </w:pPr>
            <w:r>
              <w:rPr>
                <w:rFonts w:ascii="Arial" w:eastAsia="Arial" w:hAnsi="Arial" w:cs="Arial"/>
                <w:sz w:val="17"/>
                <w:szCs w:val="17"/>
              </w:rPr>
              <w:t xml:space="preserve">March 13, 2026 (real-time)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50" w:type="dxa"/>
            <w:tcMar>
              <w:top w:w="38" w:type="dxa"/>
              <w:left w:w="68" w:type="dxa"/>
              <w:bottom w:w="38" w:type="dxa"/>
              <w:right w:w="68" w:type="dxa"/>
            </w:tcMar>
            <w:tcBorders>
              <w:top w:val="none" w:sz="0" w:space="0"/>
              <w:left w:val="none" w:sz="0" w:space="0"/>
              <w:bottom w:val="none" w:sz="0" w:space="0"/>
              <w:right w:val="none" w:sz="0" w:space="0"/>
            </w:tcBorders>
            <w:shd w:fill="auto" w:color="auto"/>
            <w:vAlign w:val="top"/>
          </w:tcPr>
          <w:p>
            <w:pPr>
              <w:pBdr/>
              <w:pStyle w:val="Normal"/>
              <w:spacing/>
              <w:ind/>
              <w:rPr/>
            </w:pPr>
            <w:r>
              <w:rPr>
                <w:rFonts w:ascii="Arial" w:eastAsia="Arial" w:hAnsi="Arial" w:cs="Arial"/>
                <w:b/>
                <w:bCs/>
                <w:color w:val="0B2545"/>
                <w:sz w:val="17"/>
                <w:szCs w:val="17"/>
              </w:rPr>
              <w:t xml:space="preserve">RE:</w:t>
            </w:r>
          </w:p>
        </w:tc>
        <w:tc>
          <w:tcPr>
            <w:tcW w:w="8110" w:type="dxa"/>
            <w:tcMar>
              <w:top w:w="38" w:type="dxa"/>
              <w:left w:w="68" w:type="dxa"/>
              <w:bottom w:w="38" w:type="dxa"/>
              <w:right w:w="68" w:type="dxa"/>
            </w:tcMar>
            <w:tcBorders>
              <w:top w:val="none" w:sz="0" w:space="0"/>
              <w:left w:val="none" w:sz="0" w:space="0"/>
              <w:bottom w:val="none" w:sz="0" w:space="0"/>
              <w:right w:val="none" w:sz="0" w:space="0"/>
            </w:tcBorders>
            <w:shd w:fill="auto" w:color="auto"/>
            <w:vAlign w:val="top"/>
          </w:tcPr>
          <w:p>
            <w:pPr>
              <w:pBdr/>
              <w:pStyle w:val="Normal"/>
              <w:spacing/>
              <w:ind/>
              <w:rPr/>
            </w:pPr>
            <w:r>
              <w:rPr>
                <w:rFonts w:ascii="Arial" w:eastAsia="Arial" w:hAnsi="Arial" w:cs="Arial"/>
                <w:b/>
                <w:bCs/>
                <w:sz w:val="17"/>
                <w:szCs w:val="17"/>
              </w:rPr>
              <w:t xml:space="preserve">URGENT: Swoosh 13D Now 75+ Days Overdue • Knight Family Filing Failures • Named Defendant Adopts Trading Plan • Swoosh Board Remains Unknown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50" w:type="dxa"/>
            <w:tcMar>
              <w:top w:w="38" w:type="dxa"/>
              <w:left w:w="68" w:type="dxa"/>
              <w:bottom w:w="38" w:type="dxa"/>
              <w:right w:w="68" w:type="dxa"/>
            </w:tcMar>
            <w:tcBorders>
              <w:top w:val="none" w:sz="0" w:space="0"/>
              <w:left w:val="none" w:sz="0" w:space="0"/>
              <w:bottom w:val="none" w:sz="0" w:space="0"/>
              <w:right w:val="none" w:sz="0" w:space="0"/>
            </w:tcBorders>
            <w:shd w:fill="auto" w:color="auto"/>
            <w:vAlign w:val="top"/>
          </w:tcPr>
          <w:p>
            <w:pPr>
              <w:pBdr/>
              <w:pStyle w:val="Normal"/>
              <w:spacing/>
              <w:ind/>
              <w:rPr/>
            </w:pPr>
            <w:r>
              <w:rPr>
                <w:rFonts w:ascii="Arial" w:eastAsia="Arial" w:hAnsi="Arial" w:cs="Arial"/>
                <w:b/>
                <w:bCs/>
                <w:color w:val="0B2545"/>
                <w:sz w:val="17"/>
                <w:szCs w:val="17"/>
              </w:rPr>
              <w:t xml:space="preserve">COMPANY:</w:t>
            </w:r>
          </w:p>
        </w:tc>
        <w:tc>
          <w:tcPr>
            <w:tcW w:w="8110" w:type="dxa"/>
            <w:tcMar>
              <w:top w:w="38" w:type="dxa"/>
              <w:left w:w="68" w:type="dxa"/>
              <w:bottom w:w="38" w:type="dxa"/>
              <w:right w:w="68" w:type="dxa"/>
            </w:tcMar>
            <w:tcBorders>
              <w:top w:val="none" w:sz="0" w:space="0"/>
              <w:left w:val="none" w:sz="0" w:space="0"/>
              <w:bottom w:val="none" w:sz="0" w:space="0"/>
              <w:right w:val="none" w:sz="0" w:space="0"/>
            </w:tcBorders>
            <w:shd w:fill="auto" w:color="auto"/>
            <w:vAlign w:val="top"/>
          </w:tcPr>
          <w:p>
            <w:pPr>
              <w:pBdr/>
              <w:pStyle w:val="Normal"/>
              <w:spacing/>
              <w:ind/>
              <w:rPr/>
            </w:pPr>
            <w:r>
              <w:rPr>
                <w:rFonts w:ascii="Arial" w:eastAsia="Arial" w:hAnsi="Arial" w:cs="Arial"/>
                <w:sz w:val="17"/>
                <w:szCs w:val="17"/>
              </w:rPr>
              <w:t xml:space="preserve">Nike, Inc. (NYSE: NKE) | CIK 0000320187 | NKE ~$54 (−70% from ATH)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50" w:type="dxa"/>
            <w:tcMar>
              <w:top w:w="38" w:type="dxa"/>
              <w:left w:w="68" w:type="dxa"/>
              <w:bottom w:w="38" w:type="dxa"/>
              <w:right w:w="68" w:type="dxa"/>
            </w:tcMar>
            <w:tcBorders>
              <w:top w:val="none" w:sz="0" w:space="0"/>
              <w:left w:val="none" w:sz="0" w:space="0"/>
              <w:bottom w:val="none" w:sz="0" w:space="0"/>
              <w:right w:val="none" w:sz="0" w:space="0"/>
            </w:tcBorders>
            <w:shd w:fill="auto" w:color="auto"/>
            <w:vAlign w:val="top"/>
          </w:tcPr>
          <w:p>
            <w:pPr>
              <w:pBdr/>
              <w:pStyle w:val="Normal"/>
              <w:spacing/>
              <w:ind/>
              <w:rPr/>
            </w:pPr>
            <w:r>
              <w:rPr>
                <w:rFonts w:ascii="Arial" w:eastAsia="Arial" w:hAnsi="Arial" w:cs="Arial"/>
                <w:b/>
                <w:bCs/>
                <w:color w:val="0B2545"/>
                <w:sz w:val="17"/>
                <w:szCs w:val="17"/>
              </w:rPr>
              <w:t xml:space="preserve">SERIES:</w:t>
            </w:r>
          </w:p>
        </w:tc>
        <w:tc>
          <w:tcPr>
            <w:tcW w:w="8110" w:type="dxa"/>
            <w:tcMar>
              <w:top w:w="38" w:type="dxa"/>
              <w:left w:w="68" w:type="dxa"/>
              <w:bottom w:w="38" w:type="dxa"/>
              <w:right w:w="68" w:type="dxa"/>
            </w:tcMar>
            <w:tcBorders>
              <w:top w:val="none" w:sz="0" w:space="0"/>
              <w:left w:val="none" w:sz="0" w:space="0"/>
              <w:bottom w:val="none" w:sz="0" w:space="0"/>
              <w:right w:val="none" w:sz="0" w:space="0"/>
            </w:tcBorders>
            <w:shd w:fill="auto" w:color="auto"/>
            <w:vAlign w:val="top"/>
          </w:tcPr>
          <w:p>
            <w:pPr>
              <w:pBdr/>
              <w:pStyle w:val="Normal"/>
              <w:spacing/>
              <w:ind/>
              <w:rPr/>
            </w:pPr>
            <w:r>
              <w:rPr>
                <w:rFonts w:ascii="Arial" w:eastAsia="Arial" w:hAnsi="Arial" w:cs="Arial"/>
                <w:sz w:val="17"/>
                <w:szCs w:val="17"/>
              </w:rPr>
              <w:t xml:space="preserve">Supplemental to FY2019–FY2025 series (12 prior ISS memos)</w:t>
            </w:r>
          </w:p>
        </w:tc>
      </w:tr>
    </w:tbl>
    <w:p>
      <w:pPr>
        <w:pBdr>
          <w:bottom w:val="single" w:color="0B2545" w:sz="2" w:space="4"/>
        </w:pBdr>
        <w:pStyle w:val="Normal"/>
        <w:spacing w:before="80"/>
        <w:ind/>
        <w:rPr/>
      </w:pPr>
    </w:p>
    <w:p>
      <w:pPr>
        <w:pBdr/>
        <w:pStyle w:val="Heading 1"/>
        <w:spacing/>
        <w:ind/>
        <w:rPr/>
      </w:pPr>
      <w:r>
        <w:rPr/>
        <w:t xml:space="preserve">The Swoosh 13D Has Crossed from Stale to Actively Violative</w:t>
      </w:r>
    </w:p>
    <w:p>
      <w:pPr>
        <w:pBdr/>
        <w:pStyle w:val="Normal"/>
        <w:spacing w:before="0" w:after="95"/>
        <w:ind/>
        <w:rPr/>
      </w:pPr>
      <w:r>
        <w:rPr>
          <w:rFonts w:ascii="Arial" w:eastAsia="Arial" w:hAnsi="Arial" w:cs="Arial"/>
          <w:b w:val="0"/>
          <w:color w:val="1A1A1A"/>
          <w:sz w:val="17"/>
          <w:szCs w:val="17"/>
        </w:rPr>
        <w:t xml:space="preserve">For seven years, this memo series documented the Swoosh LLC 13D’s increasing staleness: 3 years (FY2019), 5 years (FY2021), 7 years (FY2023), 9 years (FY2025). Each memo characterized the gap as “stale” or “anomalous.” As of March 13, 2026, the characterization must change. The filing is now actively violative of the SEC’s 2024-effective amendments to Rule 13d-</w:t>
      </w:r>
      <w:r>
        <w:rPr>
          <w:rFonts w:ascii="Arial" w:eastAsia="Arial" w:hAnsi="Arial" w:cs="Arial"/>
          <w:b w:val="0"/>
          <w:color w:val="1A1A1A"/>
          <w:sz w:val="17"/>
          <w:szCs w:val="17"/>
        </w:rPr>
        <w:t xml:space="preserve">2(a), which shortened the amendment deadline from “promptly” to 2 business days for material changes by 13D filers.</w:t>
      </w:r>
    </w:p>
    <w:p>
      <w:pPr>
        <w:pBdr/>
        <w:pStyle w:val="Normal"/>
        <w:spacing w:before="0" w:after="95"/>
        <w:ind/>
        <w:rPr/>
      </w:pPr>
      <w:r>
        <w:rPr>
          <w:rFonts w:ascii="Arial" w:eastAsia="Arial" w:hAnsi="Arial" w:cs="Arial"/>
          <w:b w:val="0"/>
          <w:color w:val="1A1A1A"/>
          <w:sz w:val="17"/>
          <w:szCs w:val="17"/>
        </w:rPr>
        <w:t xml:space="preserve">The December 29, 2025 distribution of 9.5 million Class A shares — the largest in Swoosh’s history — is an unambiguous material change to Items 3 (Source of Funds), 4 (Purpose of Transaction), and 5 (Interest in Securities). The 2-business-day deadline was approximately December 31, 2025. As of today, the amendment is 75+ business days overdue.</w:t>
      </w:r>
    </w:p>
    <w:p>
      <w:pPr>
        <w:pBdr/>
        <w:pStyle w:val="Normal"/>
        <w:spacing w:before="0" w:after="95"/>
        <w:ind/>
        <w:rPr/>
      </w:pPr>
      <w:r>
        <w:rPr>
          <w:rFonts w:ascii="Arial" w:eastAsia="Arial" w:hAnsi="Arial" w:cs="Arial"/>
          <w:b w:val="0"/>
          <w:color w:val="1A1A1A"/>
          <w:sz w:val="17"/>
          <w:szCs w:val="17"/>
        </w:rPr>
        <w:t xml:space="preserve">This is not an academic observation. The SEC’s 2023 rulemaking (Release 33-11253) specifically cited “the market’s interest in timely and accurate disclosure of beneficial ownership information” as the rationale for shortening the deadline. Nike’s controlling shareholder — an entity holding ~97% of Class A voting power, governed by unknown individuals, whose 13D reports a share count 35.25 million shares (13.7%) higher than reality — is precisely the scenario the rule was designed to address.</w:t>
      </w:r>
    </w:p>
    <w:p>
      <w:pPr>
        <w:pBdr/>
        <w:pStyle w:val="Heading 1"/>
        <w:spacing/>
        <w:ind/>
        <w:rPr/>
      </w:pPr>
      <w:r>
        <w:rPr/>
        <w:t xml:space="preserve">What We Know vs. What We Don’t Know — Swoosh Board</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3120"/>
        <w:gridCol w:w="3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38" w:type="dxa"/>
              <w:left w:w="68" w:type="dxa"/>
              <w:bottom w:w="38" w:type="dxa"/>
              <w:right w:w="68" w:type="dxa"/>
            </w:tcMar>
            <w:tcBorders>
              <w:top w:val="single" w:color="AAAAAA" w:sz="1" w:space="0"/>
              <w:left w:val="single" w:color="AAAAAA" w:sz="1" w:space="0"/>
              <w:bottom w:val="single" w:color="AAAAAA" w:sz="1" w:space="0"/>
              <w:right w:val="single" w:color="AAAAAA" w:sz="1" w:space="0"/>
            </w:tcBorders>
            <w:shd w:fill="0B2545" w:color="auto" w:val="clear"/>
            <w:vAlign w:val="top"/>
          </w:tcPr>
          <w:p>
            <w:pPr>
              <w:pBdr/>
              <w:pStyle w:val="Normal"/>
              <w:spacing/>
              <w:ind/>
              <w:rPr/>
            </w:pPr>
            <w:r>
              <w:rPr>
                <w:rFonts w:ascii="Arial" w:eastAsia="Arial" w:hAnsi="Arial" w:cs="Arial"/>
                <w:b/>
                <w:bCs/>
                <w:color w:val="FFFFFF"/>
                <w:sz w:val="11"/>
                <w:szCs w:val="11"/>
              </w:rPr>
              <w:t xml:space="preserve">KNOWN (from 13D + Form 4s)</w:t>
            </w:r>
          </w:p>
        </w:tc>
        <w:tc>
          <w:tcPr>
            <w:tcW w:w="3120" w:type="dxa"/>
            <w:tcMar>
              <w:top w:w="38" w:type="dxa"/>
              <w:left w:w="68" w:type="dxa"/>
              <w:bottom w:w="38" w:type="dxa"/>
              <w:right w:w="68" w:type="dxa"/>
            </w:tcMar>
            <w:tcBorders>
              <w:top w:val="single" w:color="AAAAAA" w:sz="1" w:space="0"/>
              <w:left w:val="single" w:color="AAAAAA" w:sz="1" w:space="0"/>
              <w:bottom w:val="single" w:color="AAAAAA" w:sz="1" w:space="0"/>
              <w:right w:val="single" w:color="AAAAAA" w:sz="1" w:space="0"/>
            </w:tcBorders>
            <w:shd w:fill="0B2545" w:color="auto" w:val="clear"/>
            <w:vAlign w:val="top"/>
          </w:tcPr>
          <w:p>
            <w:pPr>
              <w:pBdr/>
              <w:pStyle w:val="Normal"/>
              <w:spacing/>
              <w:ind/>
              <w:rPr/>
            </w:pPr>
            <w:r>
              <w:rPr>
                <w:rFonts w:ascii="Arial" w:eastAsia="Arial" w:hAnsi="Arial" w:cs="Arial"/>
                <w:b/>
                <w:bCs/>
                <w:color w:val="FFFFFF"/>
                <w:sz w:val="11"/>
                <w:szCs w:val="11"/>
              </w:rPr>
              <w:t xml:space="preserve">UNKNOWN (no public source)</w:t>
            </w:r>
          </w:p>
        </w:tc>
        <w:tc>
          <w:tcPr>
            <w:tcW w:w="3120" w:type="dxa"/>
            <w:tcMar>
              <w:top w:w="38" w:type="dxa"/>
              <w:left w:w="68" w:type="dxa"/>
              <w:bottom w:w="38" w:type="dxa"/>
              <w:right w:w="68" w:type="dxa"/>
            </w:tcMar>
            <w:tcBorders>
              <w:top w:val="single" w:color="AAAAAA" w:sz="1" w:space="0"/>
              <w:left w:val="single" w:color="AAAAAA" w:sz="1" w:space="0"/>
              <w:bottom w:val="single" w:color="AAAAAA" w:sz="1" w:space="0"/>
              <w:right w:val="single" w:color="AAAAAA" w:sz="1" w:space="0"/>
            </w:tcBorders>
            <w:shd w:fill="0B2545" w:color="auto" w:val="clear"/>
            <w:vAlign w:val="top"/>
          </w:tcPr>
          <w:p>
            <w:pPr>
              <w:pBdr/>
              <w:pStyle w:val="Normal"/>
              <w:spacing/>
              <w:ind/>
              <w:rPr/>
            </w:pPr>
            <w:r>
              <w:rPr>
                <w:rFonts w:ascii="Arial" w:eastAsia="Arial" w:hAnsi="Arial" w:cs="Arial"/>
                <w:b/>
                <w:bCs/>
                <w:color w:val="FFFFFF"/>
                <w:sz w:val="11"/>
                <w:szCs w:val="11"/>
              </w:rPr>
              <w:t xml:space="preserve">INFERRED (from proxy / filings)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38" w:type="dxa"/>
              <w:left w:w="68" w:type="dxa"/>
              <w:bottom w:w="38" w:type="dxa"/>
              <w:right w:w="68"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rPr/>
            </w:pPr>
            <w:r>
              <w:rPr>
                <w:rFonts w:ascii="Arial" w:eastAsia="Arial" w:hAnsi="Arial" w:cs="Arial"/>
                <w:b w:val="0"/>
                <w:color w:val="1A1A1A"/>
                <w:sz w:val="11"/>
                <w:szCs w:val="11"/>
              </w:rPr>
              <w:t xml:space="preserve">5-seat board: 2 Class X + 3 Independent. Travis Knight controls Class X via trust subsidiary. Protectors: Wolfson (Jasper Ridge) + Chapa (Quixote). Sunset: Jun 30, 2050. All Class A converts to Class B</w:t>
            </w:r>
          </w:p>
        </w:tc>
        <w:tc>
          <w:tcPr>
            <w:tcW w:w="3120" w:type="dxa"/>
            <w:tcMar>
              <w:top w:w="38" w:type="dxa"/>
              <w:left w:w="68" w:type="dxa"/>
              <w:bottom w:w="38" w:type="dxa"/>
              <w:right w:w="68"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rPr/>
            </w:pPr>
            <w:r>
              <w:rPr>
                <w:rFonts w:ascii="Arial" w:eastAsia="Arial" w:hAnsi="Arial" w:cs="Arial"/>
                <w:b/>
                <w:bCs/>
                <w:color w:val="B91C1C"/>
                <w:sz w:val="11"/>
                <w:szCs w:val="11"/>
              </w:rPr>
              <w:t xml:space="preserve">WHO HOLDS THE 3 INDEPENDENT SEATS? Donahoe departed Oct 2024. Graf departed Jun 2024. Parker status uncertain. 0, 1, 2, or 3 seats may be vacant or filled by unknown individuals. No public filing reveals current composition</w:t>
            </w:r>
          </w:p>
        </w:tc>
        <w:tc>
          <w:tcPr>
            <w:tcW w:w="3120" w:type="dxa"/>
            <w:tcMar>
              <w:top w:w="38" w:type="dxa"/>
              <w:left w:w="68" w:type="dxa"/>
              <w:bottom w:w="38" w:type="dxa"/>
              <w:right w:w="68" w:type="dxa"/>
            </w:tcMar>
            <w:tcBorders>
              <w:top w:val="single" w:color="AAAAAA" w:sz="1" w:space="0"/>
              <w:left w:val="single" w:color="AAAAAA" w:sz="1" w:space="0"/>
              <w:bottom w:val="single" w:color="AAAAAA" w:sz="1" w:space="0"/>
              <w:right w:val="single" w:color="AAAAAA" w:sz="1" w:space="0"/>
            </w:tcBorders>
            <w:shd w:fill="auto" w:color="auto"/>
            <w:vAlign w:val="top"/>
          </w:tcPr>
          <w:p>
            <w:pPr>
              <w:pBdr/>
              <w:pStyle w:val="Normal"/>
              <w:spacing/>
              <w:ind/>
              <w:rPr/>
            </w:pPr>
            <w:r>
              <w:rPr>
                <w:rFonts w:ascii="Arial" w:eastAsia="Arial" w:hAnsi="Arial" w:cs="Arial"/>
                <w:b w:val="0"/>
                <w:color w:val="1A1A1A"/>
                <w:sz w:val="11"/>
                <w:szCs w:val="11"/>
              </w:rPr>
              <w:t xml:space="preserve">Parker’s proxy bio omits Swoosh. Dec 29, 2025 distribution signed by R. Durham (VP). Knight family Form 4s reference Swoosh distributions but not governance. Swoosh’s EDGAR page (CIK 0001645433): zero filings since 2016</w:t>
            </w:r>
          </w:p>
        </w:tc>
      </w:tr>
    </w:tbl>
    <w:p>
      <w:pPr>
        <w:pBdr/>
        <w:pStyle w:val="Normal"/>
        <w:spacing w:before="0" w:after="95"/>
        <w:ind/>
        <w:rPr/>
      </w:pPr>
      <w:r>
        <w:rPr>
          <w:rFonts w:ascii="Arial" w:eastAsia="Arial" w:hAnsi="Arial" w:cs="Arial"/>
          <w:b w:val="0"/>
          <w:color w:val="1A1A1A"/>
          <w:sz w:val="17"/>
          <w:szCs w:val="17"/>
        </w:rPr>
        <w:t xml:space="preserve">The governance of the entity controlling Nike’s super-voting shares is a black hole. ISS cannot score what it cannot see. This is the single most urgent engagement priority in the Nike governance portfolio.</w:t>
      </w:r>
    </w:p>
    <w:p>
      <w:pPr>
        <w:pBdr/>
        <w:pStyle w:val="Normal"/>
        <w:spacing/>
        <w:ind/>
        <w:rPr/>
      </w:pPr>
      <w:r>
        <w:rPr/>
        <w:br w:type="page"/>
      </w:r>
    </w:p>
    <w:p>
      <w:pPr>
        <w:pBdr/>
        <w:pStyle w:val="Heading 1"/>
        <w:spacing/>
        <w:ind/>
        <w:rPr/>
      </w:pPr>
      <w:r>
        <w:rPr/>
        <w:t xml:space="preserve">New Development: Named Defendant Adopts Trading Plan</w:t>
      </w:r>
    </w:p>
    <w:p>
      <w:pPr>
        <w:pBdr/>
        <w:pStyle w:val="Normal"/>
        <w:spacing w:before="0" w:after="95"/>
        <w:ind/>
        <w:rPr/>
      </w:pPr>
      <w:r>
        <w:rPr>
          <w:rFonts w:ascii="Arial" w:eastAsia="Arial" w:hAnsi="Arial" w:cs="Arial"/>
          <w:b w:val="0"/>
          <w:color w:val="1A1A1A"/>
          <w:sz w:val="17"/>
          <w:szCs w:val="17"/>
        </w:rPr>
        <w:t xml:space="preserve">CFO Matthew Friend — one of five defendants named in the $245M securities fraud amended complaint (filed Feb 10, 2025) — adopted a Rule 10b5-1 trading plan during Q2 FY2026. This was disclosed in the December 30, 2025 10-Q’s Item 408(a). Friend had not adopted a plan in the two preceding quarters.</w:t>
      </w:r>
    </w:p>
    <w:p>
      <w:pPr>
        <w:pBdr/>
        <w:pStyle w:val="Normal"/>
        <w:spacing w:before="0" w:after="95"/>
        <w:ind/>
        <w:rPr/>
      </w:pPr>
      <w:r>
        <w:rPr>
          <w:rFonts w:ascii="Arial" w:eastAsia="Arial" w:hAnsi="Arial" w:cs="Arial"/>
          <w:b w:val="0"/>
          <w:color w:val="1A1A1A"/>
          <w:sz w:val="17"/>
          <w:szCs w:val="17"/>
        </w:rPr>
        <w:t xml:space="preserve">The governance implication is straightforward: a senior officer whose trading activity is a central allegation in an active securities fraud complaint has established a mechanism for future stock sales while the motion to dismiss his case remains unruled. The plan’s adoption complies with the mechanical requirements of Exhibit 19.2 (Corporate Secretary approval, cooling-off period). But the timing — simultaneous with the complaint’s pending disposition — creates a perception risk that QualityScore’s insider trading sub-factor should capture.</w:t>
      </w:r>
    </w:p>
    <w:p>
      <w:pPr>
        <w:pBdr/>
        <w:pStyle w:val="Normal"/>
        <w:spacing w:before="0" w:after="95"/>
        <w:ind/>
        <w:rPr/>
      </w:pPr>
      <w:r>
        <w:rPr>
          <w:rFonts w:ascii="Arial" w:eastAsia="Arial" w:hAnsi="Arial" w:cs="Arial"/>
          <w:b w:val="0"/>
          <w:color w:val="1A1A1A"/>
          <w:sz w:val="17"/>
          <w:szCs w:val="17"/>
        </w:rPr>
        <w:t xml:space="preserve">Separately, Chief Legal Officer Leinwand adopted a plan during the same quarter and has already executed a $565K sale (February 12, 2026). As CLO, Leinwand oversees the Insider Trading Policy and the Corporate Secretary who approves 10b5-1 plans — creating a circular oversight structure analogous to the Parker self-approval loophole identified in FY2024.</w:t>
      </w:r>
    </w:p>
    <w:p>
      <w:pPr>
        <w:pBdr/>
        <w:pStyle w:val="Heading 1"/>
        <w:spacing/>
        <w:ind/>
        <w:rPr/>
      </w:pPr>
      <w:r>
        <w:rPr/>
        <w:t xml:space="preserve">Phil Knight’s Three-Step Transaction Chain</w:t>
      </w:r>
    </w:p>
    <w:p>
      <w:pPr>
        <w:pBdr/>
        <w:pStyle w:val="Normal"/>
        <w:spacing w:before="0" w:after="95"/>
        <w:ind/>
        <w:rPr/>
      </w:pPr>
      <w:r>
        <w:rPr>
          <w:rFonts w:ascii="Arial" w:eastAsia="Arial" w:hAnsi="Arial" w:cs="Arial"/>
          <w:b w:val="0"/>
          <w:color w:val="1A1A1A"/>
          <w:sz w:val="17"/>
          <w:szCs w:val="17"/>
        </w:rPr>
        <w:t xml:space="preserve">Phil Knight executed a three-step share repositioning between December 29, 2025 and February 11, 2026: (1) receive 4.5M Class A shares from Swoosh distribution; (2) convert all 4.5M to Class B on February 2; (3) gift all 4.5M Class B to spouse Penelope on February 11. Each step was timely filed. The net effect: 4.5 million shares moved from Class A (super-voting) to Class B (standard voting), then out of Phil Knight’s direct beneficial ownership. Post-chain, Phil Knight holds 27.5M Class A and 8.3M Class B directly.</w:t>
      </w:r>
    </w:p>
    <w:p>
      <w:pPr>
        <w:pBdr/>
        <w:pStyle w:val="Normal"/>
        <w:spacing w:before="0" w:after="95"/>
        <w:ind/>
        <w:rPr/>
      </w:pPr>
      <w:r>
        <w:rPr>
          <w:rFonts w:ascii="Arial" w:eastAsia="Arial" w:hAnsi="Arial" w:cs="Arial"/>
          <w:b w:val="0"/>
          <w:color w:val="1A1A1A"/>
          <w:sz w:val="17"/>
          <w:szCs w:val="17"/>
        </w:rPr>
        <w:t xml:space="preserve">The conversion from Class A to Class B is particularly notable. Class A shares carry preferential voting rights for board elections — the mechanism that makes all shareholder proposals futile and ensures Parker’s perpetual election despite 40% withhold votes. Converting 4.5M from A to B marginally dilutes this voting power while concentrating the remaining A shares in Swoosh and Knight’s direct holdings. Whether this signals a gradual ownership simplification ahead of the 2050 sunset or is purely tax/estate planning is not determinable from the filings.</w:t>
      </w:r>
    </w:p>
    <w:p>
      <w:pPr>
        <w:pBdr/>
        <w:pStyle w:val="Heading 1"/>
        <w:spacing/>
        <w:ind/>
        <w:rPr/>
      </w:pPr>
      <w:r>
        <w:rPr/>
        <w:t xml:space="preserve">Engagement Recommendations — Immediate Actions</w:t>
      </w:r>
    </w:p>
    <w:p>
      <w:pPr>
        <w:pBdr/>
        <w:pStyle w:val="Heading 2"/>
        <w:spacing/>
        <w:ind/>
        <w:rPr/>
      </w:pPr>
      <w:r>
        <w:rPr/>
        <w:t xml:space="preserve">Action 1: Formal Swoosh Governance Demand Letter</w:t>
      </w:r>
    </w:p>
    <w:p>
      <w:pPr>
        <w:pBdr/>
        <w:pStyle w:val="Normal"/>
        <w:spacing w:before="0" w:after="95"/>
        <w:ind/>
        <w:rPr/>
      </w:pPr>
      <w:r>
        <w:rPr>
          <w:rFonts w:ascii="Arial" w:eastAsia="Arial" w:hAnsi="Arial" w:cs="Arial"/>
          <w:b w:val="0"/>
          <w:color w:val="1A1A1A"/>
          <w:sz w:val="17"/>
          <w:szCs w:val="17"/>
        </w:rPr>
        <w:t xml:space="preserve">ISS should issue a formal governance alert directly to Nike’s Lead Independent Director (Tim Cook) and Corporate Secretary demanding: (a) current Swoosh board composition; (b) whether a 13D/A is planned; (c) the rationale for 75+ business days of delinquency under the 2024 rule; (d) whether the Independent Director seats are vacant or filled. If no response within 30 days, ISS should publish a public governance alert.</w:t>
      </w:r>
    </w:p>
    <w:p>
      <w:pPr>
        <w:pBdr/>
        <w:pStyle w:val="Heading 2"/>
        <w:spacing/>
        <w:ind/>
        <w:rPr/>
      </w:pPr>
      <w:r>
        <w:rPr/>
        <w:t xml:space="preserve">Action 2: QualityScore Update — Insider Trading Pre-Clearance</w:t>
      </w:r>
    </w:p>
    <w:p>
      <w:pPr>
        <w:pBdr/>
        <w:pStyle w:val="Normal"/>
        <w:spacing w:before="0" w:after="95"/>
        <w:ind/>
        <w:rPr/>
      </w:pPr>
      <w:r>
        <w:rPr>
          <w:rFonts w:ascii="Arial" w:eastAsia="Arial" w:hAnsi="Arial" w:cs="Arial"/>
          <w:b w:val="0"/>
          <w:color w:val="1A1A1A"/>
          <w:sz w:val="17"/>
          <w:szCs w:val="17"/>
        </w:rPr>
        <w:t xml:space="preserve">The FY2024 and FY2025 memos recommended a new QualityScore sub-factor for insider trading pre-clearance architecture. The Q1 CY2026 data reinforces the urgency: the CLO circular approval pathway (Leinwand), the named-defendant plan adoption (Friend), and the unchanged Exhibit 19 self-approval loophole (Parker) all demonstrate that Nike’s insider trading governance operates without independent oversight. Score Nike at the bottom of the framework for the Fall 2026 QualityScore update.</w:t>
      </w:r>
    </w:p>
    <w:p>
      <w:pPr>
        <w:pBdr/>
        <w:pStyle w:val="Heading 2"/>
        <w:spacing/>
        <w:ind/>
        <w:rPr/>
      </w:pPr>
      <w:r>
        <w:rPr/>
        <w:t xml:space="preserve">Action 3: MTD Monitoring Protocol</w:t>
      </w:r>
    </w:p>
    <w:p>
      <w:pPr>
        <w:pBdr/>
        <w:pStyle w:val="Normal"/>
        <w:spacing w:before="0" w:after="95"/>
        <w:ind/>
        <w:rPr/>
      </w:pPr>
      <w:r>
        <w:rPr>
          <w:rFonts w:ascii="Arial" w:eastAsia="Arial" w:hAnsi="Arial" w:cs="Arial"/>
          <w:b w:val="0"/>
          <w:color w:val="1A1A1A"/>
          <w:sz w:val="17"/>
          <w:szCs w:val="17"/>
        </w:rPr>
        <w:t xml:space="preserve">The securities fraud MTD ruling is imminent (6+ months under advisement). ISS should prepare two governance profile scenarios: (a) MTD denied → discovery phase begins, producing pre-clearance records and Swoosh board minutes; (b) MTD granted → complaint’s factual allegations remain public record but are not tested. Either outcome has QualityScore implications that should be reflected within 30 days of the ruling.</w:t>
      </w:r>
    </w:p>
    <w:p>
      <w:pPr>
        <w:pBdr/>
        <w:pStyle w:val="Heading 2"/>
        <w:spacing/>
        <w:ind/>
        <w:rPr/>
      </w:pPr>
      <w:r>
        <w:rPr/>
        <w:t xml:space="preserve">Action 4: EEOC Enforcement — New Governance Risk</w:t>
      </w:r>
    </w:p>
    <w:p>
      <w:pPr>
        <w:pBdr/>
        <w:pStyle w:val="Normal"/>
        <w:spacing w:before="0" w:after="95"/>
        <w:ind/>
        <w:rPr/>
      </w:pPr>
      <w:r>
        <w:rPr>
          <w:rFonts w:ascii="Arial" w:eastAsia="Arial" w:hAnsi="Arial" w:cs="Arial"/>
          <w:b w:val="0"/>
          <w:color w:val="1A1A1A"/>
          <w:sz w:val="17"/>
          <w:szCs w:val="17"/>
        </w:rPr>
        <w:t xml:space="preserve">The February 4, 2026 EEOC subpoena enforcement action introduces a new regulatory risk dimension. While not directly related to insider trading or beneficial ownership, a federal agency investigating systemic discrimination at a Dow 30 company — whose board includes 3 non-independent directors and whose controlling shareholder’s governance is opaque — adds to the cumulative governance risk profile. Monitor for SEC coordination or derivative claims.</w:t>
      </w:r>
    </w:p>
    <w:p>
      <w:pPr>
        <w:pBdr>
          <w:top w:val="single" w:color="0B2545" w:sz="2" w:space="6"/>
        </w:pBdr>
        <w:pStyle w:val="Normal"/>
        <w:spacing w:before="150"/>
        <w:ind/>
        <w:rPr/>
      </w:pPr>
    </w:p>
    <w:p>
      <w:pPr>
        <w:pBdr/>
        <w:pStyle w:val="Normal"/>
        <w:spacing w:before="0" w:after="95"/>
        <w:ind/>
        <w:rPr/>
      </w:pPr>
      <w:r>
        <w:rPr>
          <w:rFonts w:ascii="Arial" w:eastAsia="Arial" w:hAnsi="Arial" w:cs="Arial"/>
          <w:b w:val="0"/>
          <w:color w:val="4B5563"/>
          <w:sz w:val="14"/>
          <w:szCs w:val="14"/>
        </w:rPr>
        <w:t xml:space="preserve">This supplemental memo extends the seven-year series into real time. Every thread documented across FY2019–FY2025 remains active, with the Swoosh 13D delinquency crossing from anomaly to violation, the litigation reaching its decisional moment, and new insider trading plan activity creating fresh forensic threads. The next major data point is the March 31 Q3 earnings, followed by the MTD ruling and the FY2026 10-K (expected July 2026). The investigation continues.</w:t>
      </w:r>
    </w:p>
    <w:sectPr>
      <w:headerReference w:type="default" r:id="rId1"/>
      <w:footerReference w:type="default" r:id="rId2"/>
      <w:type w:val="nextPage"/>
      <w:pgSz w:w="12240" w:h="15840"/>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single" w:color="CCCCCC" w:sz="2" w:space="3"/>
      </w:pBdr>
      <w:pStyle w:val="Normal"/>
      <w:spacing/>
      <w:ind/>
      <w:tabs>
        <w:tab w:val="right" w:pos="9025.999755859375"/>
        <w:tab w:val="clear" w:pos="9026"/>
        <w:tab w:val="right" w:pos="9360"/>
      </w:tabs>
      <w:rPr/>
    </w:pPr>
    <w:r>
      <w:rPr>
        <w:rFonts w:ascii="Arial" w:eastAsia="Arial" w:hAnsi="Arial" w:cs="Arial"/>
        <w:color w:val="999999"/>
        <w:sz w:val="9"/>
        <w:szCs w:val="9"/>
      </w:rPr>
      <w:t xml:space="preserve">Nike Inc. (NKE) — Q1 CY2026 Swoosh Real-Time Assessment — JLAW v4</w:t>
    </w:r>
    <w:r>
      <w:rPr>
        <w:rFonts w:ascii="Arial" w:eastAsia="Arial" w:hAnsi="Arial" w:cs="Arial"/>
        <w:color w:val="999999"/>
        <w:sz w:val="9"/>
        <w:szCs w:val="9"/>
      </w:rPr>
      <w:tab/>
    </w:r>
    <w:r>
      <w:rPr>
        <w:rFonts w:ascii="Arial" w:eastAsia="Arial" w:hAnsi="Arial" w:cs="Arial"/>
        <w:color w:val="999999"/>
        <w:sz w:val="9"/>
        <w:szCs w:val="9"/>
      </w:rPr>
      <w:t xml:space="preserve">Page </w:t>
    </w:r>
    <w:r>
      <w:rPr>
        <w:rFonts w:ascii="Arial" w:eastAsia="Arial" w:hAnsi="Arial" w:cs="Arial"/>
        <w:color w:val="999999"/>
        <w:sz w:val="9"/>
        <w:szCs w:val="9"/>
      </w:rPr>
      <w:fldChar w:fldCharType="begin"/>
    </w:r>
    <w:r>
      <w:rPr>
        <w:rFonts w:ascii="Arial" w:eastAsia="Arial" w:hAnsi="Arial" w:cs="Arial"/>
        <w:color w:val="999999"/>
        <w:sz w:val="9"/>
        <w:szCs w:val="9"/>
      </w:rPr>
      <w:instrText xml:space="preserve">PAGE</w:instrText>
    </w:r>
    <w:r>
      <w:rPr>
        <w:rFonts w:ascii="Arial" w:eastAsia="Arial" w:hAnsi="Arial" w:cs="Arial"/>
        <w:color w:val="999999"/>
        <w:sz w:val="9"/>
        <w:szCs w:val="9"/>
      </w:rPr>
      <w:fldChar w:fldCharType="separate"/>
    </w:r>
    <w:r>
      <w:rPr/>
      <w:t xml:space="preserve">1</w:t>
    </w:r>
    <w:r>
      <w:rPr>
        <w:rFonts w:ascii="Arial" w:eastAsia="Arial" w:hAnsi="Arial" w:cs="Arial"/>
        <w:color w:val="999999"/>
        <w:sz w:val="9"/>
        <w:szCs w:val="9"/>
      </w:rPr>
      <w:fldChar w:fldCharType="end"/>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bottom w:val="single" w:color="0B2545" w:sz="4" w:space="3"/>
      </w:pBdr>
      <w:pStyle w:val="Normal"/>
      <w:spacing/>
      <w:ind/>
      <w:rPr/>
    </w:pPr>
    <w:r>
      <w:rPr>
        <w:rFonts w:ascii="Arial" w:eastAsia="Arial" w:hAnsi="Arial" w:cs="Arial"/>
        <w:b/>
        <w:bCs/>
        <w:color w:val="0B2545"/>
        <w:sz w:val="10"/>
        <w:szCs w:val="10"/>
      </w:rPr>
      <w:t xml:space="preserve">ISS GOVERNANCE ALERT  |  SUPPLEMENTAL REAL-TIME UPDATE  |  Q1 CY2026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Footnote Text Char">
    <w:name w:val="Footnote Text Char"/>
    <w:basedOn w:val="Default Paragraph Font"/>
    <w:rPr>
      <w:sz w:val="20"/>
      <w:szCs w:val="20"/>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2" Type="http://schemas.openxmlformats.org/officeDocument/2006/relationships/footer" Target="footer2.xml" /><Relationship Id="rId1" Type="http://schemas.openxmlformats.org/officeDocument/2006/relationships/header" Target="header1.xml" /></Relationships>
</file>