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25"/>
        <w:jc w:val="center"/>
      </w:pPr>
      <w:r>
        <w:rPr>
          <w:rFonts w:ascii="Arial" w:cs="Arial" w:eastAsia="Arial" w:hAnsi="Arial"/>
          <w:b/>
          <w:bCs/>
          <w:color w:val="0F1B2D"/>
          <w:sz w:val="36"/>
          <w:szCs w:val="36"/>
        </w:rPr>
        <w:t xml:space="preserve">SUPPLEMENTAL EVIDENCE BUNDLE</w:t>
      </w:r>
    </w:p>
    <w:p>
      <w:pPr>
        <w:spacing w:after="10"/>
        <w:jc w:val="center"/>
      </w:pPr>
      <w:r>
        <w:rPr>
          <w:rFonts w:ascii="Arial" w:cs="Arial" w:eastAsia="Arial" w:hAnsi="Arial"/>
          <w:color w:val="4B5563"/>
          <w:sz w:val="18"/>
          <w:szCs w:val="18"/>
        </w:rPr>
        <w:t xml:space="preserve">SEC DIVISION OF ENFORCEMENT — REAL-TIME UPDATE TO SEVEN-YEAR SERIES</w:t>
      </w:r>
    </w:p>
    <w:p>
      <w:pPr>
        <w:spacing w:after="60"/>
        <w:jc w:val="center"/>
      </w:pPr>
      <w:r>
        <w:rPr>
          <w:rFonts w:ascii="Arial" w:cs="Arial" w:eastAsia="Arial" w:hAnsi="Arial"/>
          <w:b/>
          <w:bCs/>
          <w:color w:val="B91C1C"/>
          <w:sz w:val="16"/>
          <w:szCs w:val="16"/>
        </w:rPr>
        <w:t xml:space="preserve">Q1 CY2026: 73 Days of Compounding Delinquency</w:t>
      </w:r>
    </w:p>
    <w:p>
      <w:pPr>
        <w:pBdr>
          <w:top w:val="single" w:color="0F1B2D" w:sz="4" w:space="4"/>
          <w:bottom w:val="single" w:color="0F1B2D" w:sz="4" w:space="4"/>
        </w:pBdr>
        <w:spacing w:before="80" w:after="80"/>
        <w:jc w:val="center"/>
      </w:pPr>
      <w:r>
        <w:rPr>
          <w:rFonts w:ascii="Arial" w:cs="Arial" w:eastAsia="Arial" w:hAnsi="Arial"/>
          <w:b/>
          <w:bCs/>
          <w:color w:val="0F1B2D"/>
          <w:sz w:val="26"/>
          <w:szCs w:val="26"/>
        </w:rPr>
        <w:t xml:space="preserve">NIKE, INC. (NKE) — CIK 0000320187</w:t>
      </w:r>
    </w:p>
    <w:p>
      <w:pPr>
        <w:spacing w:after="120"/>
        <w:jc w:val="center"/>
      </w:pPr>
      <w:r>
        <w:rPr>
          <w:rFonts w:ascii="Arial" w:cs="Arial" w:eastAsia="Arial" w:hAnsi="Arial"/>
          <w:color w:val="4B5563"/>
          <w:sz w:val="15"/>
          <w:szCs w:val="15"/>
        </w:rPr>
        <w:t xml:space="preserve">January 1 – March 13, 2026 | 8 EDGAR Filings | Prepared: March 13, 2026</w:t>
      </w:r>
    </w:p>
    <w:p>
      <w:r>
        <w:br w:type="page"/>
      </w:r>
    </w:p>
    <w:p>
      <w:pPr>
        <w:pStyle w:val="Heading1"/>
      </w:pPr>
      <w:r>
        <w:t xml:space="preserve">I. Executive Summary: Four Actionable Items</w:t>
      </w:r>
    </w:p>
    <w:p>
      <w:pPr>
        <w:spacing w:before="0" w:after="95"/>
      </w:pPr>
      <w:r>
        <w:rPr>
          <w:rFonts w:ascii="Arial" w:cs="Arial" w:eastAsia="Arial" w:hAnsi="Arial"/>
          <w:b w:val="false"/>
          <w:bCs w:val="false"/>
          <w:color w:val="1A1A1A"/>
          <w:sz w:val="17"/>
          <w:szCs w:val="17"/>
        </w:rPr>
        <w:t xml:space="preserve">This supplemental bundle updates the seven-year evidence series (FY2019–FY2025) with real-time EDGAR activity from the first 73 days of calendar year 2026. Four items warrant immediate enforcement attention:</w:t>
      </w:r>
    </w:p>
    <w:p>
      <w:pPr>
        <w:spacing w:before="0" w:after="95"/>
      </w:pPr>
      <w:r>
        <w:rPr>
          <w:rFonts w:ascii="Arial" w:cs="Arial" w:eastAsia="Arial" w:hAnsi="Arial"/>
          <w:b/>
          <w:bCs/>
          <w:color w:val="1A1A1A"/>
          <w:sz w:val="17"/>
          <w:szCs w:val="17"/>
        </w:rPr>
        <w:t xml:space="preserve">ACTION 1 — Swoosh 13D: Active Rule 13d-2 Violation (75+ Business Days Overdue). The December 29, 2025 distribution of 9.5M Class A shares triggered a 2-business-day amendment obligation. No 13D/A has been filed. The cumulative unreported share reduction is 35.25M (13.7% of the 2016 reported total). The Swoosh board composition is unknown. This is no longer a stale filing — it is an active violation under the SEC’s own 2024-effective rule amendments.</w:t>
      </w:r>
    </w:p>
    <w:p>
      <w:pPr>
        <w:spacing w:before="0" w:after="95"/>
      </w:pPr>
      <w:r>
        <w:rPr>
          <w:rFonts w:ascii="Arial" w:cs="Arial" w:eastAsia="Arial" w:hAnsi="Arial"/>
          <w:b w:val="false"/>
          <w:bCs w:val="false"/>
          <w:color w:val="1A1A1A"/>
          <w:sz w:val="17"/>
          <w:szCs w:val="17"/>
        </w:rPr>
        <w:t xml:space="preserve">ACTION 2 — Travis Knight Late Form 4: Confirmed §16(a) Violation. Form 4 for December 22, 2025 transaction filed January 5, 2026 — approximately 10 business days late (statutory deadline: 2 business days). This is the first confirmed Knight family §16 timeliness failure across the entire seven-year investigation. The violation occurred simultaneously with the Swoosh mega-distribution that went un-amended, suggesting systemic filing indifference.</w:t>
      </w:r>
    </w:p>
    <w:p>
      <w:pPr>
        <w:spacing w:before="0" w:after="95"/>
      </w:pPr>
      <w:r>
        <w:rPr>
          <w:rFonts w:ascii="Arial" w:cs="Arial" w:eastAsia="Arial" w:hAnsi="Arial"/>
          <w:b w:val="false"/>
          <w:bCs w:val="false"/>
          <w:color w:val="1A1A1A"/>
          <w:sz w:val="17"/>
          <w:szCs w:val="17"/>
        </w:rPr>
        <w:t xml:space="preserve">ACTION 3 — Named Defendant 10b5-1 Plan Adoption. CFO Matthew Friend — a named defendant in the $245M securities fraud class action — adopted a 10b5-1 trading plan during Q2 FY2026 (disclosed in the Dec 30, 2025 10-Q Item 408(a)). This followed two consecutive quarters of zero plan adoptions. Friend’s plan adoption timing should be evaluated in the context of the pending MTD ruling and any non-public settlement communications.</w:t>
      </w:r>
    </w:p>
    <w:p>
      <w:pPr>
        <w:spacing w:before="0" w:after="95"/>
      </w:pPr>
      <w:r>
        <w:rPr>
          <w:rFonts w:ascii="Arial" w:cs="Arial" w:eastAsia="Arial" w:hAnsi="Arial"/>
          <w:b w:val="false"/>
          <w:bCs w:val="false"/>
          <w:color w:val="1A1A1A"/>
          <w:sz w:val="17"/>
          <w:szCs w:val="17"/>
        </w:rPr>
        <w:t xml:space="preserve">ACTION 4 — CLO Trading Under Self-Administered Policy. Chief Legal Officer Leinwand adopted a 10b5-1 plan and executed a $565K sale on February 12, 2026 — under the Exhibit 19 insider trading policy that his own office administers. The Corporate Secretary (who handles 10b5-1 plan approvals under Exhibit 19.2) reports to Leinwand. This creates a circular approval pathway analogous to the Parker self-approval loophole identified in FY2024.</w:t>
      </w:r>
    </w:p>
    <w:p>
      <w:r>
        <w:br w:type="page"/>
      </w:r>
    </w:p>
    <w:p>
      <w:pPr>
        <w:pStyle w:val="Heading1"/>
      </w:pPr>
      <w:r>
        <w:t xml:space="preserve">II. Evidence Index — Q1 CY2026 Supplemental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700"/>
        <w:gridCol w:w="790"/>
        <w:gridCol w:w="1100"/>
        <w:gridCol w:w="4670"/>
        <w:gridCol w:w="1760"/>
      </w:tblGrid>
      <w:tr>
        <w:tc>
          <w:tcPr>
            <w:tcW w:type="dxa" w:w="340"/>
            <w:tcBorders>
              <w:top w:val="single" w:color="AAAAAA" w:sz="1"/>
              <w:left w:val="single" w:color="AAAAAA" w:sz="1"/>
              <w:bottom w:val="single" w:color="AAAAAA" w:sz="1"/>
              <w:right w:val="single" w:color="AAAAAA" w:sz="1"/>
            </w:tcBorders>
            <w:shd w:fill="0F1B2D" w:val="clear"/>
            <w:tcMar>
              <w:top w:type="dxa" w:w="38"/>
              <w:left w:type="dxa" w:w="68"/>
              <w:bottom w:type="dxa" w:w="38"/>
              <w:right w:type="dxa" w:w="68"/>
            </w:tcMar>
          </w:tcPr>
          <w:p>
            <w:r>
              <w:rPr>
                <w:rFonts w:ascii="Arial" w:cs="Arial" w:eastAsia="Arial" w:hAnsi="Arial"/>
                <w:b/>
                <w:bCs/>
                <w:color w:val="FFFFFF"/>
                <w:sz w:val="11"/>
                <w:szCs w:val="11"/>
              </w:rPr>
              <w:t xml:space="preserve">S#</w:t>
            </w:r>
          </w:p>
        </w:tc>
        <w:tc>
          <w:tcPr>
            <w:tcW w:type="dxa" w:w="700"/>
            <w:tcBorders>
              <w:top w:val="single" w:color="AAAAAA" w:sz="1"/>
              <w:left w:val="single" w:color="AAAAAA" w:sz="1"/>
              <w:bottom w:val="single" w:color="AAAAAA" w:sz="1"/>
              <w:right w:val="single" w:color="AAAAAA" w:sz="1"/>
            </w:tcBorders>
            <w:shd w:fill="0F1B2D" w:val="clear"/>
            <w:tcMar>
              <w:top w:type="dxa" w:w="38"/>
              <w:left w:type="dxa" w:w="68"/>
              <w:bottom w:type="dxa" w:w="38"/>
              <w:right w:type="dxa" w:w="68"/>
            </w:tcMar>
          </w:tcPr>
          <w:p>
            <w:r>
              <w:rPr>
                <w:rFonts w:ascii="Arial" w:cs="Arial" w:eastAsia="Arial" w:hAnsi="Arial"/>
                <w:b/>
                <w:bCs/>
                <w:color w:val="FFFFFF"/>
                <w:sz w:val="11"/>
                <w:szCs w:val="11"/>
              </w:rPr>
              <w:t xml:space="preserve">TYPE</w:t>
            </w:r>
          </w:p>
        </w:tc>
        <w:tc>
          <w:tcPr>
            <w:tcW w:type="dxa" w:w="790"/>
            <w:tcBorders>
              <w:top w:val="single" w:color="AAAAAA" w:sz="1"/>
              <w:left w:val="single" w:color="AAAAAA" w:sz="1"/>
              <w:bottom w:val="single" w:color="AAAAAA" w:sz="1"/>
              <w:right w:val="single" w:color="AAAAAA" w:sz="1"/>
            </w:tcBorders>
            <w:shd w:fill="0F1B2D" w:val="clear"/>
            <w:tcMar>
              <w:top w:type="dxa" w:w="38"/>
              <w:left w:type="dxa" w:w="68"/>
              <w:bottom w:type="dxa" w:w="38"/>
              <w:right w:type="dxa" w:w="68"/>
            </w:tcMar>
          </w:tcPr>
          <w:p>
            <w:r>
              <w:rPr>
                <w:rFonts w:ascii="Arial" w:cs="Arial" w:eastAsia="Arial" w:hAnsi="Arial"/>
                <w:b/>
                <w:bCs/>
                <w:color w:val="FFFFFF"/>
                <w:sz w:val="11"/>
                <w:szCs w:val="11"/>
              </w:rPr>
              <w:t xml:space="preserve">DATE</w:t>
            </w:r>
          </w:p>
        </w:tc>
        <w:tc>
          <w:tcPr>
            <w:tcW w:type="dxa" w:w="1100"/>
            <w:tcBorders>
              <w:top w:val="single" w:color="AAAAAA" w:sz="1"/>
              <w:left w:val="single" w:color="AAAAAA" w:sz="1"/>
              <w:bottom w:val="single" w:color="AAAAAA" w:sz="1"/>
              <w:right w:val="single" w:color="AAAAAA" w:sz="1"/>
            </w:tcBorders>
            <w:shd w:fill="0F1B2D" w:val="clear"/>
            <w:tcMar>
              <w:top w:type="dxa" w:w="38"/>
              <w:left w:type="dxa" w:w="68"/>
              <w:bottom w:type="dxa" w:w="38"/>
              <w:right w:type="dxa" w:w="68"/>
            </w:tcMar>
          </w:tcPr>
          <w:p>
            <w:r>
              <w:rPr>
                <w:rFonts w:ascii="Arial" w:cs="Arial" w:eastAsia="Arial" w:hAnsi="Arial"/>
                <w:b/>
                <w:bCs/>
                <w:color w:val="FFFFFF"/>
                <w:sz w:val="11"/>
                <w:szCs w:val="11"/>
              </w:rPr>
              <w:t xml:space="preserve">ACCESSION</w:t>
            </w:r>
          </w:p>
        </w:tc>
        <w:tc>
          <w:tcPr>
            <w:tcW w:type="dxa" w:w="4670"/>
            <w:tcBorders>
              <w:top w:val="single" w:color="AAAAAA" w:sz="1"/>
              <w:left w:val="single" w:color="AAAAAA" w:sz="1"/>
              <w:bottom w:val="single" w:color="AAAAAA" w:sz="1"/>
              <w:right w:val="single" w:color="AAAAAA" w:sz="1"/>
            </w:tcBorders>
            <w:shd w:fill="0F1B2D" w:val="clear"/>
            <w:tcMar>
              <w:top w:type="dxa" w:w="38"/>
              <w:left w:type="dxa" w:w="68"/>
              <w:bottom w:type="dxa" w:w="38"/>
              <w:right w:type="dxa" w:w="68"/>
            </w:tcMar>
          </w:tcPr>
          <w:p>
            <w:r>
              <w:rPr>
                <w:rFonts w:ascii="Arial" w:cs="Arial" w:eastAsia="Arial" w:hAnsi="Arial"/>
                <w:b/>
                <w:bCs/>
                <w:color w:val="FFFFFF"/>
                <w:sz w:val="11"/>
                <w:szCs w:val="11"/>
              </w:rPr>
              <w:t xml:space="preserve">DESCRIPTION</w:t>
            </w:r>
          </w:p>
        </w:tc>
        <w:tc>
          <w:tcPr>
            <w:tcW w:type="dxa" w:w="1760"/>
            <w:tcBorders>
              <w:top w:val="single" w:color="AAAAAA" w:sz="1"/>
              <w:left w:val="single" w:color="AAAAAA" w:sz="1"/>
              <w:bottom w:val="single" w:color="AAAAAA" w:sz="1"/>
              <w:right w:val="single" w:color="AAAAAA" w:sz="1"/>
            </w:tcBorders>
            <w:shd w:fill="0F1B2D" w:val="clear"/>
            <w:tcMar>
              <w:top w:type="dxa" w:w="38"/>
              <w:left w:type="dxa" w:w="68"/>
              <w:bottom w:type="dxa" w:w="38"/>
              <w:right w:type="dxa" w:w="68"/>
            </w:tcMar>
          </w:tcPr>
          <w:p>
            <w:r>
              <w:rPr>
                <w:rFonts w:ascii="Arial" w:cs="Arial" w:eastAsia="Arial" w:hAnsi="Arial"/>
                <w:b/>
                <w:bCs/>
                <w:color w:val="FFFFFF"/>
                <w:sz w:val="11"/>
                <w:szCs w:val="11"/>
              </w:rPr>
              <w:t xml:space="preserve">ACTION</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S-1</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Form 4</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1/5/26</w:t>
            </w:r>
          </w:p>
        </w:tc>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0000320187-26-000002</w:t>
            </w:r>
          </w:p>
        </w:tc>
        <w:tc>
          <w:tcPr>
            <w:tcW w:type="dxa" w:w="467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Travis Knight: Dec 22 trust contribution (1.69M shares) + Dec 31 distribution (3M). FILED ~10 BUS DAYS LATE for Dec 22</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2</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S-2</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Form 4</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2/4/26</w:t>
            </w:r>
          </w:p>
        </w:tc>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0000320187-26-000005</w:t>
            </w:r>
          </w:p>
        </w:tc>
        <w:tc>
          <w:tcPr>
            <w:tcW w:type="dxa" w:w="467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Phil Knight: 4.5M Class A→Class B conversion (Feb 2). Timely. Post: 27.5M A, 12.8M B</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Context</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S-3</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Form 4</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2/12/26</w:t>
            </w:r>
          </w:p>
        </w:tc>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0000320187-26-000008</w:t>
            </w:r>
          </w:p>
        </w:tc>
        <w:tc>
          <w:tcPr>
            <w:tcW w:type="dxa" w:w="467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Heinle Treasure (CPO): 853 shares Code F @ $62.41. RSU tax withhold. Timely</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Context</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S-4</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Form 4</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2/12/26</w:t>
            </w:r>
          </w:p>
        </w:tc>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0000320187-26-000009</w:t>
            </w:r>
          </w:p>
        </w:tc>
        <w:tc>
          <w:tcPr>
            <w:tcW w:type="dxa" w:w="467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Leinwand (CLO): 4,647 shares Code F @ $62.41. RSU tax withhold. Timely</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Context</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S-5</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144</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2/12/26</w:t>
            </w:r>
          </w:p>
        </w:tc>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0001959173-26-000897</w:t>
            </w:r>
          </w:p>
        </w:tc>
        <w:tc>
          <w:tcPr>
            <w:tcW w:type="dxa" w:w="467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Leinwand: Notice of proposed sale 9,065 restricted Class B via Fidelity</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4</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S-6</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Form 4</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2/13/26</w:t>
            </w:r>
          </w:p>
        </w:tc>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0000320187-26-000012</w:t>
            </w:r>
          </w:p>
        </w:tc>
        <w:tc>
          <w:tcPr>
            <w:tcW w:type="dxa" w:w="467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Phil Knight: Gifted 4.5M Class B to spouse Penelope (Feb 11). Code G. Timely. Post: 8.3M B direct</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Context</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S-7</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Form 4</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2/13/26</w:t>
            </w:r>
          </w:p>
        </w:tc>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0000320187-26-000013</w:t>
            </w:r>
          </w:p>
        </w:tc>
        <w:tc>
          <w:tcPr>
            <w:tcW w:type="dxa" w:w="467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Leinwand: SOLD 9,065 @ $62.33 ($565K). Only open-market sale in 73-day window. CLO under own policy</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4</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S-8</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8-K</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3/5/26</w:t>
            </w:r>
          </w:p>
        </w:tc>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0000320187-26-000017</w:t>
            </w:r>
          </w:p>
        </w:tc>
        <w:tc>
          <w:tcPr>
            <w:tcW w:type="dxa" w:w="467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$1B 364-day revolving credit. BofA. SOFR +59.5bps. Replaces Mar 2025 facility</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Context</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S-9</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10-Q Q2</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12/30/25</w:t>
            </w:r>
          </w:p>
        </w:tc>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0000320187-25-000151</w:t>
            </w:r>
          </w:p>
        </w:tc>
        <w:tc>
          <w:tcPr>
            <w:tcW w:type="dxa" w:w="467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Q2 FY2026 (Nov 30, 2025). Item 408(a): Friend + Leinwand + McCartney 10b5-1 adoptions. Revenue $12.4B (−9%). Gross margin 40.6%</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3,4</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S-10</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SC 13D</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OVERDUE</w:t>
            </w:r>
          </w:p>
        </w:tc>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NONE FILED</w:t>
            </w:r>
          </w:p>
        </w:tc>
        <w:tc>
          <w:tcPr>
            <w:tcW w:type="dxa" w:w="467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Swoosh 13D/A: 75+ BUSINESS DAYS PAST 2-DAY DEADLINE. Dec 2025 distribution untreated. 9.7 years stale. Active violation</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1</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S-11</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CORRESP</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ABSENT</w:t>
            </w:r>
          </w:p>
        </w:tc>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NONE FILED</w:t>
            </w:r>
          </w:p>
        </w:tc>
        <w:tc>
          <w:tcPr>
            <w:tcW w:type="dxa" w:w="467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14+ YEAR SEC correspondence gap. No staff comments. No CORRESP. Last: Dec 14, 2011</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Context</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S-12</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Litigation</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PENDING</w:t>
            </w:r>
          </w:p>
        </w:tc>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D.Or. 3:24-cv-00974</w:t>
            </w:r>
          </w:p>
        </w:tc>
        <w:tc>
          <w:tcPr>
            <w:tcW w:type="dxa" w:w="467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MTD fully briefed ~6 months. No ruling. No docket activity. Judge Adrienne Nelson</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3</w:t>
            </w:r>
          </w:p>
        </w:tc>
      </w:tr>
    </w:tbl>
    <w:p>
      <w:r>
        <w:br w:type="page"/>
      </w:r>
    </w:p>
    <w:p>
      <w:pPr>
        <w:pStyle w:val="Heading1"/>
      </w:pPr>
      <w:r>
        <w:t xml:space="preserve">III. Cumulative Enforcement Posture — Updated as of March 13, 2026</w:t>
      </w:r>
    </w:p>
    <w:p>
      <w:pPr>
        <w:pStyle w:val="Heading2"/>
      </w:pPr>
      <w:r>
        <w:t xml:space="preserve">Priority 1 (URGENT): Swoosh 13D — Issue Formal Deficiency Notice</w:t>
      </w:r>
    </w:p>
    <w:p>
      <w:pPr>
        <w:spacing w:before="0" w:after="95"/>
      </w:pPr>
      <w:r>
        <w:rPr>
          <w:rFonts w:ascii="Arial" w:cs="Arial" w:eastAsia="Arial" w:hAnsi="Arial"/>
          <w:b w:val="false"/>
          <w:bCs w:val="false"/>
          <w:color w:val="1A1A1A"/>
          <w:sz w:val="17"/>
          <w:szCs w:val="17"/>
        </w:rPr>
        <w:t xml:space="preserve">The 13D delinquency is now measurable in weeks, not years. The December 2025 distribution created a concrete, dateable violation under the 2024-effective 2-business-day rule. Recommended action: issue a formal deficiency notice to Swoosh LLC (CIK 0001645433) and its counsel (Jasper Ridge Partners / Quixote Investments) requiring filing of a 13D/A within 10 business days. If unfiled, refer to Enforcement for Section 13(d)(2) violation proceedings. The notice should require disclosure of: (a) current Swoosh share count; (b) current board composition; (c) all distributions since 2016; (d) all governance changes since 2016.</w:t>
      </w:r>
    </w:p>
    <w:p>
      <w:pPr>
        <w:pStyle w:val="Heading2"/>
      </w:pPr>
      <w:r>
        <w:t xml:space="preserve">Priority 2 (IMMEDIATE): Travis Knight §16 Late Filing + Pattern Evidence</w:t>
      </w:r>
    </w:p>
    <w:p>
      <w:pPr>
        <w:spacing w:before="0" w:after="95"/>
      </w:pPr>
      <w:r>
        <w:rPr>
          <w:rFonts w:ascii="Arial" w:cs="Arial" w:eastAsia="Arial" w:hAnsi="Arial"/>
          <w:b w:val="false"/>
          <w:bCs w:val="false"/>
          <w:color w:val="1A1A1A"/>
          <w:sz w:val="17"/>
          <w:szCs w:val="17"/>
        </w:rPr>
        <w:t xml:space="preserve">The ~10-business-day late Form 4 is a clear Section 16(a) violation. While isolated late filings rarely produce enforcement actions, this filing occurs in the context of: (a) simultaneous Swoosh 13D delinquency; (b) the Knight family’s controlling-shareholder status; (c) 9.7 years of 13D staleness; (d) the securities fraud class action naming Knight-family-affiliated executives. Recommended: issue a formal warning letter to Travis Knight’s counsel and flag the pattern for coordination with the 13D deficiency notice.</w:t>
      </w:r>
    </w:p>
    <w:p>
      <w:pPr>
        <w:pStyle w:val="Heading2"/>
      </w:pPr>
      <w:r>
        <w:t xml:space="preserve">Priority 3 (MONITORING): Friend 10b5-1 Plan Timing</w:t>
      </w:r>
    </w:p>
    <w:p>
      <w:pPr>
        <w:spacing w:before="0" w:after="95"/>
      </w:pPr>
      <w:r>
        <w:rPr>
          <w:rFonts w:ascii="Arial" w:cs="Arial" w:eastAsia="Arial" w:hAnsi="Arial"/>
          <w:b w:val="false"/>
          <w:bCs w:val="false"/>
          <w:color w:val="1A1A1A"/>
          <w:sz w:val="17"/>
          <w:szCs w:val="17"/>
        </w:rPr>
        <w:t xml:space="preserve">A named securities fraud defendant adopting a trading plan while the MTD is pending raises timing questions that may become material if the MTD is denied and discovery proceeds. The SEC should preserve the ability to subpoena the plan’s adoption date, terms, and any communications between Friend and Nike’s counsel regarding the plan’s compliance with Exhibit 19.2’s pre-clearance requirements. The plan’s first executed transaction has not yet been identified.</w:t>
      </w:r>
    </w:p>
    <w:p>
      <w:pPr>
        <w:pStyle w:val="Heading2"/>
      </w:pPr>
      <w:r>
        <w:t xml:space="preserve">Priority 4 (SYSTEMIC): Initiate Triennial Review — 14 Years Overdue</w:t>
      </w:r>
    </w:p>
    <w:p>
      <w:pPr>
        <w:spacing w:before="0" w:after="95"/>
      </w:pPr>
      <w:r>
        <w:rPr>
          <w:rFonts w:ascii="Arial" w:cs="Arial" w:eastAsia="Arial" w:hAnsi="Arial"/>
          <w:b w:val="false"/>
          <w:bCs w:val="false"/>
          <w:color w:val="1A1A1A"/>
          <w:sz w:val="17"/>
          <w:szCs w:val="17"/>
        </w:rPr>
        <w:t xml:space="preserve">The case for immediate review is now a matter of arithmetic. 14 years without SEC staff engagement with a Dow 30 company experiencing: active §13(d) violation, confirmed §16(a) violation, pending $245M securities fraud MTD, publicly documented pre-clearance self-approval loophole, dual credit downgrades, EEOC enforcement action, 70%+ stock decline from ATH, CEO termination, and comprehensive bylaws rewrite with MNPI timing. Any single one of these would typically trigger staff review. Their simultaneous presence without review is anomalous.</w:t>
      </w:r>
    </w:p>
    <w:p>
      <w:pPr>
        <w:pStyle w:val="Heading1"/>
      </w:pPr>
      <w:r>
        <w:t xml:space="preserve">IV. Next Inflection Points</w:t>
      </w:r>
    </w:p>
    <w:p>
      <w:pPr>
        <w:spacing w:before="0" w:after="95"/>
      </w:pPr>
      <w:r>
        <w:rPr>
          <w:rFonts w:ascii="Arial" w:cs="Arial" w:eastAsia="Arial" w:hAnsi="Arial"/>
          <w:b w:val="false"/>
          <w:bCs w:val="false"/>
          <w:color w:val="1A1A1A"/>
          <w:sz w:val="15"/>
          <w:szCs w:val="15"/>
        </w:rPr>
        <w:t xml:space="preserve">1. MARCH 31, 2026: Q3 FY2026 earnings. Item 408(a) will disclose any Q3 plan adoptions/terminations. Parker’s sales cadence (or continued silence) will be visible. Tariff impact quantification for the quarter ending Feb 28.</w:t>
      </w:r>
    </w:p>
    <w:p>
      <w:pPr>
        <w:spacing w:before="0" w:after="95"/>
      </w:pPr>
      <w:r>
        <w:rPr>
          <w:rFonts w:ascii="Arial" w:cs="Arial" w:eastAsia="Arial" w:hAnsi="Arial"/>
          <w:b w:val="false"/>
          <w:bCs w:val="false"/>
          <w:color w:val="1A1A1A"/>
          <w:sz w:val="15"/>
          <w:szCs w:val="15"/>
        </w:rPr>
        <w:t xml:space="preserve">2. MTD RULING: Could come at any time. Denial opens discovery; dismissal closes the litigation thread but leaves the complaint’s factual allegations as public record. A partial denial/partial grant is the most complex scenario.</w:t>
      </w:r>
    </w:p>
    <w:p>
      <w:pPr>
        <w:spacing w:before="0" w:after="95"/>
      </w:pPr>
      <w:r>
        <w:rPr>
          <w:rFonts w:ascii="Arial" w:cs="Arial" w:eastAsia="Arial" w:hAnsi="Arial"/>
          <w:b w:val="false"/>
          <w:bCs w:val="false"/>
          <w:color w:val="1A1A1A"/>
          <w:sz w:val="15"/>
          <w:szCs w:val="15"/>
        </w:rPr>
        <w:t xml:space="preserve">3. SWOOSH 13D: Every day without amendment deepens the violation. If the SEC issues a deficiency notice, the response (or non-response) becomes the next major data point in the seven-year investigation.</w:t>
      </w:r>
    </w:p>
    <w:p>
      <w:pPr>
        <w:spacing w:before="0" w:after="95"/>
      </w:pPr>
      <w:r>
        <w:rPr>
          <w:rFonts w:ascii="Arial" w:cs="Arial" w:eastAsia="Arial" w:hAnsi="Arial"/>
          <w:b w:val="false"/>
          <w:bCs w:val="false"/>
          <w:color w:val="1A1A1A"/>
          <w:sz w:val="15"/>
          <w:szCs w:val="15"/>
        </w:rPr>
        <w:t xml:space="preserve">4. FY2026 10-K (EXPECTED JULY 2026): Will reveal whether Exhibit 19 is finally reformed, whether the 14-year CORRESP gap breaks, and whether the Section 16(a) delinquency section names Travis Knight.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3"/>
      </w:pBdr>
      <w:tabs>
        <w:tab w:val="right" w:pos="9026"/>
      </w:tabs>
    </w:pPr>
    <w:r>
      <w:rPr>
        <w:rFonts w:ascii="Arial" w:cs="Arial" w:eastAsia="Arial" w:hAnsi="Arial"/>
        <w:color w:val="999999"/>
        <w:sz w:val="9"/>
        <w:szCs w:val="9"/>
      </w:rPr>
      <w:t xml:space="preserve">PRIVILEGED &amp; CONFIDENTIAL — Nike Q1 CY2026 Supplemental Evidence Bundle</w:t>
    </w:r>
    <w:r>
      <w:rPr>
        <w:rFonts w:ascii="Arial" w:cs="Arial" w:eastAsia="Arial" w:hAnsi="Arial"/>
        <w:color w:val="999999"/>
        <w:sz w:val="9"/>
        <w:szCs w:val="9"/>
      </w:rPr>
      <w:ptab w:alignment="right" w:relativeTo="margin" w:leader="none"/>
    </w:r>
    <w:r>
      <w:rPr>
        <w:rFonts w:ascii="Arial" w:cs="Arial" w:eastAsia="Arial" w:hAnsi="Arial"/>
        <w:color w:val="999999"/>
        <w:sz w:val="9"/>
        <w:szCs w:val="9"/>
      </w:rPr>
      <w:t xml:space="preserve">Page </w:t>
    </w:r>
    <w:r>
      <w:rPr>
        <w:rFonts w:ascii="Arial" w:cs="Arial" w:eastAsia="Arial" w:hAnsi="Arial"/>
        <w:color w:val="999999"/>
        <w:sz w:val="9"/>
        <w:szCs w:val="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4" w:space="3"/>
      </w:pBdr>
    </w:pPr>
    <w:r>
      <w:rPr>
        <w:rFonts w:ascii="Arial" w:cs="Arial" w:eastAsia="Arial" w:hAnsi="Arial"/>
        <w:b/>
        <w:bCs/>
        <w:color w:val="B91C1C"/>
        <w:sz w:val="10"/>
        <w:szCs w:val="10"/>
      </w:rPr>
      <w:t xml:space="preserve">SEC ENFORCEMENT TIP — SUPPLEMENTAL REAL-TIME AUDIT — Q1 CY2026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50" w:after="140"/>
      <w:outlineLvl w:val="0"/>
    </w:pPr>
    <w:rPr>
      <w:rFonts w:ascii="Arial" w:cs="Arial" w:eastAsia="Arial" w:hAnsi="Arial"/>
      <w:b/>
      <w:bCs/>
      <w:color w:val="0F1B2D"/>
      <w:sz w:val="23"/>
      <w:szCs w:val="23"/>
    </w:rPr>
  </w:style>
  <w:style w:type="paragraph" w:styleId="Heading2">
    <w:name w:val="Heading 2"/>
    <w:basedOn w:val="Normal"/>
    <w:next w:val="Normal"/>
    <w:qFormat/>
    <w:pPr>
      <w:spacing w:before="190" w:after="110"/>
      <w:outlineLvl w:val="1"/>
    </w:pPr>
    <w:rPr>
      <w:rFonts w:ascii="Arial" w:cs="Arial" w:eastAsia="Arial" w:hAnsi="Arial"/>
      <w:b/>
      <w:bCs/>
      <w:color w:val="0F1B2D"/>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2026-03-13T23:36:19.278Z</dcterms:created>
  <dcterms:modified xsi:type="dcterms:W3CDTF">2026-03-13T23:36:19.279Z</dcterms:modified>
</cp:coreProperties>
</file>

<file path=docProps/custom.xml><?xml version="1.0" encoding="utf-8"?>
<Properties xmlns="http://schemas.openxmlformats.org/officeDocument/2006/custom-properties" xmlns:vt="http://schemas.openxmlformats.org/officeDocument/2006/docPropsVTypes"/>
</file>