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rFonts w:ascii="Arial" w:cs="Arial" w:eastAsia="Arial" w:hAnsi="Arial"/>
          <w:b/>
          <w:bCs/>
          <w:color w:val="1B2A4A"/>
          <w:sz w:val="48"/>
          <w:szCs w:val="48"/>
        </w:rPr>
        <w:t xml:space="preserve">EVIDENCE BUNDLE</w:t>
      </w:r>
    </w:p>
    <w:p>
      <w:pPr>
        <w:spacing w:after="40"/>
        <w:jc w:val="center"/>
      </w:pPr>
      <w:r>
        <w:rPr>
          <w:rFonts w:ascii="Arial" w:cs="Arial" w:eastAsia="Arial" w:hAnsi="Arial"/>
          <w:color w:val="4B5563"/>
          <w:sz w:val="28"/>
          <w:szCs w:val="28"/>
        </w:rPr>
        <w:t xml:space="preserve">FOR SEC DIVISION OF ENFORCEMENT</w:t>
      </w:r>
    </w:p>
    <w:p>
      <w:pPr>
        <w:spacing w:after="200"/>
        <w:jc w:val="center"/>
      </w:pPr>
      <w:r>
        <w:rPr>
          <w:rFonts w:ascii="Arial" w:cs="Arial" w:eastAsia="Arial" w:hAnsi="Arial"/>
          <w:b/>
          <w:bCs/>
          <w:color w:val="B91C1C"/>
          <w:sz w:val="24"/>
          <w:szCs w:val="24"/>
        </w:rPr>
        <w:t xml:space="preserve">Section 16(a) Delinquent Reporting Sweep</w:t>
      </w:r>
    </w:p>
    <w:p>
      <w:pPr>
        <w:pBdr>
          <w:top w:val="single" w:color="1B2A4A" w:sz="4" w:space="8"/>
          <w:bottom w:val="single" w:color="1B2A4A" w:sz="4" w:space="8"/>
        </w:pBdr>
        <w:spacing w:before="200" w:after="200"/>
        <w:jc w:val="center"/>
      </w:pPr>
      <w:r>
        <w:rPr>
          <w:rFonts w:ascii="Arial" w:cs="Arial" w:eastAsia="Arial" w:hAnsi="Arial"/>
          <w:b/>
          <w:bCs/>
          <w:color w:val="1B2A4A"/>
          <w:sz w:val="36"/>
          <w:szCs w:val="36"/>
        </w:rPr>
        <w:t xml:space="preserve">NIKE, INC. (NKE)</w:t>
      </w:r>
    </w:p>
    <w:p>
      <w:pPr>
        <w:spacing w:after="40"/>
        <w:jc w:val="center"/>
      </w:pPr>
      <w:r>
        <w:rPr>
          <w:rFonts w:ascii="Arial" w:cs="Arial" w:eastAsia="Arial" w:hAnsi="Arial"/>
          <w:color w:val="4B5563"/>
          <w:sz w:val="22"/>
          <w:szCs w:val="22"/>
        </w:rPr>
        <w:t xml:space="preserve">CIK: 0000320187  |  SIC: 5130  |  Ticker: NKE (NYSE)</w:t>
      </w:r>
    </w:p>
    <w:p>
      <w:pPr>
        <w:spacing w:after="40"/>
        <w:jc w:val="center"/>
      </w:pPr>
      <w:r>
        <w:rPr>
          <w:rFonts w:ascii="Arial" w:cs="Arial" w:eastAsia="Arial" w:hAnsi="Arial"/>
          <w:color w:val="4B5563"/>
          <w:sz w:val="22"/>
          <w:szCs w:val="22"/>
        </w:rPr>
        <w:t xml:space="preserve">Fiscal Years Ending May 31, 2019 and May 31, 2020</w:t>
      </w:r>
    </w:p>
    <w:p>
      <w:pPr>
        <w:spacing w:after="400"/>
        <w:jc w:val="center"/>
      </w:pPr>
      <w:r>
        <w:rPr>
          <w:rFonts w:ascii="Arial" w:cs="Arial" w:eastAsia="Arial" w:hAnsi="Arial"/>
          <w:color w:val="6B7280"/>
          <w:sz w:val="20"/>
          <w:szCs w:val="20"/>
        </w:rPr>
        <w:t xml:space="preserve">Date Prepared: March 6, 2026</w:t>
      </w:r>
    </w:p>
    <w:p>
      <w:pPr>
        <w:spacing w:after="40"/>
        <w:jc w:val="center"/>
      </w:pPr>
      <w:r>
        <w:rPr>
          <w:rFonts w:ascii="Arial" w:cs="Arial" w:eastAsia="Arial" w:hAnsi="Arial"/>
          <w:b/>
          <w:bCs/>
          <w:color w:val="B91C1C"/>
          <w:sz w:val="18"/>
          <w:szCs w:val="18"/>
        </w:rPr>
        <w:t xml:space="preserve">CLASSIFICATION: PRIVILEGED &amp; CONFIDENTIAL</w:t>
      </w:r>
    </w:p>
    <w:p>
      <w:pPr>
        <w:spacing w:after="200"/>
        <w:jc w:val="center"/>
      </w:pPr>
      <w:r>
        <w:rPr>
          <w:rFonts w:ascii="Arial" w:cs="Arial" w:eastAsia="Arial" w:hAnsi="Arial"/>
          <w:i/>
          <w:iCs/>
          <w:color w:val="6B7280"/>
          <w:sz w:val="18"/>
          <w:szCs w:val="18"/>
        </w:rPr>
        <w:t xml:space="preserve">Prepared by JLAW Forensic Intelligence Platform</w:t>
      </w:r>
    </w:p>
    <w:p>
      <w:r>
        <w:br w:type="page"/>
      </w:r>
    </w:p>
    <w:p>
      <w:pPr>
        <w:pStyle w:val="Heading1"/>
      </w:pPr>
      <w:r>
        <w:t xml:space="preserve">I. Executive Summary</w:t>
      </w:r>
    </w:p>
    <w:p>
      <w:pPr>
        <w:spacing w:before="0" w:after="120"/>
        <w:jc w:val="left"/>
      </w:pPr>
      <w:r>
        <w:rPr>
          <w:rFonts w:ascii="Arial" w:cs="Arial" w:eastAsia="Arial" w:hAnsi="Arial"/>
          <w:b w:val="false"/>
          <w:bCs w:val="false"/>
          <w:i w:val="false"/>
          <w:iCs w:val="false"/>
          <w:color w:val="1A1A1A"/>
          <w:sz w:val="22"/>
          <w:szCs w:val="22"/>
        </w:rPr>
        <w:t xml:space="preserve">This evidence bundle documents potential violations of Section 16(a) of the Securities Exchange Act of 1934 and Item 405 of Regulation S-K by Nike, Inc. and its reporting insiders during fiscal years 2019 and 2020. The findings were identified through a triangulated forensic analysis comparing SEC EDGAR filings (Form 4, Form 5, 10-K, 8-K) against Nike’s DEF 14A proxy statements.</w:t>
      </w:r>
    </w:p>
    <w:p>
      <w:pPr>
        <w:spacing w:before="0" w:after="120"/>
        <w:jc w:val="left"/>
      </w:pPr>
      <w:r>
        <w:rPr>
          <w:rFonts w:ascii="Arial" w:cs="Arial" w:eastAsia="Arial" w:hAnsi="Arial"/>
          <w:b w:val="false"/>
          <w:bCs w:val="false"/>
          <w:i w:val="false"/>
          <w:iCs w:val="false"/>
          <w:color w:val="1A1A1A"/>
          <w:sz w:val="22"/>
          <w:szCs w:val="22"/>
        </w:rPr>
        <w:t xml:space="preserve">The core allegation is that Nike’s FY2019 proxy statement, filed August 9, 2019, impermissibly omitted the Section 16(a) Beneficial Ownership Reporting Compliance disclosure despite the existence of late Form 4 filings by at least one reporting insider (Eric D. Sprunk, Chief Operating Officer). This omission exploited the SEC’s FAST Act disclosure simplification amendments (effective May 2, 2019), which permitted omission of the Section 16(a) caption only when there were no delinquencies to report.</w:t>
      </w:r>
    </w:p>
    <w:p>
      <w:pPr>
        <w:spacing w:before="0" w:after="120"/>
        <w:jc w:val="left"/>
      </w:pPr>
      <w:r>
        <w:rPr>
          <w:rFonts w:ascii="Arial" w:cs="Arial" w:eastAsia="Arial" w:hAnsi="Arial"/>
          <w:b w:val="false"/>
          <w:bCs w:val="false"/>
          <w:i w:val="false"/>
          <w:iCs w:val="false"/>
          <w:color w:val="1A1A1A"/>
          <w:sz w:val="22"/>
          <w:szCs w:val="22"/>
        </w:rPr>
        <w:t xml:space="preserve">Additionally, the bundle documents a CEO option exercise during a quarterly blackout window with no disclosed 10b5-1 plan adoption date, and a pattern of undisclosed governance conflicts involving three senior insiders simultaneously serving on the board of Swoosh LLC, the Knight family entity controlling 77.7% of Nike’s Class A voting shares.</w:t>
      </w:r>
    </w:p>
    <w:p>
      <w:pPr>
        <w:pStyle w:val="Heading1"/>
      </w:pPr>
      <w:r>
        <w:t xml:space="preserve">II. Subject Insiders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28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TITLE (2019)</w:t>
            </w:r>
          </w:p>
        </w:tc>
        <w:tc>
          <w:tcPr>
            <w:tcW w:type="dxa" w:w="22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CIK / REPORTING ID</w:t>
            </w:r>
          </w:p>
        </w:tc>
        <w:tc>
          <w:tcPr>
            <w:tcW w:type="dxa" w:w="21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ROLE IN FINDINGS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Mark G. Parker</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Chairman, President &amp; CEO</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CIK 0001091745</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B91C1C"/>
                <w:sz w:val="18"/>
                <w:szCs w:val="18"/>
              </w:rPr>
              <w:t xml:space="preserve">Blackout exercise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Eric D. Sprunk</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Chief Operating Officer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CIK 0001147762</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B91C1C"/>
                <w:sz w:val="18"/>
                <w:szCs w:val="18"/>
              </w:rPr>
              <w:t xml:space="preserve">Late filings; Form 5</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Alan B. Graf Jr.</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Director; Audit Committee Chair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CIK 0001228753</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92400E"/>
                <w:sz w:val="18"/>
                <w:szCs w:val="18"/>
              </w:rPr>
              <w:t xml:space="preserve">Cross-directorship</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Philip H. Knight</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Chairman Emeritus; Co-Founder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CIK 0000059284</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92400E"/>
                <w:sz w:val="18"/>
                <w:szCs w:val="18"/>
              </w:rPr>
              <w:t xml:space="preserve">$47.6M gift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Monique Matheson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EVP, Global Human Resources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CIK 0001499131</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92400E"/>
                <w:sz w:val="18"/>
                <w:szCs w:val="18"/>
              </w:rPr>
              <w:t xml:space="preserve">Oct 30 cluster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Hilary K. Krane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EVP, CAO &amp; General Counsel</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CIK 0001362034</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92400E"/>
                <w:sz w:val="18"/>
                <w:szCs w:val="18"/>
              </w:rPr>
              <w:t xml:space="preserve">Oct 30 cluster</w:t>
            </w:r>
          </w:p>
        </w:tc>
      </w:tr>
    </w:tbl>
    <w:p>
      <w:r>
        <w:br w:type="page"/>
      </w:r>
    </w:p>
    <w:p>
      <w:pPr>
        <w:pStyle w:val="Heading1"/>
      </w:pPr>
      <w:r>
        <w:t xml:space="preserve">III. Allegation 1: Impermissible Omission of Section 16(a) Disclosure</w:t>
      </w:r>
    </w:p>
    <w:p>
      <w:pPr>
        <w:pStyle w:val="Heading2"/>
      </w:pPr>
      <w:r>
        <w:t xml:space="preserve">Applicable Law</w:t>
      </w:r>
    </w:p>
    <w:p>
      <w:pPr>
        <w:spacing w:before="0" w:after="120"/>
        <w:jc w:val="left"/>
      </w:pPr>
      <w:r>
        <w:rPr>
          <w:rFonts w:ascii="Arial" w:cs="Arial" w:eastAsia="Arial" w:hAnsi="Arial"/>
          <w:b w:val="false"/>
          <w:bCs w:val="false"/>
          <w:i w:val="false"/>
          <w:iCs w:val="false"/>
          <w:color w:val="1A1A1A"/>
          <w:sz w:val="22"/>
          <w:szCs w:val="22"/>
        </w:rPr>
        <w:t xml:space="preserve">Section 16(a) of the Exchange Act requires every officer, director, and 10%+ beneficial owner to file transaction reports (Form 4) within two business days. Item 405 of Regulation S-K (17 CFR §229.405) requires registrants to disclose any known failures to make timely Section 16(a) filings in their annual proxy statement or 10-K. Following the FAST Act amendments effective May 2, 2019, the SEC revised Item 405 to encourage omission of the caption only when the company has determined that no delinquencies occurred.</w:t>
      </w:r>
    </w:p>
    <w:p>
      <w:pPr>
        <w:pStyle w:val="Heading2"/>
      </w:pPr>
      <w:r>
        <w:t xml:space="preserve">Material Facts</w:t>
      </w:r>
    </w:p>
    <w:p>
      <w:pPr>
        <w:spacing w:before="0" w:after="120"/>
        <w:jc w:val="left"/>
      </w:pPr>
      <w:r>
        <w:rPr>
          <w:rFonts w:ascii="Arial" w:cs="Arial" w:eastAsia="Arial" w:hAnsi="Arial"/>
          <w:b w:val="false"/>
          <w:bCs w:val="false"/>
          <w:i w:val="false"/>
          <w:iCs w:val="false"/>
          <w:color w:val="1A1A1A"/>
          <w:sz w:val="22"/>
          <w:szCs w:val="22"/>
        </w:rPr>
        <w:t xml:space="preserve">Fact 1: Nike’s FY2019 proxy (DEF 14A, accession 0000320187-19-000053, filed August 9, 2019) contains no Section 16(a) Beneficial Ownership Reporting Compliance section. This section was present in every prior Nike proxy reviewed (FY2012 through FY2018).</w:t>
      </w:r>
    </w:p>
    <w:p>
      <w:pPr>
        <w:spacing w:before="0" w:after="120"/>
        <w:jc w:val="left"/>
      </w:pPr>
      <w:r>
        <w:rPr>
          <w:rFonts w:ascii="Arial" w:cs="Arial" w:eastAsia="Arial" w:hAnsi="Arial"/>
          <w:b w:val="false"/>
          <w:bCs w:val="false"/>
          <w:i w:val="false"/>
          <w:iCs w:val="false"/>
          <w:color w:val="1A1A1A"/>
          <w:sz w:val="22"/>
          <w:szCs w:val="22"/>
        </w:rPr>
        <w:t xml:space="preserve">Fact 2: Nike’s FY2019 10-K (accession 0000320187-19-000051, filed July 23, 2019) incorporates Part III, Item 10 by reference from the proxy. Neither filing contains any Section 16(a) disclosure. No 10-K/A amendment was filed.</w:t>
      </w:r>
    </w:p>
    <w:p>
      <w:pPr>
        <w:spacing w:before="0" w:after="120"/>
        <w:jc w:val="left"/>
      </w:pPr>
      <w:r>
        <w:rPr>
          <w:rFonts w:ascii="Arial" w:cs="Arial" w:eastAsia="Arial" w:hAnsi="Arial"/>
          <w:b w:val="false"/>
          <w:bCs w:val="false"/>
          <w:i w:val="false"/>
          <w:iCs w:val="false"/>
          <w:color w:val="1A1A1A"/>
          <w:sz w:val="22"/>
          <w:szCs w:val="22"/>
        </w:rPr>
        <w:t xml:space="preserve">Fact 3: Eric D. Sprunk (COO) filed Form 4s reporting gift transactions on the following dates, each filed after the two-business-day statutory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80"/>
        <w:gridCol w:w="1880"/>
      </w:tblGrid>
      <w:tr>
        <w:tc>
          <w:tcPr>
            <w:tcW w:type="dxa" w:w="18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TRANSACTION DATE</w:t>
            </w:r>
          </w:p>
        </w:tc>
        <w:tc>
          <w:tcPr>
            <w:tcW w:type="dxa" w:w="18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FILING DATE</w:t>
            </w:r>
          </w:p>
        </w:tc>
        <w:tc>
          <w:tcPr>
            <w:tcW w:type="dxa" w:w="20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ACCESSION NUMBER</w:t>
            </w:r>
          </w:p>
        </w:tc>
        <w:tc>
          <w:tcPr>
            <w:tcW w:type="dxa" w:w="18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DAYS LATE</w:t>
            </w:r>
          </w:p>
        </w:tc>
        <w:tc>
          <w:tcPr>
            <w:tcW w:type="dxa" w:w="188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TRANSACTION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April 9, 2019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April 17, 2019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0000320187-19-000032</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B91C1C"/>
                <w:sz w:val="18"/>
                <w:szCs w:val="18"/>
              </w:rPr>
              <w:t xml:space="preserve">4 business days</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Gift 8,036 shares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April 11, 2019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April 17, 2019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0000320187-19-000032</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B91C1C"/>
                <w:sz w:val="18"/>
                <w:szCs w:val="18"/>
              </w:rPr>
              <w:t xml:space="preserve">2 business days</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Gift 408 shares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April 30, 2019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May 6, 2019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0000320187-19-000036</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B91C1C"/>
                <w:sz w:val="18"/>
                <w:szCs w:val="18"/>
              </w:rPr>
              <w:t xml:space="preserve">2 business days</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Gift 489 shares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Dec 24, 2019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Jul 10, 2020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Form 5 (annual)</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B91C1C"/>
                <w:sz w:val="18"/>
                <w:szCs w:val="18"/>
              </w:rPr>
              <w:t xml:space="preserve">~6 months</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Gift 124 shares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Dec 26, 2019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Jul 10, 2020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Form 5 (annual)</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B91C1C"/>
                <w:sz w:val="18"/>
                <w:szCs w:val="18"/>
              </w:rPr>
              <w:t xml:space="preserve">~6 months</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Gift 562 shares</w:t>
            </w:r>
          </w:p>
        </w:tc>
      </w:tr>
    </w:tbl>
    <w:p>
      <w:pPr>
        <w:spacing w:before="200" w:after="120"/>
        <w:jc w:val="left"/>
      </w:pPr>
      <w:r>
        <w:rPr>
          <w:rFonts w:ascii="Arial" w:cs="Arial" w:eastAsia="Arial" w:hAnsi="Arial"/>
          <w:b w:val="false"/>
          <w:bCs w:val="false"/>
          <w:i w:val="false"/>
          <w:iCs w:val="false"/>
          <w:color w:val="1A1A1A"/>
          <w:sz w:val="22"/>
          <w:szCs w:val="22"/>
        </w:rPr>
        <w:t xml:space="preserve">Fact 4: Nike’s FY2013 proxy explicitly disclosed Sprunk late filings from November 29, 2011 and December 26, 2012, described as “reported late due to administrative errors.” This establishes Nike’s awareness of Sprunk’s pattern and its prior practice of disclosing such delinquencies.</w:t>
      </w:r>
    </w:p>
    <w:p>
      <w:pPr>
        <w:spacing w:before="0" w:after="120"/>
        <w:jc w:val="left"/>
      </w:pPr>
      <w:r>
        <w:rPr>
          <w:rFonts w:ascii="Arial" w:cs="Arial" w:eastAsia="Arial" w:hAnsi="Arial"/>
          <w:b w:val="false"/>
          <w:bCs w:val="false"/>
          <w:i w:val="false"/>
          <w:iCs w:val="false"/>
          <w:color w:val="1A1A1A"/>
          <w:sz w:val="22"/>
          <w:szCs w:val="22"/>
        </w:rPr>
        <w:t xml:space="preserve">Fact 5: The SEC’s 2023–2024 Section 16 enforcement sweeps imposed penalties ranging from $115,000 to $750,000 on companies that omitted the Section 16(a) caption when delinquencies existed, even when those delinquencies were minor.</w:t>
      </w:r>
    </w:p>
    <w:p>
      <w:pPr>
        <w:pStyle w:val="Heading2"/>
      </w:pPr>
      <w:r>
        <w:t xml:space="preserve">Conclusion</w:t>
      </w:r>
    </w:p>
    <w:p>
      <w:pPr>
        <w:spacing w:before="0" w:after="120"/>
        <w:jc w:val="left"/>
      </w:pPr>
      <w:r>
        <w:rPr>
          <w:rFonts w:ascii="Arial" w:cs="Arial" w:eastAsia="Arial" w:hAnsi="Arial"/>
          <w:b w:val="false"/>
          <w:bCs w:val="false"/>
          <w:i w:val="false"/>
          <w:iCs w:val="false"/>
          <w:color w:val="1A1A1A"/>
          <w:sz w:val="22"/>
          <w:szCs w:val="22"/>
        </w:rPr>
        <w:t xml:space="preserve">The evidence supports a finding that Nike’s FY2019 proxy statement omitted the Section 16(a) disclosure at the earliest opportunity permitted by the FAST Act amendments, notwithstanding at least three documented late Form 4 filings by its COO during the fiscal year. If the SEC’s current enforcement posture on Section 16(a) compliance had been in effect, this omission would likely have triggered a sweep enforcement action.</w:t>
      </w:r>
    </w:p>
    <w:p>
      <w:r>
        <w:br w:type="page"/>
      </w:r>
    </w:p>
    <w:p>
      <w:pPr>
        <w:pStyle w:val="Heading1"/>
      </w:pPr>
      <w:r>
        <w:t xml:space="preserve">IV. Allegation 2: Undisclosed Blackout-Period Exercise by CEO</w:t>
      </w:r>
    </w:p>
    <w:p>
      <w:pPr>
        <w:pStyle w:val="Heading2"/>
      </w:pPr>
      <w:r>
        <w:t xml:space="preserve">Material Facts</w:t>
      </w:r>
    </w:p>
    <w:p>
      <w:pPr>
        <w:spacing w:before="0" w:after="120"/>
        <w:jc w:val="left"/>
      </w:pPr>
      <w:r>
        <w:rPr>
          <w:rFonts w:ascii="Arial" w:cs="Arial" w:eastAsia="Arial" w:hAnsi="Arial"/>
          <w:b w:val="false"/>
          <w:bCs w:val="false"/>
          <w:i w:val="false"/>
          <w:iCs w:val="false"/>
          <w:color w:val="1A1A1A"/>
          <w:sz w:val="22"/>
          <w:szCs w:val="22"/>
        </w:rPr>
        <w:t xml:space="preserve">Fact 1: Nike’s Insider Trading Policy (filed as Exhibit 19.2 to the FY2024 10-K) establishes quarterly blackout windows beginning on the 15th day of the last month of each fiscal quarter and ending after the first full trading day following earnings release. For Q2 FY2020, this creates a blackout from November 15 through December 20, 2019.</w:t>
      </w:r>
    </w:p>
    <w:p>
      <w:pPr>
        <w:spacing w:before="0" w:after="120"/>
        <w:jc w:val="left"/>
      </w:pPr>
      <w:r>
        <w:rPr>
          <w:rFonts w:ascii="Arial" w:cs="Arial" w:eastAsia="Arial" w:hAnsi="Arial"/>
          <w:b w:val="false"/>
          <w:bCs w:val="false"/>
          <w:i w:val="false"/>
          <w:iCs w:val="false"/>
          <w:color w:val="1A1A1A"/>
          <w:sz w:val="22"/>
          <w:szCs w:val="22"/>
        </w:rPr>
        <w:t xml:space="preserve">Fact 2: Mark Parker exercised approximately 156,529 stock options on December 2, 2019, generating approximately $15.4 million in proceeds. This transaction falls squarely within the Q2 FY2020 blackout window.</w:t>
      </w:r>
    </w:p>
    <w:p>
      <w:pPr>
        <w:spacing w:before="0" w:after="120"/>
        <w:jc w:val="left"/>
      </w:pPr>
      <w:r>
        <w:rPr>
          <w:rFonts w:ascii="Arial" w:cs="Arial" w:eastAsia="Arial" w:hAnsi="Arial"/>
          <w:b w:val="false"/>
          <w:bCs w:val="false"/>
          <w:i w:val="false"/>
          <w:iCs w:val="false"/>
          <w:color w:val="1A1A1A"/>
          <w:sz w:val="22"/>
          <w:szCs w:val="22"/>
        </w:rPr>
        <w:t xml:space="preserve">Fact 3: The Insider Trading Policy exempts transactions made pursuant to an approved 10b5-1 plan. Parker’s more recent Form 4 filings (2023–2025) consistently reference 10b5-1 plans with disclosed adoption dates, confirming he routinely uses such plans.</w:t>
      </w:r>
    </w:p>
    <w:p>
      <w:pPr>
        <w:spacing w:before="0" w:after="120"/>
        <w:jc w:val="left"/>
      </w:pPr>
      <w:r>
        <w:rPr>
          <w:rFonts w:ascii="Arial" w:cs="Arial" w:eastAsia="Arial" w:hAnsi="Arial"/>
          <w:b w:val="false"/>
          <w:bCs w:val="false"/>
          <w:i w:val="false"/>
          <w:iCs w:val="false"/>
          <w:color w:val="1A1A1A"/>
          <w:sz w:val="22"/>
          <w:szCs w:val="22"/>
        </w:rPr>
        <w:t xml:space="preserve">Fact 4: No 2019 Nike Form 4 filing discloses a 10b5-1 plan adoption date. The FY2019 and FY2020 proxy statements contain zero disclosure of 10b5-1 plan policies, adoption requirements, cooling-off periods, or the existence of any specific insider’s trading plan.</w:t>
      </w:r>
    </w:p>
    <w:p>
      <w:pPr>
        <w:spacing w:before="0" w:after="120"/>
        <w:jc w:val="left"/>
      </w:pPr>
      <w:r>
        <w:rPr>
          <w:rFonts w:ascii="Arial" w:cs="Arial" w:eastAsia="Arial" w:hAnsi="Arial"/>
          <w:b w:val="false"/>
          <w:bCs w:val="false"/>
          <w:i w:val="false"/>
          <w:iCs w:val="false"/>
          <w:color w:val="1A1A1A"/>
          <w:sz w:val="22"/>
          <w:szCs w:val="22"/>
        </w:rPr>
        <w:t xml:space="preserve">Fact 5: Parker possessed material nonpublic information about the CEO succession. The Donahoe offer letter was signed October 17, 2019 — 46 days before the December 2 exercise. Parker told CNBC the succession had been planned “for many months.” If his 10b5-1 plan was adopted or modified after he became aware of the succession timeline, the plan’s Rule 10b5-1 safe harbor would be compromised.</w:t>
      </w:r>
    </w:p>
    <w:p>
      <w:pPr>
        <w:pStyle w:val="Heading2"/>
      </w:pPr>
      <w:r>
        <w:t xml:space="preserve">Critical Information Gap</w:t>
      </w:r>
    </w:p>
    <w:p>
      <w:pPr>
        <w:spacing w:before="0" w:after="120"/>
        <w:jc w:val="left"/>
      </w:pPr>
      <w:r>
        <w:rPr>
          <w:rFonts w:ascii="Arial" w:cs="Arial" w:eastAsia="Arial" w:hAnsi="Arial"/>
          <w:b w:val="false"/>
          <w:bCs w:val="false"/>
          <w:i w:val="false"/>
          <w:iCs w:val="false"/>
          <w:color w:val="1A1A1A"/>
          <w:sz w:val="22"/>
          <w:szCs w:val="22"/>
        </w:rPr>
        <w:t xml:space="preserve">The adoption date of Parker’s 10b5-1 plan in effect on December 2, 2019 is the single most forensically significant unknown in this investigation. Pre-2023 SEC rules did not mandate disclosure of adoption dates on Form 4. However, the plan itself would be in Nike’s possession and subject to production in any enforcement inquiry. If the plan was adopted after the succession discussions began (which Parker indicated occurred “many months” before October 2019), the entire safe harbor defense for the December 2 exercise — and potentially Parker’s other 2019 exercises totaling approximately $78 million — would be undermined.</w:t>
      </w:r>
    </w:p>
    <w:p>
      <w:r>
        <w:br w:type="page"/>
      </w:r>
    </w:p>
    <w:p>
      <w:pPr>
        <w:pStyle w:val="Heading1"/>
      </w:pPr>
      <w:r>
        <w:t xml:space="preserve">V. Allegation 3: Coordinated Insider Gift Cluster Post-CEO Announcement</w:t>
      </w:r>
    </w:p>
    <w:p>
      <w:pPr>
        <w:spacing w:before="0" w:after="120"/>
        <w:jc w:val="left"/>
      </w:pPr>
      <w:r>
        <w:rPr>
          <w:rFonts w:ascii="Arial" w:cs="Arial" w:eastAsia="Arial" w:hAnsi="Arial"/>
          <w:b w:val="false"/>
          <w:bCs w:val="false"/>
          <w:i w:val="false"/>
          <w:iCs w:val="false"/>
          <w:color w:val="1A1A1A"/>
          <w:sz w:val="22"/>
          <w:szCs w:val="22"/>
        </w:rPr>
        <w:t xml:space="preserve">On October 30, 2019 — eight days after the public CEO transition announcement — three senior Nike insiders filed Form 4s reporting gift transactions executed on the same date. The filings bear sequential EDGAR accession numbers (0001127602-19-031360, -031373, -031375), indicating same-batch submission through Nike’s compliance team.</w:t>
      </w:r>
    </w:p>
    <w:p>
      <w:pPr>
        <w:spacing w:before="0" w:after="120"/>
        <w:jc w:val="left"/>
      </w:pPr>
      <w:r>
        <w:rPr>
          <w:rFonts w:ascii="Arial" w:cs="Arial" w:eastAsia="Arial" w:hAnsi="Arial"/>
          <w:b w:val="false"/>
          <w:bCs w:val="false"/>
          <w:i w:val="false"/>
          <w:iCs w:val="false"/>
          <w:color w:val="1A1A1A"/>
          <w:sz w:val="22"/>
          <w:szCs w:val="22"/>
        </w:rPr>
        <w:t xml:space="preserve">The involved insiders — Monique Matheson (EVP, CHRO), Hilary Krane (EVP, CAO &amp; General Counsel), and Alan Graf Jr. (Director, Audit Committee Chair) — were all in positions that would likely have involved them in or made them aware of the CEO succession planning process. While the CEO transition was publicly announced October 22, these insiders may have possessed residual MNPI regarding post-transition organizational restructuring, compensation arrangements, or strategic direction changes not yet public.</w:t>
      </w:r>
    </w:p>
    <w:p>
      <w:pPr>
        <w:spacing w:before="0" w:after="120"/>
        <w:jc w:val="left"/>
      </w:pPr>
      <w:r>
        <w:rPr>
          <w:rFonts w:ascii="Arial" w:cs="Arial" w:eastAsia="Arial" w:hAnsi="Arial"/>
          <w:b w:val="false"/>
          <w:bCs w:val="false"/>
          <w:i w:val="false"/>
          <w:iCs w:val="false"/>
          <w:color w:val="1A1A1A"/>
          <w:sz w:val="22"/>
          <w:szCs w:val="22"/>
        </w:rPr>
        <w:t xml:space="preserve">No Nike proxy statement discloses whether an event-specific blackout was imposed around the October 17–22 succession window. Nike’s written policy addresses only quarterly earnings blackouts. Gift transactions are generally exempt from blackout restrictions, but the absence of any disclosure about event-specific trading controls around a CEO transition represents a governance transparency gap.</w:t>
      </w:r>
    </w:p>
    <w:p>
      <w:r>
        <w:br w:type="page"/>
      </w:r>
    </w:p>
    <w:p>
      <w:pPr>
        <w:pStyle w:val="Heading1"/>
      </w:pPr>
      <w:r>
        <w:t xml:space="preserve">VI. Evidence Index — SEC EDGAR Filing References</w:t>
      </w:r>
    </w:p>
    <w:p>
      <w:pPr>
        <w:spacing w:before="0" w:after="120"/>
        <w:jc w:val="left"/>
      </w:pPr>
      <w:r>
        <w:rPr>
          <w:rFonts w:ascii="Arial" w:cs="Arial" w:eastAsia="Arial" w:hAnsi="Arial"/>
          <w:b w:val="false"/>
          <w:bCs w:val="false"/>
          <w:i w:val="false"/>
          <w:iCs w:val="false"/>
          <w:color w:val="1A1A1A"/>
          <w:sz w:val="22"/>
          <w:szCs w:val="22"/>
        </w:rPr>
        <w:t xml:space="preserve">All filings are publicly accessible via SEC EDGAR (https://www.sec.gov/cgi-bin/browse-edgar?action=getcompany&amp;CIK=0000320187).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200"/>
        <w:gridCol w:w="3000"/>
        <w:gridCol w:w="2160"/>
      </w:tblGrid>
      <w:tr>
        <w:tc>
          <w:tcPr>
            <w:tcW w:type="dxa" w:w="6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w:t>
            </w:r>
          </w:p>
        </w:tc>
        <w:tc>
          <w:tcPr>
            <w:tcW w:type="dxa" w:w="14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2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DATE / PERIOD</w:t>
            </w:r>
          </w:p>
        </w:tc>
        <w:tc>
          <w:tcPr>
            <w:tcW w:type="dxa" w:w="30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ACCESSION / DESCRIPTION</w:t>
            </w:r>
          </w:p>
        </w:tc>
        <w:tc>
          <w:tcPr>
            <w:tcW w:type="dxa" w:w="21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ALLEGATION</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E-1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DEF 14A</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FY2019 (filed 8/9/2019)</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0000320187-19-000053 — Nike FY2019 proxy; §16(a) OMITTED</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1</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DEF 14A</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FY2020 (filed ~8/2020)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0000320187-20-000049 — Nike FY2020 proxy; no 10b5-1 disclosure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1, 2</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E-3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10-K</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FY2019 (filed 7/23/2019)</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0000320187-19-000051 — Part III inc. by reference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1</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E-4</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DEF 14A</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FY2013 (filed ~2013)</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Nike FY2013 proxy — Sprunk late filings disclosed</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1</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E-5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Form 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Filed 4/17/2019</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0000320187-19-000032 — Sprunk gifts + exercise (gifts late)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1</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E-6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Form 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Filed 5/6/2019</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0000320187-19-000036 — Sprunk gift (late)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1</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E-7</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Form 5</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Filed 7/10/2020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Sprunk Form 5 — Dec 24-26 micro-gifts</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1</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E-8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Form 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Filed ~12/4/2019</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Parker Dec 2 option exercise — blackout period</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2</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E-9</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8-K</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Filed 10/22/2019</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0000320187-19-000075 — CEO transition; Donahoe agreements</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2, 3</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E-10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Exhibit 19.2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Filed w/ FY2024 10-K</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Nike Insider Trading &amp; Blackout Policy</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2</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E-11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Form 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Filed 10/31/2019</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0001127602-19-031360 et seq. — Oct 30 gift cluster</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3</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E-12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SC 13D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Filed 6/30/2015</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Swoosh LLC Schedule 13D — governance structure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3</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E-13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DEF 14A</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FY2018 (filed ~2018)</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0000320187-18-000144 — Prior §16(a) disclosure present</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1</w:t>
            </w:r>
          </w:p>
        </w:tc>
      </w:tr>
    </w:tbl>
    <w:p>
      <w:r>
        <w:br w:type="page"/>
      </w:r>
    </w:p>
    <w:p>
      <w:pPr>
        <w:pStyle w:val="Heading1"/>
      </w:pPr>
      <w:r>
        <w:t xml:space="preserve">VII. Recommended Enforcement Actions</w:t>
      </w:r>
    </w:p>
    <w:p>
      <w:pPr>
        <w:spacing w:before="0" w:after="200"/>
        <w:jc w:val="left"/>
      </w:pPr>
      <w:r>
        <w:rPr>
          <w:rFonts w:ascii="Arial" w:cs="Arial" w:eastAsia="Arial" w:hAnsi="Arial"/>
          <w:b w:val="false"/>
          <w:bCs w:val="false"/>
          <w:i w:val="false"/>
          <w:iCs w:val="false"/>
          <w:color w:val="1A1A1A"/>
          <w:sz w:val="22"/>
          <w:szCs w:val="22"/>
        </w:rPr>
        <w:t xml:space="preserve">Based on the evidence assembled in this bundle, the following enforcement inquiries are recommended:</w:t>
      </w:r>
    </w:p>
    <w:p>
      <w:pPr>
        <w:pStyle w:val="Heading2"/>
      </w:pPr>
      <w:r>
        <w:t xml:space="preserve">Priority 1: Section 16(a) / Item 405 Violation</w:t>
      </w:r>
    </w:p>
    <w:p>
      <w:pPr>
        <w:spacing w:before="0" w:after="120"/>
        <w:jc w:val="left"/>
      </w:pPr>
      <w:r>
        <w:rPr>
          <w:rFonts w:ascii="Arial" w:cs="Arial" w:eastAsia="Arial" w:hAnsi="Arial"/>
          <w:b w:val="false"/>
          <w:bCs w:val="false"/>
          <w:i w:val="false"/>
          <w:iCs w:val="false"/>
          <w:color w:val="1A1A1A"/>
          <w:sz w:val="22"/>
          <w:szCs w:val="22"/>
        </w:rPr>
        <w:t xml:space="preserve">Request Nike to produce internal records documenting its FY2019 Section 16(a) compliance review. Determine whether Nike’s corporate secretary or compliance team identified Sprunk’s late Form 4 filings before authorizing omission of the Section 16(a) proxy caption. If the late filings were known, the omission constitutes a material misrepresentation in the proxy statement and a violation of Item 405 of Regulation S-K. Comparable enforcement actions in the 2023–2024 sweep cycle resulted in penalties of $115,000–$750,000.</w:t>
      </w:r>
    </w:p>
    <w:p>
      <w:pPr>
        <w:pStyle w:val="Heading2"/>
      </w:pPr>
      <w:r>
        <w:t xml:space="preserve">Priority 2: 10b5-1 Plan Production</w:t>
      </w:r>
    </w:p>
    <w:p>
      <w:pPr>
        <w:spacing w:before="0" w:after="120"/>
        <w:jc w:val="left"/>
      </w:pPr>
      <w:r>
        <w:rPr>
          <w:rFonts w:ascii="Arial" w:cs="Arial" w:eastAsia="Arial" w:hAnsi="Arial"/>
          <w:b w:val="false"/>
          <w:bCs w:val="false"/>
          <w:i w:val="false"/>
          <w:iCs w:val="false"/>
          <w:color w:val="1A1A1A"/>
          <w:sz w:val="22"/>
          <w:szCs w:val="22"/>
        </w:rPr>
        <w:t xml:space="preserve">Subpoena the 10b5-1 trading plan in effect for Mark Parker on December 2, 2019. Determine the plan’s adoption date. If adopted after Parker became aware of CEO succession discussions, the plan’s safe harbor under Rule 10b5-1(c)(1) would be invalid, and the blackout-period exercise would constitute a violation of Nike’s Insider Trading Policy and potentially Section 10(b) / Rule 10b-5.</w:t>
      </w:r>
    </w:p>
    <w:p>
      <w:pPr>
        <w:pStyle w:val="Heading2"/>
      </w:pPr>
      <w:r>
        <w:t xml:space="preserve">Priority 3: October 30 Event-Specific Blackout Inquiry</w:t>
      </w:r>
    </w:p>
    <w:p>
      <w:pPr>
        <w:spacing w:before="0" w:after="120"/>
        <w:jc w:val="left"/>
      </w:pPr>
      <w:r>
        <w:rPr>
          <w:rFonts w:ascii="Arial" w:cs="Arial" w:eastAsia="Arial" w:hAnsi="Arial"/>
          <w:b w:val="false"/>
          <w:bCs w:val="false"/>
          <w:i w:val="false"/>
          <w:iCs w:val="false"/>
          <w:color w:val="1A1A1A"/>
          <w:sz w:val="22"/>
          <w:szCs w:val="22"/>
        </w:rPr>
        <w:t xml:space="preserve">Request Nike to produce any event-specific blackout or pre-clearance communications issued between October 1–31, 2019 related to the CEO transition. Determine whether the three insiders who gifted shares on October 30 obtained pre-clearance and whether any ad hoc trading restrictions were in effect.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4"/>
        <w:szCs w:val="14"/>
      </w:rPr>
      <w:t xml:space="preserve">PRIVILEGED &amp; CONFIDENTIAL — Prepared for SEC Division of Enforcement</w:t>
    </w:r>
    <w:r>
      <w:rPr>
        <w:rFonts w:ascii="Arial" w:cs="Arial" w:eastAsia="Arial" w:hAnsi="Arial"/>
        <w:color w:val="999999"/>
        <w:sz w:val="14"/>
        <w:szCs w:val="14"/>
      </w:rPr>
      <w:ptab w:alignment="right" w:relativeTo="margin" w:leader="none"/>
    </w: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1C1C" w:sz="4" w:space="4"/>
      </w:pBdr>
    </w:pPr>
    <w:r>
      <w:rPr>
        <w:rFonts w:ascii="Arial" w:cs="Arial" w:eastAsia="Arial" w:hAnsi="Arial"/>
        <w:b/>
        <w:bCs/>
        <w:color w:val="B91C1C"/>
        <w:sz w:val="16"/>
        <w:szCs w:val="16"/>
      </w:rPr>
      <w:t xml:space="preserve">SEC ENFORCEMENT TIP — SECTION 16(a)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E-%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2A4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2026-03-07T03:53:49.140Z</dcterms:created>
  <dcterms:modified xsi:type="dcterms:W3CDTF">2026-03-07T03:53:49.141Z</dcterms:modified>
</cp:coreProperties>
</file>

<file path=docProps/custom.xml><?xml version="1.0" encoding="utf-8"?>
<Properties xmlns="http://schemas.openxmlformats.org/officeDocument/2006/custom-properties" xmlns:vt="http://schemas.openxmlformats.org/officeDocument/2006/docPropsVTypes"/>
</file>