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312"/>
      </w:tblGrid>
      <w:tr>
        <w:tc>
          <w:tcPr>
            <w:tcW w:type="dxa" w:w="10312"/>
            <w:shd w:fill="046242"/>
            <w:tcBorders>
              <w:top w:val="single" w:sz="8" w:color="046242"/>
              <w:left w:val="single" w:sz="8" w:color="046242"/>
              <w:bottom w:val="single" w:sz="8" w:color="046242"/>
              <w:right w:val="single" w:sz="8" w:color="046242"/>
            </w:tcBorders>
          </w:tcPr>
          <w:p>
            <w:pPr>
              <w:spacing w:before="480"/>
              <w:jc w:val="center"/>
            </w:pPr>
            <w:r>
              <w:rPr>
                <w:rFonts w:ascii="Liberation Sans" w:hAnsi="Liberation Sans" w:eastAsia="Liberation Sans"/>
                <w:b/>
                <w:i w:val="0"/>
                <w:color w:val="E9B521"/>
                <w:sz w:val="44"/>
              </w:rPr>
              <w:t>FADES-RH</w:t>
            </w:r>
          </w:p>
          <w:p>
            <w:pPr>
              <w:jc w:val="center"/>
            </w:pPr>
            <w:r>
              <w:rPr>
                <w:rFonts w:ascii="Liberation Sans" w:hAnsi="Liberation Sans" w:eastAsia="Liberation Sans"/>
                <w:b/>
                <w:i w:val="0"/>
                <w:color w:val="FFFFFF"/>
                <w:sz w:val="34"/>
              </w:rPr>
              <w:t>DOCUMENTATION TECHNIQUE ET FONCTIONNELLE</w:t>
            </w:r>
          </w:p>
          <w:p>
            <w:pPr>
              <w:jc w:val="center"/>
            </w:pPr>
            <w:r>
              <w:rPr>
                <w:rFonts w:ascii="Liberation Sans" w:hAnsi="Liberation Sans" w:eastAsia="Liberation Sans"/>
                <w:b/>
                <w:i w:val="0"/>
                <w:color w:val="FFFFFF"/>
                <w:sz w:val="42"/>
              </w:rPr>
              <w:t>MODULE ÉVALUATIONS PROFESSIONNELLES</w:t>
            </w:r>
          </w:p>
          <w:p>
            <w:pPr>
              <w:jc w:val="center"/>
            </w:pPr>
            <w:r>
              <w:rPr>
                <w:rFonts w:ascii="Liberation Sans" w:hAnsi="Liberation Sans" w:eastAsia="Liberation Sans"/>
                <w:b w:val="0"/>
                <w:i w:val="0"/>
                <w:color w:val="D9EFE5"/>
                <w:sz w:val="20"/>
              </w:rPr>
              <w:t>Rattachement organisationnel · Congés · Moteur HRS · Impression A4</w:t>
            </w:r>
          </w:p>
          <w:p>
            <w:pPr>
              <w:spacing w:before="360" w:after="400"/>
              <w:jc w:val="center"/>
            </w:pPr>
            <w:r>
              <w:rPr>
                <w:rFonts w:ascii="Liberation Sans" w:hAnsi="Liberation Sans" w:eastAsia="Liberation Sans"/>
                <w:b/>
                <w:i w:val="0"/>
                <w:color w:val="E9B521"/>
                <w:sz w:val="20"/>
              </w:rPr>
              <w:t>Version 2.0 — 24 juillet 2026</w:t>
            </w:r>
          </w:p>
        </w:tc>
      </w:tr>
    </w:tbl>
    <w:p>
      <w:pPr>
        <w:spacing w:before="280" w:after="100" w:line="259" w:lineRule="auto"/>
        <w:jc w:val="center"/>
      </w:pPr>
      <w:r>
        <w:rPr>
          <w:rFonts w:ascii="Liberation Sans" w:hAnsi="Liberation Sans" w:eastAsia="Liberation Sans"/>
          <w:b/>
          <w:i w:val="0"/>
          <w:color w:val="0B2536"/>
          <w:sz w:val="20"/>
        </w:rPr>
        <w:t>Backend Express / Mongoose / TypeScript</w:t>
      </w:r>
      <w:r>
        <w:rPr>
          <w:rFonts w:ascii="Liberation Sans" w:hAnsi="Liberation Sans" w:eastAsia="Liberation Sans"/>
          <w:b w:val="0"/>
          <w:i w:val="0"/>
          <w:color w:val="E9B521"/>
          <w:sz w:val="20"/>
        </w:rPr>
        <w:t xml:space="preserve">   •   </w:t>
      </w:r>
      <w:r>
        <w:rPr>
          <w:rFonts w:ascii="Liberation Sans" w:hAnsi="Liberation Sans" w:eastAsia="Liberation Sans"/>
          <w:b/>
          <w:i w:val="0"/>
          <w:color w:val="0B2536"/>
          <w:sz w:val="20"/>
        </w:rPr>
        <w:t>Frontend React / Vite / TypeScript</w:t>
      </w:r>
    </w:p>
    <w:p>
      <w:pPr>
        <w:spacing w:before="0" w:after="240" w:line="259" w:lineRule="auto"/>
        <w:jc w:val="center"/>
      </w:pPr>
      <w:r>
        <w:rPr>
          <w:rFonts w:ascii="Liberation Sans" w:hAnsi="Liberation Sans" w:eastAsia="Liberation Sans"/>
          <w:b w:val="0"/>
          <w:i/>
          <w:color w:val="5F747C"/>
          <w:sz w:val="18"/>
        </w:rPr>
        <w:t>Document de référence pour l’intégration, l’exploitation, la recette et la maintenance du module.</w:t>
      </w:r>
    </w:p>
    <w:tbl>
      <w:tblPr>
        <w:tblW w:type="auto" w:w="0"/>
        <w:jc w:val="center"/>
        <w:tblLayout w:type="fixed"/>
        <w:tblLook w:firstColumn="1" w:firstRow="1" w:lastColumn="0" w:lastRow="0" w:noHBand="0" w:noVBand="1" w:val="04A0"/>
      </w:tblPr>
      <w:tblGrid>
        <w:gridCol w:w="9354"/>
      </w:tblGrid>
      <w:tr>
        <w:tc>
          <w:tcPr>
            <w:tcW w:type="dxa" w:w="10312"/>
            <w:shd w:fill="FFF7DF"/>
            <w:tcBorders>
              <w:top w:val="single" w:sz="8" w:color="E9B521"/>
              <w:left w:val="single" w:sz="12" w:color="E9B521"/>
              <w:bottom w:val="single" w:sz="6" w:color="D5E4DB"/>
              <w:right w:val="single" w:sz="6" w:color="D5E4DB"/>
            </w:tcBorders>
          </w:tcPr>
          <w:p>
            <w:pPr>
              <w:spacing w:before="0" w:after="60" w:line="259" w:lineRule="auto"/>
            </w:pPr>
            <w:r>
              <w:rPr>
                <w:rFonts w:ascii="Liberation Sans" w:hAnsi="Liberation Sans" w:eastAsia="Liberation Sans"/>
                <w:b/>
                <w:i w:val="0"/>
                <w:color w:val="0B2536"/>
                <w:sz w:val="17"/>
              </w:rPr>
              <w:t>POSITIONNEMENT DU MOTEUR HRS</w:t>
            </w:r>
          </w:p>
          <w:p>
            <w:pPr>
              <w:spacing w:before="0" w:after="0" w:line="259" w:lineRule="auto"/>
            </w:pPr>
            <w:r>
              <w:rPr>
                <w:rFonts w:ascii="Liberation Sans" w:hAnsi="Liberation Sans" w:eastAsia="Liberation Sans"/>
                <w:b w:val="0"/>
                <w:i w:val="0"/>
                <w:color w:val="0B2536"/>
                <w:sz w:val="18"/>
              </w:rPr>
              <w:t>Le module utilise un moteur expert déterministe fondé sur des règles explicites. Les résultats automatisés sont des aides à la décision et ne remplacent ni l’entretien contradictoire, ni l’appréciation hiérarchique, ni la validation RH.</w:t>
            </w:r>
          </w:p>
        </w:tc>
      </w:tr>
    </w:tbl>
    <w:p>
      <w:pPr>
        <w:spacing w:after="0"/>
      </w:pPr>
    </w:p>
    <w:p>
      <w:r>
        <w:br w:type="page"/>
      </w:r>
    </w:p>
    <w:p>
      <w:pPr>
        <w:pStyle w:val="Heading1"/>
        <w:keepNext/>
        <w:spacing w:before="200" w:after="100" w:line="240" w:lineRule="auto"/>
      </w:pPr>
      <w:r>
        <w:rPr>
          <w:rFonts w:ascii="Liberation Sans" w:hAnsi="Liberation Sans" w:eastAsia="Liberation Sans"/>
          <w:b/>
          <w:i w:val="0"/>
          <w:color w:val="046242"/>
          <w:sz w:val="28"/>
        </w:rPr>
        <w:t>Sommaire</w:t>
      </w:r>
    </w:p>
    <w:p>
      <w:pPr>
        <w:pStyle w:val="ListBullet"/>
        <w:spacing w:before="0" w:after="40" w:line="252" w:lineRule="auto"/>
      </w:pPr>
      <w:r>
        <w:rPr>
          <w:rFonts w:ascii="Liberation Sans" w:hAnsi="Liberation Sans" w:eastAsia="Liberation Sans"/>
          <w:b w:val="0"/>
          <w:i w:val="0"/>
          <w:sz w:val="18"/>
        </w:rPr>
        <w:t>1. Objet et résultats fonctionnels</w:t>
      </w:r>
    </w:p>
    <w:p>
      <w:pPr>
        <w:pStyle w:val="ListBullet"/>
        <w:spacing w:before="0" w:after="40" w:line="252" w:lineRule="auto"/>
      </w:pPr>
      <w:r>
        <w:rPr>
          <w:rFonts w:ascii="Liberation Sans" w:hAnsi="Liberation Sans" w:eastAsia="Liberation Sans"/>
          <w:b w:val="0"/>
          <w:i w:val="0"/>
          <w:sz w:val="18"/>
        </w:rPr>
        <w:t>2. Architecture et dépendances</w:t>
      </w:r>
    </w:p>
    <w:p>
      <w:pPr>
        <w:pStyle w:val="ListBullet"/>
        <w:spacing w:before="0" w:after="40" w:line="252" w:lineRule="auto"/>
      </w:pPr>
      <w:r>
        <w:rPr>
          <w:rFonts w:ascii="Liberation Sans" w:hAnsi="Liberation Sans" w:eastAsia="Liberation Sans"/>
          <w:b w:val="0"/>
          <w:i w:val="0"/>
          <w:sz w:val="18"/>
        </w:rPr>
        <w:t>3. Rôles, périmètres et cycle de vie</w:t>
      </w:r>
    </w:p>
    <w:p>
      <w:pPr>
        <w:pStyle w:val="ListBullet"/>
        <w:spacing w:before="0" w:after="40" w:line="252" w:lineRule="auto"/>
      </w:pPr>
      <w:r>
        <w:rPr>
          <w:rFonts w:ascii="Liberation Sans" w:hAnsi="Liberation Sans" w:eastAsia="Liberation Sans"/>
          <w:b w:val="0"/>
          <w:i w:val="0"/>
          <w:sz w:val="18"/>
        </w:rPr>
        <w:t>4. Rattachement Direction / Service</w:t>
      </w:r>
    </w:p>
    <w:p>
      <w:pPr>
        <w:pStyle w:val="ListBullet"/>
        <w:spacing w:before="0" w:after="40" w:line="252" w:lineRule="auto"/>
      </w:pPr>
      <w:r>
        <w:rPr>
          <w:rFonts w:ascii="Liberation Sans" w:hAnsi="Liberation Sans" w:eastAsia="Liberation Sans"/>
          <w:b w:val="0"/>
          <w:i w:val="0"/>
          <w:sz w:val="18"/>
        </w:rPr>
        <w:t>5. Snapshot et intégration des modules</w:t>
      </w:r>
    </w:p>
    <w:p>
      <w:pPr>
        <w:pStyle w:val="ListBullet"/>
        <w:spacing w:before="0" w:after="40" w:line="252" w:lineRule="auto"/>
      </w:pPr>
      <w:r>
        <w:rPr>
          <w:rFonts w:ascii="Liberation Sans" w:hAnsi="Liberation Sans" w:eastAsia="Liberation Sans"/>
          <w:b w:val="0"/>
          <w:i w:val="0"/>
          <w:sz w:val="18"/>
        </w:rPr>
        <w:t>6. Grille, notation et intelligence HRS</w:t>
      </w:r>
    </w:p>
    <w:p>
      <w:pPr>
        <w:pStyle w:val="ListBullet"/>
        <w:spacing w:before="0" w:after="40" w:line="252" w:lineRule="auto"/>
      </w:pPr>
      <w:r>
        <w:rPr>
          <w:rFonts w:ascii="Liberation Sans" w:hAnsi="Liberation Sans" w:eastAsia="Liberation Sans"/>
          <w:b w:val="0"/>
          <w:i w:val="0"/>
          <w:sz w:val="18"/>
        </w:rPr>
        <w:t>7. API et contrats d’entrée</w:t>
      </w:r>
    </w:p>
    <w:p>
      <w:pPr>
        <w:pStyle w:val="ListBullet"/>
        <w:spacing w:before="0" w:after="40" w:line="252" w:lineRule="auto"/>
      </w:pPr>
      <w:r>
        <w:rPr>
          <w:rFonts w:ascii="Liberation Sans" w:hAnsi="Liberation Sans" w:eastAsia="Liberation Sans"/>
          <w:b w:val="0"/>
          <w:i w:val="0"/>
          <w:sz w:val="18"/>
        </w:rPr>
        <w:t>8. Frontend et expérience utilisateur</w:t>
      </w:r>
    </w:p>
    <w:p>
      <w:pPr>
        <w:pStyle w:val="ListBullet"/>
        <w:spacing w:before="0" w:after="40" w:line="252" w:lineRule="auto"/>
      </w:pPr>
      <w:r>
        <w:rPr>
          <w:rFonts w:ascii="Liberation Sans" w:hAnsi="Liberation Sans" w:eastAsia="Liberation Sans"/>
          <w:b w:val="0"/>
          <w:i w:val="0"/>
          <w:sz w:val="18"/>
        </w:rPr>
        <w:t>9. Impression A4, PDF et logo</w:t>
      </w:r>
    </w:p>
    <w:p>
      <w:pPr>
        <w:pStyle w:val="ListBullet"/>
        <w:spacing w:before="0" w:after="40" w:line="252" w:lineRule="auto"/>
      </w:pPr>
      <w:r>
        <w:rPr>
          <w:rFonts w:ascii="Liberation Sans" w:hAnsi="Liberation Sans" w:eastAsia="Liberation Sans"/>
          <w:b w:val="0"/>
          <w:i w:val="0"/>
          <w:sz w:val="18"/>
        </w:rPr>
        <w:t>10. Installation, sécurité et recette</w:t>
      </w:r>
    </w:p>
    <w:p>
      <w:pPr>
        <w:pStyle w:val="ListBullet"/>
        <w:spacing w:before="0" w:after="40" w:line="252" w:lineRule="auto"/>
      </w:pPr>
      <w:r>
        <w:rPr>
          <w:rFonts w:ascii="Liberation Sans" w:hAnsi="Liberation Sans" w:eastAsia="Liberation Sans"/>
          <w:b w:val="0"/>
          <w:i w:val="0"/>
          <w:sz w:val="18"/>
        </w:rPr>
        <w:t>11. Dépannage et règles de maintenance</w:t>
      </w:r>
    </w:p>
    <w:p>
      <w:pPr>
        <w:pStyle w:val="ListBullet"/>
        <w:spacing w:before="0" w:after="40" w:line="252" w:lineRule="auto"/>
      </w:pPr>
      <w:r>
        <w:rPr>
          <w:rFonts w:ascii="Liberation Sans" w:hAnsi="Liberation Sans" w:eastAsia="Liberation Sans"/>
          <w:b w:val="0"/>
          <w:i w:val="0"/>
          <w:sz w:val="18"/>
        </w:rPr>
        <w:t>12. Arborescence livrée</w:t>
      </w:r>
    </w:p>
    <w:p>
      <w:pPr>
        <w:pStyle w:val="Heading1"/>
        <w:keepNext/>
        <w:spacing w:before="200" w:after="100" w:line="240" w:lineRule="auto"/>
      </w:pPr>
      <w:r>
        <w:rPr>
          <w:rFonts w:ascii="Liberation Sans" w:hAnsi="Liberation Sans" w:eastAsia="Liberation Sans"/>
          <w:b/>
          <w:i w:val="0"/>
          <w:color w:val="046242"/>
          <w:sz w:val="28"/>
        </w:rPr>
        <w:t>1. Objet et résultats fonctionnels</w:t>
      </w:r>
    </w:p>
    <w:p>
      <w:pPr>
        <w:spacing w:before="0" w:after="100" w:line="269" w:lineRule="auto"/>
      </w:pPr>
      <w:r>
        <w:rPr>
          <w:rFonts w:ascii="Liberation Sans" w:hAnsi="Liberation Sans" w:eastAsia="Liberation Sans"/>
          <w:b w:val="0"/>
          <w:i w:val="0"/>
          <w:color w:val="0B2536"/>
          <w:sz w:val="19"/>
        </w:rPr>
        <w:t>Le module Évaluations centralise l’évaluation professionnelle annuelle ou périodique des Agents FADES. Il rapproche les données de gestion disponibles, construit une grille pondérée, organise les appréciations humaines et produit une fiche exploitable par l’Agent, la hiérarchie, la RH et la Direction générale.</w:t>
      </w:r>
    </w:p>
    <w:p>
      <w:pPr>
        <w:pStyle w:val="Heading2"/>
        <w:keepNext/>
        <w:spacing w:before="140" w:after="100" w:line="240" w:lineRule="auto"/>
      </w:pPr>
      <w:r>
        <w:rPr>
          <w:rFonts w:ascii="Liberation Sans" w:hAnsi="Liberation Sans" w:eastAsia="Liberation Sans"/>
          <w:b/>
          <w:i w:val="0"/>
          <w:color w:val="0B2536"/>
          <w:sz w:val="23"/>
        </w:rPr>
        <w:t>1.1 Finalités</w:t>
      </w:r>
    </w:p>
    <w:p>
      <w:pPr>
        <w:pStyle w:val="ListBullet"/>
        <w:spacing w:before="0" w:after="40" w:line="252" w:lineRule="auto"/>
      </w:pPr>
      <w:r>
        <w:rPr>
          <w:rFonts w:ascii="Liberation Sans" w:hAnsi="Liberation Sans" w:eastAsia="Liberation Sans"/>
          <w:b w:val="0"/>
          <w:i w:val="0"/>
          <w:sz w:val="18"/>
        </w:rPr>
        <w:t>Disposer d’une évaluation structurée, équitable, traçable et réutilisable.</w:t>
      </w:r>
    </w:p>
    <w:p>
      <w:pPr>
        <w:pStyle w:val="ListBullet"/>
        <w:spacing w:before="0" w:after="40" w:line="252" w:lineRule="auto"/>
      </w:pPr>
      <w:r>
        <w:rPr>
          <w:rFonts w:ascii="Liberation Sans" w:hAnsi="Liberation Sans" w:eastAsia="Liberation Sans"/>
          <w:b w:val="0"/>
          <w:i w:val="0"/>
          <w:sz w:val="18"/>
        </w:rPr>
        <w:t>Éviter la double saisie en réutilisant les données opérationnelles déjà présentes dans FADES-RH.</w:t>
      </w:r>
    </w:p>
    <w:p>
      <w:pPr>
        <w:pStyle w:val="ListBullet"/>
        <w:spacing w:before="0" w:after="40" w:line="252" w:lineRule="auto"/>
      </w:pPr>
      <w:r>
        <w:rPr>
          <w:rFonts w:ascii="Liberation Sans" w:hAnsi="Liberation Sans" w:eastAsia="Liberation Sans"/>
          <w:b w:val="0"/>
          <w:i w:val="0"/>
          <w:sz w:val="18"/>
        </w:rPr>
        <w:t>Distinguer les résultats, les données manquantes et les situations administrativement justifiées.</w:t>
      </w:r>
    </w:p>
    <w:p>
      <w:pPr>
        <w:pStyle w:val="ListBullet"/>
        <w:spacing w:before="0" w:after="40" w:line="252" w:lineRule="auto"/>
      </w:pPr>
      <w:r>
        <w:rPr>
          <w:rFonts w:ascii="Liberation Sans" w:hAnsi="Liberation Sans" w:eastAsia="Liberation Sans"/>
          <w:b w:val="0"/>
          <w:i w:val="0"/>
          <w:sz w:val="18"/>
        </w:rPr>
        <w:t>Préparer une décision RH prudente, assortie d’actions et d’un plan à 90 jours.</w:t>
      </w:r>
    </w:p>
    <w:p>
      <w:pPr>
        <w:pStyle w:val="ListBullet"/>
        <w:spacing w:before="0" w:after="40" w:line="252" w:lineRule="auto"/>
      </w:pPr>
      <w:r>
        <w:rPr>
          <w:rFonts w:ascii="Liberation Sans" w:hAnsi="Liberation Sans" w:eastAsia="Liberation Sans"/>
          <w:b w:val="0"/>
          <w:i w:val="0"/>
          <w:sz w:val="18"/>
        </w:rPr>
        <w:t>Produire un document institutionnel imprimable ou exportable.</w:t>
      </w:r>
    </w:p>
    <w:p>
      <w:pPr>
        <w:pStyle w:val="Heading2"/>
        <w:keepNext/>
        <w:spacing w:before="140" w:after="100" w:line="240" w:lineRule="auto"/>
      </w:pPr>
      <w:r>
        <w:rPr>
          <w:rFonts w:ascii="Liberation Sans" w:hAnsi="Liberation Sans" w:eastAsia="Liberation Sans"/>
          <w:b/>
          <w:i w:val="0"/>
          <w:color w:val="0B2536"/>
          <w:sz w:val="23"/>
        </w:rPr>
        <w:t>1.2 Capacités principales</w:t>
      </w:r>
    </w:p>
    <w:tbl>
      <w:tblPr>
        <w:tblW w:type="auto" w:w="0"/>
        <w:jc w:val="center"/>
        <w:tblLayout w:type="fixed"/>
        <w:tblLook w:firstColumn="1" w:firstRow="1" w:lastColumn="0" w:lastRow="0" w:noHBand="0" w:noVBand="1" w:val="04A0"/>
      </w:tblPr>
      <w:tblGrid>
        <w:gridCol w:w="5156"/>
        <w:gridCol w:w="5156"/>
      </w:tblGrid>
      <w:tr>
        <w:trPr>
          <w:tblHeader w:val="true"/>
        </w:trPr>
        <w:tc>
          <w:tcPr>
            <w:tcW w:type="dxa" w:w="2438"/>
            <w:shd w:fill="046242"/>
            <w:tcBorders>
              <w:top w:val="single" w:sz="6" w:color="046242"/>
              <w:left w:val="single" w:sz="6" w:color="FFFFFF"/>
              <w:bottom w:val="single" w:sz="6" w:color="046242"/>
              <w:right w:val="single" w:sz="6" w:color="FFFFFF"/>
            </w:tcBorders>
            <w:vAlign w:val="center"/>
          </w:tcPr>
          <w:p>
            <w:pPr>
              <w:jc w:val="center"/>
            </w:pPr>
            <w:r>
              <w:rPr>
                <w:rFonts w:ascii="Liberation Sans" w:hAnsi="Liberation Sans" w:eastAsia="Liberation Sans"/>
                <w:b/>
                <w:i w:val="0"/>
                <w:color w:val="FFFFFF"/>
                <w:sz w:val="17"/>
              </w:rPr>
              <w:t>Capacité</w:t>
            </w:r>
          </w:p>
        </w:tc>
        <w:tc>
          <w:tcPr>
            <w:tcW w:type="dxa" w:w="6803"/>
            <w:shd w:fill="046242"/>
            <w:tcBorders>
              <w:top w:val="single" w:sz="6" w:color="046242"/>
              <w:left w:val="single" w:sz="6" w:color="FFFFFF"/>
              <w:bottom w:val="single" w:sz="6" w:color="046242"/>
              <w:right w:val="single" w:sz="6" w:color="FFFFFF"/>
            </w:tcBorders>
            <w:vAlign w:val="center"/>
          </w:tcPr>
          <w:p>
            <w:pPr>
              <w:jc w:val="center"/>
            </w:pPr>
            <w:r>
              <w:rPr>
                <w:rFonts w:ascii="Liberation Sans" w:hAnsi="Liberation Sans" w:eastAsia="Liberation Sans"/>
                <w:b/>
                <w:i w:val="0"/>
                <w:color w:val="FFFFFF"/>
                <w:sz w:val="17"/>
              </w:rPr>
              <w:t>Description</w:t>
            </w:r>
          </w:p>
        </w:tc>
      </w:tr>
      <w:tr>
        <w:trPr>
          <w:cantSplit/>
        </w:trPr>
        <w:tc>
          <w:tcPr>
            <w:tcW w:type="dxa" w:w="2438"/>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7"/>
              </w:rPr>
              <w:t>Fiche d’évaluation</w:t>
            </w:r>
          </w:p>
        </w:tc>
        <w:tc>
          <w:tcPr>
            <w:tcW w:type="dxa" w:w="6803"/>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7"/>
              </w:rPr>
              <w:t>Création, modification, consultation, suppression et archivage éventuel.</w:t>
            </w:r>
          </w:p>
        </w:tc>
      </w:tr>
      <w:tr>
        <w:trPr>
          <w:cantSplit/>
        </w:trPr>
        <w:tc>
          <w:tcPr>
            <w:tcW w:type="dxa" w:w="2438"/>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7"/>
              </w:rPr>
              <w:t>Snapshot Agent</w:t>
            </w:r>
          </w:p>
        </w:tc>
        <w:tc>
          <w:tcPr>
            <w:tcW w:type="dxa" w:w="6803"/>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7"/>
              </w:rPr>
              <w:t>Identité, poste, contrat, Direction et Service conservés dans la fiche.</w:t>
            </w:r>
          </w:p>
        </w:tc>
      </w:tr>
      <w:tr>
        <w:trPr>
          <w:cantSplit/>
        </w:trPr>
        <w:tc>
          <w:tcPr>
            <w:tcW w:type="dxa" w:w="2438"/>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7"/>
              </w:rPr>
              <w:t>Consolidation</w:t>
            </w:r>
          </w:p>
        </w:tc>
        <w:tc>
          <w:tcPr>
            <w:tcW w:type="dxa" w:w="6803"/>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7"/>
              </w:rPr>
              <w:t>Tâches, feuilles de route, pointages, congés et soldes annuels.</w:t>
            </w:r>
          </w:p>
        </w:tc>
      </w:tr>
      <w:tr>
        <w:trPr>
          <w:cantSplit/>
        </w:trPr>
        <w:tc>
          <w:tcPr>
            <w:tcW w:type="dxa" w:w="2438"/>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7"/>
              </w:rPr>
              <w:t>Grille pondérée</w:t>
            </w:r>
          </w:p>
        </w:tc>
        <w:tc>
          <w:tcPr>
            <w:tcW w:type="dxa" w:w="6803"/>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7"/>
              </w:rPr>
              <w:t>Huit critères totalisant 100 %.</w:t>
            </w:r>
          </w:p>
        </w:tc>
      </w:tr>
      <w:tr>
        <w:trPr>
          <w:cantSplit/>
        </w:trPr>
        <w:tc>
          <w:tcPr>
            <w:tcW w:type="dxa" w:w="2438"/>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7"/>
              </w:rPr>
              <w:t>Workflow humain</w:t>
            </w:r>
          </w:p>
        </w:tc>
        <w:tc>
          <w:tcPr>
            <w:tcW w:type="dxa" w:w="6803"/>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7"/>
              </w:rPr>
              <w:t>Auto-évaluation, appréciation hiérarchique et validation RH.</w:t>
            </w:r>
          </w:p>
        </w:tc>
      </w:tr>
      <w:tr>
        <w:trPr>
          <w:cantSplit/>
        </w:trPr>
        <w:tc>
          <w:tcPr>
            <w:tcW w:type="dxa" w:w="2438"/>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7"/>
              </w:rPr>
              <w:t>Moteur HRS</w:t>
            </w:r>
          </w:p>
        </w:tc>
        <w:tc>
          <w:tcPr>
            <w:tcW w:type="dxa" w:w="6803"/>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7"/>
              </w:rPr>
              <w:t>Indices, risque, potentiel, recommandation, briefs et plan 90 jours.</w:t>
            </w:r>
          </w:p>
        </w:tc>
      </w:tr>
      <w:tr>
        <w:trPr>
          <w:cantSplit/>
        </w:trPr>
        <w:tc>
          <w:tcPr>
            <w:tcW w:type="dxa" w:w="2438"/>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7"/>
              </w:rPr>
              <w:t>Documents</w:t>
            </w:r>
          </w:p>
        </w:tc>
        <w:tc>
          <w:tcPr>
            <w:tcW w:type="dxa" w:w="6803"/>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7"/>
              </w:rPr>
              <w:t>CSV, HTML, impression A4 et PDF navigateur.</w:t>
            </w:r>
          </w:p>
        </w:tc>
      </w:tr>
    </w:tbl>
    <w:p>
      <w:pPr>
        <w:spacing w:after="0"/>
      </w:pPr>
    </w:p>
    <w:p>
      <w:pPr>
        <w:pStyle w:val="Heading1"/>
        <w:keepNext/>
        <w:spacing w:before="200" w:after="100" w:line="240" w:lineRule="auto"/>
      </w:pPr>
      <w:r>
        <w:rPr>
          <w:rFonts w:ascii="Liberation Sans" w:hAnsi="Liberation Sans" w:eastAsia="Liberation Sans"/>
          <w:b/>
          <w:i w:val="0"/>
          <w:color w:val="046242"/>
          <w:sz w:val="28"/>
        </w:rPr>
        <w:t>2. Architecture et dépendances</w:t>
      </w:r>
    </w:p>
    <w:p>
      <w:pPr>
        <w:spacing w:before="0" w:after="100" w:line="269" w:lineRule="auto"/>
      </w:pPr>
      <w:r>
        <w:rPr>
          <w:rFonts w:ascii="Liberation Sans" w:hAnsi="Liberation Sans" w:eastAsia="Liberation Sans"/>
          <w:b w:val="0"/>
          <w:i w:val="0"/>
          <w:color w:val="0B2536"/>
          <w:sz w:val="19"/>
        </w:rPr>
        <w:t>Le module suit l’architecture active de FADES-RH : routes Express protégées, contrôleurs fins, service métier central, schémas Zod, modèle Mongoose, types partagés et frontend React Query.</w:t>
      </w:r>
    </w:p>
    <w:p>
      <w:pPr>
        <w:pStyle w:val="Heading2"/>
        <w:keepNext/>
        <w:spacing w:before="140" w:after="100" w:line="240" w:lineRule="auto"/>
      </w:pPr>
      <w:r>
        <w:rPr>
          <w:rFonts w:ascii="Liberation Sans" w:hAnsi="Liberation Sans" w:eastAsia="Liberation Sans"/>
          <w:b/>
          <w:i w:val="0"/>
          <w:color w:val="0B2536"/>
          <w:sz w:val="23"/>
        </w:rPr>
        <w:t>2.1 Backend</w:t>
      </w:r>
    </w:p>
    <w:tbl>
      <w:tblPr>
        <w:tblW w:type="auto" w:w="0"/>
        <w:jc w:val="center"/>
        <w:tblLayout w:type="fixed"/>
        <w:tblLook w:firstColumn="1" w:firstRow="1" w:lastColumn="0" w:lastRow="0" w:noHBand="0" w:noVBand="1" w:val="04A0"/>
      </w:tblPr>
      <w:tblGrid>
        <w:gridCol w:w="5156"/>
        <w:gridCol w:w="5156"/>
      </w:tblGrid>
      <w:tr>
        <w:trPr>
          <w:tblHeader w:val="true"/>
        </w:trPr>
        <w:tc>
          <w:tcPr>
            <w:tcW w:type="dxa" w:w="2835"/>
            <w:shd w:fill="046242"/>
            <w:tcBorders>
              <w:top w:val="single" w:sz="6" w:color="046242"/>
              <w:left w:val="single" w:sz="6" w:color="FFFFFF"/>
              <w:bottom w:val="single" w:sz="6" w:color="046242"/>
              <w:right w:val="single" w:sz="6" w:color="FFFFFF"/>
            </w:tcBorders>
            <w:vAlign w:val="center"/>
          </w:tcPr>
          <w:p>
            <w:pPr>
              <w:jc w:val="center"/>
            </w:pPr>
            <w:r>
              <w:rPr>
                <w:rFonts w:ascii="Liberation Sans" w:hAnsi="Liberation Sans" w:eastAsia="Liberation Sans"/>
                <w:b/>
                <w:i w:val="0"/>
                <w:color w:val="FFFFFF"/>
                <w:sz w:val="16"/>
              </w:rPr>
              <w:t>Fichier</w:t>
            </w:r>
          </w:p>
        </w:tc>
        <w:tc>
          <w:tcPr>
            <w:tcW w:type="dxa" w:w="6406"/>
            <w:shd w:fill="046242"/>
            <w:tcBorders>
              <w:top w:val="single" w:sz="6" w:color="046242"/>
              <w:left w:val="single" w:sz="6" w:color="FFFFFF"/>
              <w:bottom w:val="single" w:sz="6" w:color="046242"/>
              <w:right w:val="single" w:sz="6" w:color="FFFFFF"/>
            </w:tcBorders>
            <w:vAlign w:val="center"/>
          </w:tcPr>
          <w:p>
            <w:pPr>
              <w:jc w:val="center"/>
            </w:pPr>
            <w:r>
              <w:rPr>
                <w:rFonts w:ascii="Liberation Sans" w:hAnsi="Liberation Sans" w:eastAsia="Liberation Sans"/>
                <w:b/>
                <w:i w:val="0"/>
                <w:color w:val="FFFFFF"/>
                <w:sz w:val="16"/>
              </w:rPr>
              <w:t>Responsabilité</w:t>
            </w:r>
          </w:p>
        </w:tc>
      </w:tr>
      <w:tr>
        <w:trPr>
          <w:cantSplit/>
        </w:trPr>
        <w:tc>
          <w:tcPr>
            <w:tcW w:type="dxa" w:w="2835"/>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evaluation.access.ts</w:t>
            </w:r>
          </w:p>
        </w:tc>
        <w:tc>
          <w:tcPr>
            <w:tcW w:type="dxa" w:w="6406"/>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Résolution de l’acteur, scope Direction/Service/Agent et autorisations.</w:t>
            </w:r>
          </w:p>
        </w:tc>
      </w:tr>
      <w:tr>
        <w:trPr>
          <w:cantSplit/>
        </w:trPr>
        <w:tc>
          <w:tcPr>
            <w:tcW w:type="dxa" w:w="2835"/>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evaluation.controller.ts</w:t>
            </w:r>
          </w:p>
        </w:tc>
        <w:tc>
          <w:tcPr>
            <w:tcW w:type="dxa" w:w="6406"/>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Contexte tenant/authentification, validation et réponses HTTP.</w:t>
            </w:r>
          </w:p>
        </w:tc>
      </w:tr>
      <w:tr>
        <w:trPr>
          <w:cantSplit/>
        </w:trPr>
        <w:tc>
          <w:tcPr>
            <w:tcW w:type="dxa" w:w="2835"/>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evaluation.model.ts</w:t>
            </w:r>
          </w:p>
        </w:tc>
        <w:tc>
          <w:tcPr>
            <w:tcW w:type="dxa" w:w="6406"/>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Schémas Mongoose, sous-documents et index.</w:t>
            </w:r>
          </w:p>
        </w:tc>
      </w:tr>
      <w:tr>
        <w:trPr>
          <w:cantSplit/>
        </w:trPr>
        <w:tc>
          <w:tcPr>
            <w:tcW w:type="dxa" w:w="2835"/>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evaluation.routes.ts</w:t>
            </w:r>
          </w:p>
        </w:tc>
        <w:tc>
          <w:tcPr>
            <w:tcW w:type="dxa" w:w="6406"/>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Déclaration des routes, tenantContextMiddleware et requireAuth.</w:t>
            </w:r>
          </w:p>
        </w:tc>
      </w:tr>
      <w:tr>
        <w:trPr>
          <w:cantSplit/>
        </w:trPr>
        <w:tc>
          <w:tcPr>
            <w:tcW w:type="dxa" w:w="2835"/>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evaluation.schema.ts</w:t>
            </w:r>
          </w:p>
        </w:tc>
        <w:tc>
          <w:tcPr>
            <w:tcW w:type="dxa" w:w="6406"/>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Validation Zod des créations, modifications, revues, filtres et identifiants.</w:t>
            </w:r>
          </w:p>
        </w:tc>
      </w:tr>
      <w:tr>
        <w:trPr>
          <w:cantSplit/>
        </w:trPr>
        <w:tc>
          <w:tcPr>
            <w:tcW w:type="dxa" w:w="2835"/>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evaluation.service.ts</w:t>
            </w:r>
          </w:p>
        </w:tc>
        <w:tc>
          <w:tcPr>
            <w:tcW w:type="dxa" w:w="6406"/>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Consolidation, calcul, interprétation, CRUD, recalcul et export.</w:t>
            </w:r>
          </w:p>
        </w:tc>
      </w:tr>
      <w:tr>
        <w:trPr>
          <w:cantSplit/>
        </w:trPr>
        <w:tc>
          <w:tcPr>
            <w:tcW w:type="dxa" w:w="2835"/>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evaluation.types.ts</w:t>
            </w:r>
          </w:p>
        </w:tc>
        <w:tc>
          <w:tcPr>
            <w:tcW w:type="dxa" w:w="6406"/>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Types métier, documents Mongoose et contrats publics.</w:t>
            </w:r>
          </w:p>
        </w:tc>
      </w:tr>
    </w:tbl>
    <w:p>
      <w:pPr>
        <w:spacing w:after="0"/>
      </w:pPr>
    </w:p>
    <w:p>
      <w:pPr>
        <w:pStyle w:val="Heading2"/>
        <w:keepNext/>
        <w:spacing w:before="140" w:after="100" w:line="240" w:lineRule="auto"/>
      </w:pPr>
      <w:r>
        <w:rPr>
          <w:rFonts w:ascii="Liberation Sans" w:hAnsi="Liberation Sans" w:eastAsia="Liberation Sans"/>
          <w:b/>
          <w:i w:val="0"/>
          <w:color w:val="0B2536"/>
          <w:sz w:val="23"/>
        </w:rPr>
        <w:t>2.2 Frontend</w:t>
      </w:r>
    </w:p>
    <w:tbl>
      <w:tblPr>
        <w:tblW w:type="auto" w:w="0"/>
        <w:jc w:val="center"/>
        <w:tblLayout w:type="fixed"/>
        <w:tblLook w:firstColumn="1" w:firstRow="1" w:lastColumn="0" w:lastRow="0" w:noHBand="0" w:noVBand="1" w:val="04A0"/>
      </w:tblPr>
      <w:tblGrid>
        <w:gridCol w:w="5156"/>
        <w:gridCol w:w="5156"/>
      </w:tblGrid>
      <w:tr>
        <w:trPr>
          <w:tblHeader w:val="true"/>
        </w:trPr>
        <w:tc>
          <w:tcPr>
            <w:tcW w:type="dxa" w:w="2835"/>
            <w:shd w:fill="046242"/>
            <w:tcBorders>
              <w:top w:val="single" w:sz="6" w:color="046242"/>
              <w:left w:val="single" w:sz="6" w:color="FFFFFF"/>
              <w:bottom w:val="single" w:sz="6" w:color="046242"/>
              <w:right w:val="single" w:sz="6" w:color="FFFFFF"/>
            </w:tcBorders>
            <w:vAlign w:val="center"/>
          </w:tcPr>
          <w:p>
            <w:pPr>
              <w:jc w:val="center"/>
            </w:pPr>
            <w:r>
              <w:rPr>
                <w:rFonts w:ascii="Liberation Sans" w:hAnsi="Liberation Sans" w:eastAsia="Liberation Sans"/>
                <w:b/>
                <w:i w:val="0"/>
                <w:color w:val="FFFFFF"/>
                <w:sz w:val="16"/>
              </w:rPr>
              <w:t>Fichier</w:t>
            </w:r>
          </w:p>
        </w:tc>
        <w:tc>
          <w:tcPr>
            <w:tcW w:type="dxa" w:w="6406"/>
            <w:shd w:fill="046242"/>
            <w:tcBorders>
              <w:top w:val="single" w:sz="6" w:color="046242"/>
              <w:left w:val="single" w:sz="6" w:color="FFFFFF"/>
              <w:bottom w:val="single" w:sz="6" w:color="046242"/>
              <w:right w:val="single" w:sz="6" w:color="FFFFFF"/>
            </w:tcBorders>
            <w:vAlign w:val="center"/>
          </w:tcPr>
          <w:p>
            <w:pPr>
              <w:jc w:val="center"/>
            </w:pPr>
            <w:r>
              <w:rPr>
                <w:rFonts w:ascii="Liberation Sans" w:hAnsi="Liberation Sans" w:eastAsia="Liberation Sans"/>
                <w:b/>
                <w:i w:val="0"/>
                <w:color w:val="FFFFFF"/>
                <w:sz w:val="16"/>
              </w:rPr>
              <w:t>Responsabilité</w:t>
            </w:r>
          </w:p>
        </w:tc>
      </w:tr>
      <w:tr>
        <w:trPr>
          <w:cantSplit/>
        </w:trPr>
        <w:tc>
          <w:tcPr>
            <w:tcW w:type="dxa" w:w="2835"/>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evaluation.api.ts</w:t>
            </w:r>
          </w:p>
        </w:tc>
        <w:tc>
          <w:tcPr>
            <w:tcW w:type="dxa" w:w="6406"/>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Client HTTP et téléchargement CSV.</w:t>
            </w:r>
          </w:p>
        </w:tc>
      </w:tr>
      <w:tr>
        <w:trPr>
          <w:cantSplit/>
        </w:trPr>
        <w:tc>
          <w:tcPr>
            <w:tcW w:type="dxa" w:w="2835"/>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evaluation.types.ts</w:t>
            </w:r>
          </w:p>
        </w:tc>
        <w:tc>
          <w:tcPr>
            <w:tcW w:type="dxa" w:w="6406"/>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Contrats UI/API.</w:t>
            </w:r>
          </w:p>
        </w:tc>
      </w:tr>
      <w:tr>
        <w:trPr>
          <w:cantSplit/>
        </w:trPr>
        <w:tc>
          <w:tcPr>
            <w:tcW w:type="dxa" w:w="2835"/>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EvaluationsPage.tsx</w:t>
            </w:r>
          </w:p>
        </w:tc>
        <w:tc>
          <w:tcPr>
            <w:tcW w:type="dxa" w:w="6406"/>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Registre, statistiques, filtres, pagination et mutations.</w:t>
            </w:r>
          </w:p>
        </w:tc>
      </w:tr>
      <w:tr>
        <w:trPr>
          <w:cantSplit/>
        </w:trPr>
        <w:tc>
          <w:tcPr>
            <w:tcW w:type="dxa" w:w="2835"/>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EvaluationFormModal.tsx</w:t>
            </w:r>
          </w:p>
        </w:tc>
        <w:tc>
          <w:tcPr>
            <w:tcW w:type="dxa" w:w="6406"/>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Création/modification et liens probants.</w:t>
            </w:r>
          </w:p>
        </w:tc>
      </w:tr>
      <w:tr>
        <w:trPr>
          <w:cantSplit/>
        </w:trPr>
        <w:tc>
          <w:tcPr>
            <w:tcW w:type="dxa" w:w="2835"/>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EvaluationDetailsDrawer.tsx</w:t>
            </w:r>
          </w:p>
        </w:tc>
        <w:tc>
          <w:tcPr>
            <w:tcW w:type="dxa" w:w="6406"/>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Synthèse, revues, validation, impression et HTML.</w:t>
            </w:r>
          </w:p>
        </w:tc>
      </w:tr>
      <w:tr>
        <w:trPr>
          <w:cantSplit/>
        </w:trPr>
        <w:tc>
          <w:tcPr>
            <w:tcW w:type="dxa" w:w="2835"/>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evaluation-page.css</w:t>
            </w:r>
          </w:p>
        </w:tc>
        <w:tc>
          <w:tcPr>
            <w:tcW w:type="dxa" w:w="6406"/>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Charte responsive, écran, A4 et impression.</w:t>
            </w:r>
          </w:p>
        </w:tc>
      </w:tr>
    </w:tbl>
    <w:p>
      <w:pPr>
        <w:spacing w:after="0"/>
      </w:pPr>
    </w:p>
    <w:p>
      <w:pPr>
        <w:pStyle w:val="Heading2"/>
        <w:keepNext/>
        <w:spacing w:before="140" w:after="100" w:line="240" w:lineRule="auto"/>
      </w:pPr>
      <w:r>
        <w:rPr>
          <w:rFonts w:ascii="Liberation Sans" w:hAnsi="Liberation Sans" w:eastAsia="Liberation Sans"/>
          <w:b/>
          <w:i w:val="0"/>
          <w:color w:val="0B2536"/>
          <w:sz w:val="23"/>
        </w:rPr>
        <w:t>2.3 Modèles sources</w:t>
      </w:r>
    </w:p>
    <w:tbl>
      <w:tblPr>
        <w:tblW w:type="auto" w:w="0"/>
        <w:jc w:val="center"/>
        <w:tblLayout w:type="fixed"/>
        <w:tblLook w:firstColumn="1" w:firstRow="1" w:lastColumn="0" w:lastRow="0" w:noHBand="0" w:noVBand="1" w:val="04A0"/>
      </w:tblPr>
      <w:tblGrid>
        <w:gridCol w:w="5156"/>
        <w:gridCol w:w="5156"/>
      </w:tblGrid>
      <w:tr>
        <w:trPr>
          <w:tblHeader w:val="true"/>
        </w:trPr>
        <w:tc>
          <w:tcPr>
            <w:tcW w:type="dxa" w:w="2608"/>
            <w:shd w:fill="046242"/>
            <w:tcBorders>
              <w:top w:val="single" w:sz="6" w:color="046242"/>
              <w:left w:val="single" w:sz="6" w:color="FFFFFF"/>
              <w:bottom w:val="single" w:sz="6" w:color="046242"/>
              <w:right w:val="single" w:sz="6" w:color="FFFFFF"/>
            </w:tcBorders>
            <w:vAlign w:val="center"/>
          </w:tcPr>
          <w:p>
            <w:pPr>
              <w:jc w:val="center"/>
            </w:pPr>
            <w:r>
              <w:rPr>
                <w:rFonts w:ascii="Liberation Sans" w:hAnsi="Liberation Sans" w:eastAsia="Liberation Sans"/>
                <w:b/>
                <w:i w:val="0"/>
                <w:color w:val="FFFFFF"/>
                <w:sz w:val="16"/>
              </w:rPr>
              <w:t>Modèle</w:t>
            </w:r>
          </w:p>
        </w:tc>
        <w:tc>
          <w:tcPr>
            <w:tcW w:type="dxa" w:w="6633"/>
            <w:shd w:fill="046242"/>
            <w:tcBorders>
              <w:top w:val="single" w:sz="6" w:color="046242"/>
              <w:left w:val="single" w:sz="6" w:color="FFFFFF"/>
              <w:bottom w:val="single" w:sz="6" w:color="046242"/>
              <w:right w:val="single" w:sz="6" w:color="FFFFFF"/>
            </w:tcBorders>
            <w:vAlign w:val="center"/>
          </w:tcPr>
          <w:p>
            <w:pPr>
              <w:jc w:val="center"/>
            </w:pPr>
            <w:r>
              <w:rPr>
                <w:rFonts w:ascii="Liberation Sans" w:hAnsi="Liberation Sans" w:eastAsia="Liberation Sans"/>
                <w:b/>
                <w:i w:val="0"/>
                <w:color w:val="FFFFFF"/>
                <w:sz w:val="16"/>
              </w:rPr>
              <w:t>Données exploitées</w:t>
            </w:r>
          </w:p>
        </w:tc>
      </w:tr>
      <w:tr>
        <w:trPr>
          <w:cantSplit/>
        </w:trPr>
        <w:tc>
          <w:tcPr>
            <w:tcW w:type="dxa" w:w="2608"/>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AgentModel</w:t>
            </w:r>
          </w:p>
        </w:tc>
        <w:tc>
          <w:tcPr>
            <w:tcW w:type="dxa" w:w="6633"/>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Identité, matricule, poste, contrat, statut, Direction et Service.</w:t>
            </w:r>
          </w:p>
        </w:tc>
      </w:tr>
      <w:tr>
        <w:trPr>
          <w:cantSplit/>
        </w:trPr>
        <w:tc>
          <w:tcPr>
            <w:tcW w:type="dxa" w:w="2608"/>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OrganizationUnitModel</w:t>
            </w:r>
          </w:p>
        </w:tc>
        <w:tc>
          <w:tcPr>
            <w:tcW w:type="dxa" w:w="6633"/>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Nom, code, type, parentId et statut des unités.</w:t>
            </w:r>
          </w:p>
        </w:tc>
      </w:tr>
      <w:tr>
        <w:trPr>
          <w:cantSplit/>
        </w:trPr>
        <w:tc>
          <w:tcPr>
            <w:tcW w:type="dxa" w:w="2608"/>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UserModel</w:t>
            </w:r>
          </w:p>
        </w:tc>
        <w:tc>
          <w:tcPr>
            <w:tcW w:type="dxa" w:w="6633"/>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Lien utilisateur/Agent et résolution des responsables.</w:t>
            </w:r>
          </w:p>
        </w:tc>
      </w:tr>
      <w:tr>
        <w:trPr>
          <w:cantSplit/>
        </w:trPr>
        <w:tc>
          <w:tcPr>
            <w:tcW w:type="dxa" w:w="2608"/>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TaskModel</w:t>
            </w:r>
          </w:p>
        </w:tc>
        <w:tc>
          <w:tcPr>
            <w:tcW w:type="dxa" w:w="6633"/>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Affectations, statuts, dates, progression et retards.</w:t>
            </w:r>
          </w:p>
        </w:tc>
      </w:tr>
      <w:tr>
        <w:trPr>
          <w:cantSplit/>
        </w:trPr>
        <w:tc>
          <w:tcPr>
            <w:tcW w:type="dxa" w:w="2608"/>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RoadmapModel</w:t>
            </w:r>
          </w:p>
        </w:tc>
        <w:tc>
          <w:tcPr>
            <w:tcW w:type="dxa" w:w="6633"/>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Année, statut, items, progression et résultats.</w:t>
            </w:r>
          </w:p>
        </w:tc>
      </w:tr>
      <w:tr>
        <w:trPr>
          <w:cantSplit/>
        </w:trPr>
        <w:tc>
          <w:tcPr>
            <w:tcW w:type="dxa" w:w="2608"/>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AttendanceModel</w:t>
            </w:r>
          </w:p>
        </w:tc>
        <w:tc>
          <w:tcPr>
            <w:tcW w:type="dxa" w:w="6633"/>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Présence, absence, retard, minutes travaillées/supplémentaires.</w:t>
            </w:r>
          </w:p>
        </w:tc>
      </w:tr>
      <w:tr>
        <w:trPr>
          <w:cantSplit/>
        </w:trPr>
        <w:tc>
          <w:tcPr>
            <w:tcW w:type="dxa" w:w="2608"/>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LeaveRequestModel</w:t>
            </w:r>
          </w:p>
        </w:tc>
        <w:tc>
          <w:tcPr>
            <w:tcW w:type="dxa" w:w="6633"/>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Type, période, jours demandés et statut de décision.</w:t>
            </w:r>
          </w:p>
        </w:tc>
      </w:tr>
      <w:tr>
        <w:trPr>
          <w:cantSplit/>
        </w:trPr>
        <w:tc>
          <w:tcPr>
            <w:tcW w:type="dxa" w:w="2608"/>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LeaveBalanceModel</w:t>
            </w:r>
          </w:p>
        </w:tc>
        <w:tc>
          <w:tcPr>
            <w:tcW w:type="dxa" w:w="6633"/>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Droits, report, ajustement, consommation et solde annuel.</w:t>
            </w:r>
          </w:p>
        </w:tc>
      </w:tr>
    </w:tbl>
    <w:p>
      <w:pPr>
        <w:spacing w:after="0"/>
      </w:pPr>
    </w:p>
    <w:p>
      <w:pPr>
        <w:pStyle w:val="Heading1"/>
        <w:keepNext/>
        <w:spacing w:before="200" w:after="100" w:line="240" w:lineRule="auto"/>
      </w:pPr>
      <w:r>
        <w:rPr>
          <w:rFonts w:ascii="Liberation Sans" w:hAnsi="Liberation Sans" w:eastAsia="Liberation Sans"/>
          <w:b/>
          <w:i w:val="0"/>
          <w:color w:val="046242"/>
          <w:sz w:val="28"/>
        </w:rPr>
        <w:t>3. Rôles, périmètres et cycle de vie</w:t>
      </w:r>
    </w:p>
    <w:p>
      <w:pPr>
        <w:pStyle w:val="Heading2"/>
        <w:keepNext/>
        <w:spacing w:before="140" w:after="100" w:line="240" w:lineRule="auto"/>
      </w:pPr>
      <w:r>
        <w:rPr>
          <w:rFonts w:ascii="Liberation Sans" w:hAnsi="Liberation Sans" w:eastAsia="Liberation Sans"/>
          <w:b/>
          <w:i w:val="0"/>
          <w:color w:val="0B2536"/>
          <w:sz w:val="23"/>
        </w:rPr>
        <w:t>3.1 Matrice des droits</w:t>
      </w:r>
    </w:p>
    <w:tbl>
      <w:tblPr>
        <w:tblW w:type="auto" w:w="0"/>
        <w:jc w:val="center"/>
        <w:tblLayout w:type="fixed"/>
        <w:tblLook w:firstColumn="1" w:firstRow="1" w:lastColumn="0" w:lastRow="0" w:noHBand="0" w:noVBand="1" w:val="04A0"/>
      </w:tblPr>
      <w:tblGrid>
        <w:gridCol w:w="1719"/>
        <w:gridCol w:w="1719"/>
        <w:gridCol w:w="1719"/>
        <w:gridCol w:w="1719"/>
        <w:gridCol w:w="1719"/>
        <w:gridCol w:w="1719"/>
      </w:tblGrid>
      <w:tr>
        <w:trPr>
          <w:tblHeader w:val="true"/>
        </w:trPr>
        <w:tc>
          <w:tcPr>
            <w:tcW w:type="dxa" w:w="2324"/>
            <w:shd w:fill="046242"/>
            <w:tcBorders>
              <w:top w:val="single" w:sz="6" w:color="046242"/>
              <w:left w:val="single" w:sz="6" w:color="FFFFFF"/>
              <w:bottom w:val="single" w:sz="6" w:color="046242"/>
              <w:right w:val="single" w:sz="6" w:color="FFFFFF"/>
            </w:tcBorders>
            <w:vAlign w:val="center"/>
          </w:tcPr>
          <w:p>
            <w:pPr>
              <w:jc w:val="center"/>
            </w:pPr>
            <w:r>
              <w:rPr>
                <w:rFonts w:ascii="Liberation Sans" w:hAnsi="Liberation Sans" w:eastAsia="Liberation Sans"/>
                <w:b/>
                <w:i w:val="0"/>
                <w:color w:val="FFFFFF"/>
                <w:sz w:val="15"/>
              </w:rPr>
              <w:t>Action</w:t>
            </w:r>
          </w:p>
        </w:tc>
        <w:tc>
          <w:tcPr>
            <w:tcW w:type="dxa" w:w="1134"/>
            <w:shd w:fill="046242"/>
            <w:tcBorders>
              <w:top w:val="single" w:sz="6" w:color="046242"/>
              <w:left w:val="single" w:sz="6" w:color="FFFFFF"/>
              <w:bottom w:val="single" w:sz="6" w:color="046242"/>
              <w:right w:val="single" w:sz="6" w:color="FFFFFF"/>
            </w:tcBorders>
            <w:vAlign w:val="center"/>
          </w:tcPr>
          <w:p>
            <w:pPr>
              <w:jc w:val="center"/>
            </w:pPr>
            <w:r>
              <w:rPr>
                <w:rFonts w:ascii="Liberation Sans" w:hAnsi="Liberation Sans" w:eastAsia="Liberation Sans"/>
                <w:b/>
                <w:i w:val="0"/>
                <w:color w:val="FFFFFF"/>
                <w:sz w:val="15"/>
              </w:rPr>
              <w:t>Admin</w:t>
            </w:r>
          </w:p>
        </w:tc>
        <w:tc>
          <w:tcPr>
            <w:tcW w:type="dxa" w:w="1134"/>
            <w:shd w:fill="046242"/>
            <w:tcBorders>
              <w:top w:val="single" w:sz="6" w:color="046242"/>
              <w:left w:val="single" w:sz="6" w:color="FFFFFF"/>
              <w:bottom w:val="single" w:sz="6" w:color="046242"/>
              <w:right w:val="single" w:sz="6" w:color="FFFFFF"/>
            </w:tcBorders>
            <w:vAlign w:val="center"/>
          </w:tcPr>
          <w:p>
            <w:pPr>
              <w:jc w:val="center"/>
            </w:pPr>
            <w:r>
              <w:rPr>
                <w:rFonts w:ascii="Liberation Sans" w:hAnsi="Liberation Sans" w:eastAsia="Liberation Sans"/>
                <w:b/>
                <w:i w:val="0"/>
                <w:color w:val="FFFFFF"/>
                <w:sz w:val="15"/>
              </w:rPr>
              <w:t>RH</w:t>
            </w:r>
          </w:p>
        </w:tc>
        <w:tc>
          <w:tcPr>
            <w:tcW w:type="dxa" w:w="1531"/>
            <w:shd w:fill="046242"/>
            <w:tcBorders>
              <w:top w:val="single" w:sz="6" w:color="046242"/>
              <w:left w:val="single" w:sz="6" w:color="FFFFFF"/>
              <w:bottom w:val="single" w:sz="6" w:color="046242"/>
              <w:right w:val="single" w:sz="6" w:color="FFFFFF"/>
            </w:tcBorders>
            <w:vAlign w:val="center"/>
          </w:tcPr>
          <w:p>
            <w:pPr>
              <w:jc w:val="center"/>
            </w:pPr>
            <w:r>
              <w:rPr>
                <w:rFonts w:ascii="Liberation Sans" w:hAnsi="Liberation Sans" w:eastAsia="Liberation Sans"/>
                <w:b/>
                <w:i w:val="0"/>
                <w:color w:val="FFFFFF"/>
                <w:sz w:val="15"/>
              </w:rPr>
              <w:t>Direction</w:t>
            </w:r>
          </w:p>
        </w:tc>
        <w:tc>
          <w:tcPr>
            <w:tcW w:type="dxa" w:w="1587"/>
            <w:shd w:fill="046242"/>
            <w:tcBorders>
              <w:top w:val="single" w:sz="6" w:color="046242"/>
              <w:left w:val="single" w:sz="6" w:color="FFFFFF"/>
              <w:bottom w:val="single" w:sz="6" w:color="046242"/>
              <w:right w:val="single" w:sz="6" w:color="FFFFFF"/>
            </w:tcBorders>
            <w:vAlign w:val="center"/>
          </w:tcPr>
          <w:p>
            <w:pPr>
              <w:jc w:val="center"/>
            </w:pPr>
            <w:r>
              <w:rPr>
                <w:rFonts w:ascii="Liberation Sans" w:hAnsi="Liberation Sans" w:eastAsia="Liberation Sans"/>
                <w:b/>
                <w:i w:val="0"/>
                <w:color w:val="FFFFFF"/>
                <w:sz w:val="15"/>
              </w:rPr>
              <w:t>Chef service</w:t>
            </w:r>
          </w:p>
        </w:tc>
        <w:tc>
          <w:tcPr>
            <w:tcW w:type="dxa" w:w="1247"/>
            <w:shd w:fill="046242"/>
            <w:tcBorders>
              <w:top w:val="single" w:sz="6" w:color="046242"/>
              <w:left w:val="single" w:sz="6" w:color="FFFFFF"/>
              <w:bottom w:val="single" w:sz="6" w:color="046242"/>
              <w:right w:val="single" w:sz="6" w:color="FFFFFF"/>
            </w:tcBorders>
            <w:vAlign w:val="center"/>
          </w:tcPr>
          <w:p>
            <w:pPr>
              <w:jc w:val="center"/>
            </w:pPr>
            <w:r>
              <w:rPr>
                <w:rFonts w:ascii="Liberation Sans" w:hAnsi="Liberation Sans" w:eastAsia="Liberation Sans"/>
                <w:b/>
                <w:i w:val="0"/>
                <w:color w:val="FFFFFF"/>
                <w:sz w:val="15"/>
              </w:rPr>
              <w:t>Agent</w:t>
            </w:r>
          </w:p>
        </w:tc>
      </w:tr>
      <w:tr>
        <w:trPr>
          <w:cantSplit/>
        </w:trPr>
        <w:tc>
          <w:tcPr>
            <w:tcW w:type="dxa" w:w="2324"/>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Consulter</w:t>
            </w:r>
          </w:p>
        </w:tc>
        <w:tc>
          <w:tcPr>
            <w:tcW w:type="dxa" w:w="1134"/>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Global</w:t>
            </w:r>
          </w:p>
        </w:tc>
        <w:tc>
          <w:tcPr>
            <w:tcW w:type="dxa" w:w="1134"/>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Global</w:t>
            </w:r>
          </w:p>
        </w:tc>
        <w:tc>
          <w:tcPr>
            <w:tcW w:type="dxa" w:w="1531"/>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Direction</w:t>
            </w:r>
          </w:p>
        </w:tc>
        <w:tc>
          <w:tcPr>
            <w:tcW w:type="dxa" w:w="1587"/>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Service</w:t>
            </w:r>
          </w:p>
        </w:tc>
        <w:tc>
          <w:tcPr>
            <w:tcW w:type="dxa" w:w="1247"/>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Soi</w:t>
            </w:r>
          </w:p>
        </w:tc>
      </w:tr>
      <w:tr>
        <w:trPr>
          <w:cantSplit/>
        </w:trPr>
        <w:tc>
          <w:tcPr>
            <w:tcW w:type="dxa" w:w="2324"/>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Créer / modifier</w:t>
            </w:r>
          </w:p>
        </w:tc>
        <w:tc>
          <w:tcPr>
            <w:tcW w:type="dxa" w:w="1134"/>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Oui</w:t>
            </w:r>
          </w:p>
        </w:tc>
        <w:tc>
          <w:tcPr>
            <w:tcW w:type="dxa" w:w="1134"/>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Oui</w:t>
            </w:r>
          </w:p>
        </w:tc>
        <w:tc>
          <w:tcPr>
            <w:tcW w:type="dxa" w:w="1531"/>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Non</w:t>
            </w:r>
          </w:p>
        </w:tc>
        <w:tc>
          <w:tcPr>
            <w:tcW w:type="dxa" w:w="1587"/>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Non</w:t>
            </w:r>
          </w:p>
        </w:tc>
        <w:tc>
          <w:tcPr>
            <w:tcW w:type="dxa" w:w="1247"/>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Non</w:t>
            </w:r>
          </w:p>
        </w:tc>
      </w:tr>
      <w:tr>
        <w:trPr>
          <w:cantSplit/>
        </w:trPr>
        <w:tc>
          <w:tcPr>
            <w:tcW w:type="dxa" w:w="2324"/>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Auto-évaluation</w:t>
            </w:r>
          </w:p>
        </w:tc>
        <w:tc>
          <w:tcPr>
            <w:tcW w:type="dxa" w:w="1134"/>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Oui</w:t>
            </w:r>
          </w:p>
        </w:tc>
        <w:tc>
          <w:tcPr>
            <w:tcW w:type="dxa" w:w="1134"/>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Oui</w:t>
            </w:r>
          </w:p>
        </w:tc>
        <w:tc>
          <w:tcPr>
            <w:tcW w:type="dxa" w:w="1531"/>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Propre fiche</w:t>
            </w:r>
          </w:p>
        </w:tc>
        <w:tc>
          <w:tcPr>
            <w:tcW w:type="dxa" w:w="1587"/>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Propre fiche</w:t>
            </w:r>
          </w:p>
        </w:tc>
        <w:tc>
          <w:tcPr>
            <w:tcW w:type="dxa" w:w="1247"/>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Propre fiche</w:t>
            </w:r>
          </w:p>
        </w:tc>
      </w:tr>
      <w:tr>
        <w:trPr>
          <w:cantSplit/>
        </w:trPr>
        <w:tc>
          <w:tcPr>
            <w:tcW w:type="dxa" w:w="2324"/>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Appréciation hiérarchique</w:t>
            </w:r>
          </w:p>
        </w:tc>
        <w:tc>
          <w:tcPr>
            <w:tcW w:type="dxa" w:w="1134"/>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Oui</w:t>
            </w:r>
          </w:p>
        </w:tc>
        <w:tc>
          <w:tcPr>
            <w:tcW w:type="dxa" w:w="1134"/>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Oui</w:t>
            </w:r>
          </w:p>
        </w:tc>
        <w:tc>
          <w:tcPr>
            <w:tcW w:type="dxa" w:w="1531"/>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Direction</w:t>
            </w:r>
          </w:p>
        </w:tc>
        <w:tc>
          <w:tcPr>
            <w:tcW w:type="dxa" w:w="1587"/>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Service</w:t>
            </w:r>
          </w:p>
        </w:tc>
        <w:tc>
          <w:tcPr>
            <w:tcW w:type="dxa" w:w="1247"/>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Non</w:t>
            </w:r>
          </w:p>
        </w:tc>
      </w:tr>
      <w:tr>
        <w:trPr>
          <w:cantSplit/>
        </w:trPr>
        <w:tc>
          <w:tcPr>
            <w:tcW w:type="dxa" w:w="2324"/>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Validation RH</w:t>
            </w:r>
          </w:p>
        </w:tc>
        <w:tc>
          <w:tcPr>
            <w:tcW w:type="dxa" w:w="1134"/>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Oui</w:t>
            </w:r>
          </w:p>
        </w:tc>
        <w:tc>
          <w:tcPr>
            <w:tcW w:type="dxa" w:w="1134"/>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Oui</w:t>
            </w:r>
          </w:p>
        </w:tc>
        <w:tc>
          <w:tcPr>
            <w:tcW w:type="dxa" w:w="1531"/>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Non</w:t>
            </w:r>
          </w:p>
        </w:tc>
        <w:tc>
          <w:tcPr>
            <w:tcW w:type="dxa" w:w="1587"/>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Non</w:t>
            </w:r>
          </w:p>
        </w:tc>
        <w:tc>
          <w:tcPr>
            <w:tcW w:type="dxa" w:w="1247"/>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Non</w:t>
            </w:r>
          </w:p>
        </w:tc>
      </w:tr>
      <w:tr>
        <w:trPr>
          <w:cantSplit/>
        </w:trPr>
        <w:tc>
          <w:tcPr>
            <w:tcW w:type="dxa" w:w="2324"/>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Recalcul HRS</w:t>
            </w:r>
          </w:p>
        </w:tc>
        <w:tc>
          <w:tcPr>
            <w:tcW w:type="dxa" w:w="1134"/>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Oui</w:t>
            </w:r>
          </w:p>
        </w:tc>
        <w:tc>
          <w:tcPr>
            <w:tcW w:type="dxa" w:w="1134"/>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Oui</w:t>
            </w:r>
          </w:p>
        </w:tc>
        <w:tc>
          <w:tcPr>
            <w:tcW w:type="dxa" w:w="1531"/>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Non</w:t>
            </w:r>
          </w:p>
        </w:tc>
        <w:tc>
          <w:tcPr>
            <w:tcW w:type="dxa" w:w="1587"/>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Non</w:t>
            </w:r>
          </w:p>
        </w:tc>
        <w:tc>
          <w:tcPr>
            <w:tcW w:type="dxa" w:w="1247"/>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Non</w:t>
            </w:r>
          </w:p>
        </w:tc>
      </w:tr>
      <w:tr>
        <w:trPr>
          <w:cantSplit/>
        </w:trPr>
        <w:tc>
          <w:tcPr>
            <w:tcW w:type="dxa" w:w="2324"/>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Supprimer</w:t>
            </w:r>
          </w:p>
        </w:tc>
        <w:tc>
          <w:tcPr>
            <w:tcW w:type="dxa" w:w="1134"/>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Oui</w:t>
            </w:r>
          </w:p>
        </w:tc>
        <w:tc>
          <w:tcPr>
            <w:tcW w:type="dxa" w:w="1134"/>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Oui</w:t>
            </w:r>
          </w:p>
        </w:tc>
        <w:tc>
          <w:tcPr>
            <w:tcW w:type="dxa" w:w="1531"/>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Non</w:t>
            </w:r>
          </w:p>
        </w:tc>
        <w:tc>
          <w:tcPr>
            <w:tcW w:type="dxa" w:w="1587"/>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Non</w:t>
            </w:r>
          </w:p>
        </w:tc>
        <w:tc>
          <w:tcPr>
            <w:tcW w:type="dxa" w:w="1247"/>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Non</w:t>
            </w:r>
          </w:p>
        </w:tc>
      </w:tr>
      <w:tr>
        <w:trPr>
          <w:cantSplit/>
        </w:trPr>
        <w:tc>
          <w:tcPr>
            <w:tcW w:type="dxa" w:w="2324"/>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Stats / CSV</w:t>
            </w:r>
          </w:p>
        </w:tc>
        <w:tc>
          <w:tcPr>
            <w:tcW w:type="dxa" w:w="1134"/>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Scope</w:t>
            </w:r>
          </w:p>
        </w:tc>
        <w:tc>
          <w:tcPr>
            <w:tcW w:type="dxa" w:w="1134"/>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Scope</w:t>
            </w:r>
          </w:p>
        </w:tc>
        <w:tc>
          <w:tcPr>
            <w:tcW w:type="dxa" w:w="1531"/>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Scope</w:t>
            </w:r>
          </w:p>
        </w:tc>
        <w:tc>
          <w:tcPr>
            <w:tcW w:type="dxa" w:w="1587"/>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Scope</w:t>
            </w:r>
          </w:p>
        </w:tc>
        <w:tc>
          <w:tcPr>
            <w:tcW w:type="dxa" w:w="1247"/>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Scope</w:t>
            </w:r>
          </w:p>
        </w:tc>
      </w:tr>
    </w:tbl>
    <w:p>
      <w:pPr>
        <w:spacing w:after="0"/>
      </w:pPr>
    </w:p>
    <w:p>
      <w:pPr>
        <w:pStyle w:val="Heading2"/>
        <w:keepNext/>
        <w:spacing w:before="140" w:after="100" w:line="240" w:lineRule="auto"/>
      </w:pPr>
      <w:r>
        <w:rPr>
          <w:rFonts w:ascii="Liberation Sans" w:hAnsi="Liberation Sans" w:eastAsia="Liberation Sans"/>
          <w:b/>
          <w:i w:val="0"/>
          <w:color w:val="0B2536"/>
          <w:sz w:val="23"/>
        </w:rPr>
        <w:t>3.2 États</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814"/>
            <w:shd w:fill="046242"/>
            <w:tcBorders>
              <w:top w:val="single" w:sz="6" w:color="046242"/>
              <w:left w:val="single" w:sz="6" w:color="FFFFFF"/>
              <w:bottom w:val="single" w:sz="6" w:color="046242"/>
              <w:right w:val="single" w:sz="6" w:color="FFFFFF"/>
            </w:tcBorders>
            <w:vAlign w:val="center"/>
          </w:tcPr>
          <w:p>
            <w:pPr>
              <w:jc w:val="center"/>
            </w:pPr>
            <w:r>
              <w:rPr>
                <w:rFonts w:ascii="Liberation Sans" w:hAnsi="Liberation Sans" w:eastAsia="Liberation Sans"/>
                <w:b/>
                <w:i w:val="0"/>
                <w:color w:val="FFFFFF"/>
                <w:sz w:val="16"/>
              </w:rPr>
              <w:t>Statut</w:t>
            </w:r>
          </w:p>
        </w:tc>
        <w:tc>
          <w:tcPr>
            <w:tcW w:type="dxa" w:w="3402"/>
            <w:shd w:fill="046242"/>
            <w:tcBorders>
              <w:top w:val="single" w:sz="6" w:color="046242"/>
              <w:left w:val="single" w:sz="6" w:color="FFFFFF"/>
              <w:bottom w:val="single" w:sz="6" w:color="046242"/>
              <w:right w:val="single" w:sz="6" w:color="FFFFFF"/>
            </w:tcBorders>
            <w:vAlign w:val="center"/>
          </w:tcPr>
          <w:p>
            <w:pPr>
              <w:jc w:val="center"/>
            </w:pPr>
            <w:r>
              <w:rPr>
                <w:rFonts w:ascii="Liberation Sans" w:hAnsi="Liberation Sans" w:eastAsia="Liberation Sans"/>
                <w:b/>
                <w:i w:val="0"/>
                <w:color w:val="FFFFFF"/>
                <w:sz w:val="16"/>
              </w:rPr>
              <w:t>Signification</w:t>
            </w:r>
          </w:p>
        </w:tc>
        <w:tc>
          <w:tcPr>
            <w:tcW w:type="dxa" w:w="4252"/>
            <w:shd w:fill="046242"/>
            <w:tcBorders>
              <w:top w:val="single" w:sz="6" w:color="046242"/>
              <w:left w:val="single" w:sz="6" w:color="FFFFFF"/>
              <w:bottom w:val="single" w:sz="6" w:color="046242"/>
              <w:right w:val="single" w:sz="6" w:color="FFFFFF"/>
            </w:tcBorders>
            <w:vAlign w:val="center"/>
          </w:tcPr>
          <w:p>
            <w:pPr>
              <w:jc w:val="center"/>
            </w:pPr>
            <w:r>
              <w:rPr>
                <w:rFonts w:ascii="Liberation Sans" w:hAnsi="Liberation Sans" w:eastAsia="Liberation Sans"/>
                <w:b/>
                <w:i w:val="0"/>
                <w:color w:val="FFFFFF"/>
                <w:sz w:val="16"/>
              </w:rPr>
              <w:t>Transition recommandée</w:t>
            </w:r>
          </w:p>
        </w:tc>
      </w:tr>
      <w:tr>
        <w:trPr>
          <w:cantSplit/>
        </w:trPr>
        <w:tc>
          <w:tcPr>
            <w:tcW w:type="dxa" w:w="1814"/>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DRAFT</w:t>
            </w:r>
          </w:p>
        </w:tc>
        <w:tc>
          <w:tcPr>
            <w:tcW w:type="dxa" w:w="3402"/>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Fiche créée et préparée.</w:t>
            </w:r>
          </w:p>
        </w:tc>
        <w:tc>
          <w:tcPr>
            <w:tcW w:type="dxa" w:w="4252"/>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Vers SELF_REVIEWED ou MANAGER_REVIEWED.</w:t>
            </w:r>
          </w:p>
        </w:tc>
      </w:tr>
      <w:tr>
        <w:trPr>
          <w:cantSplit/>
        </w:trPr>
        <w:tc>
          <w:tcPr>
            <w:tcW w:type="dxa" w:w="1814"/>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SELF_REVIEWED</w:t>
            </w:r>
          </w:p>
        </w:tc>
        <w:tc>
          <w:tcPr>
            <w:tcW w:type="dxa" w:w="3402"/>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Auto-évaluation enregistrée.</w:t>
            </w:r>
          </w:p>
        </w:tc>
        <w:tc>
          <w:tcPr>
            <w:tcW w:type="dxa" w:w="4252"/>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Vers MANAGER_REVIEWED.</w:t>
            </w:r>
          </w:p>
        </w:tc>
      </w:tr>
      <w:tr>
        <w:trPr>
          <w:cantSplit/>
        </w:trPr>
        <w:tc>
          <w:tcPr>
            <w:tcW w:type="dxa" w:w="1814"/>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MANAGER_REVIEWED</w:t>
            </w:r>
          </w:p>
        </w:tc>
        <w:tc>
          <w:tcPr>
            <w:tcW w:type="dxa" w:w="3402"/>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Appréciation hiérarchique enregistrée.</w:t>
            </w:r>
          </w:p>
        </w:tc>
        <w:tc>
          <w:tcPr>
            <w:tcW w:type="dxa" w:w="4252"/>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Vers HR_VALIDATED.</w:t>
            </w:r>
          </w:p>
        </w:tc>
      </w:tr>
      <w:tr>
        <w:trPr>
          <w:cantSplit/>
        </w:trPr>
        <w:tc>
          <w:tcPr>
            <w:tcW w:type="dxa" w:w="1814"/>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HR_VALIDATED</w:t>
            </w:r>
          </w:p>
        </w:tc>
        <w:tc>
          <w:tcPr>
            <w:tcW w:type="dxa" w:w="3402"/>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Décision RH finalisée.</w:t>
            </w:r>
          </w:p>
        </w:tc>
        <w:tc>
          <w:tcPr>
            <w:tcW w:type="dxa" w:w="4252"/>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Archivage éventuel.</w:t>
            </w:r>
          </w:p>
        </w:tc>
      </w:tr>
      <w:tr>
        <w:trPr>
          <w:cantSplit/>
        </w:trPr>
        <w:tc>
          <w:tcPr>
            <w:tcW w:type="dxa" w:w="1814"/>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ARCHIVED</w:t>
            </w:r>
          </w:p>
        </w:tc>
        <w:tc>
          <w:tcPr>
            <w:tcW w:type="dxa" w:w="3402"/>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Fiche conservée hors cycle actif.</w:t>
            </w:r>
          </w:p>
        </w:tc>
        <w:tc>
          <w:tcPr>
            <w:tcW w:type="dxa" w:w="4252"/>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Réactivation uniquement par décision de gestion.</w:t>
            </w:r>
          </w:p>
        </w:tc>
      </w:tr>
    </w:tbl>
    <w:p>
      <w:pPr>
        <w:spacing w:after="0"/>
      </w:pPr>
    </w:p>
    <w:tbl>
      <w:tblPr>
        <w:tblW w:type="auto" w:w="0"/>
        <w:jc w:val="center"/>
        <w:tblLayout w:type="fixed"/>
        <w:tblLook w:firstColumn="1" w:firstRow="1" w:lastColumn="0" w:lastRow="0" w:noHBand="0" w:noVBand="1" w:val="04A0"/>
      </w:tblPr>
      <w:tblGrid>
        <w:gridCol w:w="9354"/>
      </w:tblGrid>
      <w:tr>
        <w:tc>
          <w:tcPr>
            <w:tcW w:type="dxa" w:w="10312"/>
            <w:shd w:fill="EEF4F8"/>
            <w:tcBorders>
              <w:top w:val="single" w:sz="8" w:color="046242"/>
              <w:left w:val="single" w:sz="12" w:color="046242"/>
              <w:bottom w:val="single" w:sz="6" w:color="D5E4DB"/>
              <w:right w:val="single" w:sz="6" w:color="D5E4DB"/>
            </w:tcBorders>
          </w:tcPr>
          <w:p>
            <w:pPr>
              <w:spacing w:before="0" w:after="60" w:line="259" w:lineRule="auto"/>
            </w:pPr>
            <w:r>
              <w:rPr>
                <w:rFonts w:ascii="Liberation Sans" w:hAnsi="Liberation Sans" w:eastAsia="Liberation Sans"/>
                <w:b/>
                <w:i w:val="0"/>
                <w:color w:val="0B2536"/>
                <w:sz w:val="17"/>
              </w:rPr>
              <w:t>RÈGLE DE PORTÉE</w:t>
            </w:r>
          </w:p>
          <w:p>
            <w:pPr>
              <w:spacing w:before="0" w:after="0" w:line="259" w:lineRule="auto"/>
            </w:pPr>
            <w:r>
              <w:rPr>
                <w:rFonts w:ascii="Liberation Sans" w:hAnsi="Liberation Sans" w:eastAsia="Liberation Sans"/>
                <w:b w:val="0"/>
                <w:i w:val="0"/>
                <w:color w:val="0B2536"/>
                <w:sz w:val="18"/>
              </w:rPr>
              <w:t>Les droits ne sont pas appliqués uniquement dans le routeur. Le scope est construit dans evaluation.access.ts puis réutilisé par les lectures, statistiques, exports et contrôles métier.</w:t>
            </w:r>
          </w:p>
        </w:tc>
      </w:tr>
    </w:tbl>
    <w:p>
      <w:pPr>
        <w:spacing w:after="0"/>
      </w:pPr>
    </w:p>
    <w:p>
      <w:pPr>
        <w:pStyle w:val="Heading1"/>
        <w:keepNext/>
        <w:spacing w:before="200" w:after="100" w:line="240" w:lineRule="auto"/>
      </w:pPr>
      <w:r>
        <w:rPr>
          <w:rFonts w:ascii="Liberation Sans" w:hAnsi="Liberation Sans" w:eastAsia="Liberation Sans"/>
          <w:b/>
          <w:i w:val="0"/>
          <w:color w:val="046242"/>
          <w:sz w:val="28"/>
        </w:rPr>
        <w:t>4. Rattachement Direction / Service</w:t>
      </w:r>
    </w:p>
    <w:p>
      <w:pPr>
        <w:spacing w:before="0" w:after="100" w:line="269" w:lineRule="auto"/>
      </w:pPr>
      <w:r>
        <w:rPr>
          <w:rFonts w:ascii="Liberation Sans" w:hAnsi="Liberation Sans" w:eastAsia="Liberation Sans"/>
          <w:b w:val="0"/>
          <w:i w:val="0"/>
          <w:color w:val="0B2536"/>
          <w:sz w:val="19"/>
        </w:rPr>
        <w:t>Le rattachement n’est pas seulement affiché : il conditionne le périmètre hiérarchique, les filtres, la sécurité et la qualité de la note Direction générale.</w:t>
      </w:r>
    </w:p>
    <w:p>
      <w:pPr>
        <w:pStyle w:val="Heading2"/>
        <w:keepNext/>
        <w:spacing w:before="140" w:after="100" w:line="240" w:lineRule="auto"/>
      </w:pPr>
      <w:r>
        <w:rPr>
          <w:rFonts w:ascii="Liberation Sans" w:hAnsi="Liberation Sans" w:eastAsia="Liberation Sans"/>
          <w:b/>
          <w:i w:val="0"/>
          <w:color w:val="0B2536"/>
          <w:sz w:val="23"/>
        </w:rPr>
        <w:t>4.1 Résolution robuste</w:t>
      </w:r>
    </w:p>
    <w:p>
      <w:pPr>
        <w:pStyle w:val="ListBullet"/>
        <w:spacing w:before="0" w:after="40" w:line="252" w:lineRule="auto"/>
      </w:pPr>
      <w:r>
        <w:rPr>
          <w:rFonts w:ascii="Liberation Sans" w:hAnsi="Liberation Sans" w:eastAsia="Liberation Sans"/>
          <w:b w:val="0"/>
          <w:i w:val="0"/>
          <w:sz w:val="18"/>
        </w:rPr>
        <w:t>Accepte ObjectId, chaîne MongoDB ou objet déjà peuplé.</w:t>
      </w:r>
    </w:p>
    <w:p>
      <w:pPr>
        <w:pStyle w:val="ListBullet"/>
        <w:spacing w:before="0" w:after="40" w:line="252" w:lineRule="auto"/>
      </w:pPr>
      <w:r>
        <w:rPr>
          <w:rFonts w:ascii="Liberation Sans" w:hAnsi="Liberation Sans" w:eastAsia="Liberation Sans"/>
          <w:b w:val="0"/>
          <w:i w:val="0"/>
          <w:sz w:val="18"/>
        </w:rPr>
        <w:t>Recherche simultanément la Direction et le Service dans le même tenant.</w:t>
      </w:r>
    </w:p>
    <w:p>
      <w:pPr>
        <w:pStyle w:val="ListBullet"/>
        <w:spacing w:before="0" w:after="40" w:line="252" w:lineRule="auto"/>
      </w:pPr>
      <w:r>
        <w:rPr>
          <w:rFonts w:ascii="Liberation Sans" w:hAnsi="Liberation Sans" w:eastAsia="Liberation Sans"/>
          <w:b w:val="0"/>
          <w:i w:val="0"/>
          <w:sz w:val="18"/>
        </w:rPr>
        <w:t>Si une unité de type SERVICE a été stockée dans directionId, elle est reclassée en Service.</w:t>
      </w:r>
    </w:p>
    <w:p>
      <w:pPr>
        <w:pStyle w:val="ListBullet"/>
        <w:spacing w:before="0" w:after="40" w:line="252" w:lineRule="auto"/>
      </w:pPr>
      <w:r>
        <w:rPr>
          <w:rFonts w:ascii="Liberation Sans" w:hAnsi="Liberation Sans" w:eastAsia="Liberation Sans"/>
          <w:b w:val="0"/>
          <w:i w:val="0"/>
          <w:sz w:val="18"/>
        </w:rPr>
        <w:t>Si seule l’unité Service existe, la Direction est retrouvée par parentId.</w:t>
      </w:r>
    </w:p>
    <w:p>
      <w:pPr>
        <w:pStyle w:val="ListBullet"/>
        <w:spacing w:before="0" w:after="40" w:line="252" w:lineRule="auto"/>
      </w:pPr>
      <w:r>
        <w:rPr>
          <w:rFonts w:ascii="Liberation Sans" w:hAnsi="Liberation Sans" w:eastAsia="Liberation Sans"/>
          <w:b w:val="0"/>
          <w:i w:val="0"/>
          <w:sz w:val="18"/>
        </w:rPr>
        <w:t>Les anciennes fiches sont rafraîchies à l’ouverture, dans les listes et lors du recalcul.</w:t>
      </w:r>
    </w:p>
    <w:p>
      <w:pPr>
        <w:pStyle w:val="ListBullet"/>
        <w:spacing w:before="0" w:after="40" w:line="252" w:lineRule="auto"/>
      </w:pPr>
      <w:r>
        <w:rPr>
          <w:rFonts w:ascii="Liberation Sans" w:hAnsi="Liberation Sans" w:eastAsia="Liberation Sans"/>
          <w:b w:val="0"/>
          <w:i w:val="0"/>
          <w:sz w:val="18"/>
        </w:rPr>
        <w:t>La création est bloquée si aucune Direction valide et nommée ne peut être résolue.</w:t>
      </w:r>
    </w:p>
    <w:p>
      <w:pPr>
        <w:pStyle w:val="Heading2"/>
        <w:keepNext/>
        <w:spacing w:before="140" w:after="100" w:line="240" w:lineRule="auto"/>
      </w:pPr>
      <w:r>
        <w:rPr>
          <w:rFonts w:ascii="Liberation Sans" w:hAnsi="Liberation Sans" w:eastAsia="Liberation Sans"/>
          <w:b/>
          <w:i w:val="0"/>
          <w:color w:val="0B2536"/>
          <w:sz w:val="23"/>
        </w:rPr>
        <w:t>4.2 Diagnostic</w:t>
      </w:r>
    </w:p>
    <w:tbl>
      <w:tblPr>
        <w:tblW w:type="auto" w:w="0"/>
        <w:jc w:val="center"/>
        <w:tblLayout w:type="fixed"/>
        <w:tblLook w:firstColumn="1" w:firstRow="1" w:lastColumn="0" w:lastRow="0" w:noHBand="0" w:noVBand="1" w:val="04A0"/>
      </w:tblPr>
      <w:tblGrid>
        <w:gridCol w:w="5156"/>
        <w:gridCol w:w="5156"/>
      </w:tblGrid>
      <w:tr>
        <w:trPr>
          <w:tblHeader w:val="true"/>
        </w:trPr>
        <w:tc>
          <w:tcPr>
            <w:tcW w:type="dxa" w:w="2891"/>
            <w:shd w:fill="046242"/>
            <w:tcBorders>
              <w:top w:val="single" w:sz="6" w:color="046242"/>
              <w:left w:val="single" w:sz="6" w:color="FFFFFF"/>
              <w:bottom w:val="single" w:sz="6" w:color="046242"/>
              <w:right w:val="single" w:sz="6" w:color="FFFFFF"/>
            </w:tcBorders>
            <w:vAlign w:val="center"/>
          </w:tcPr>
          <w:p>
            <w:pPr>
              <w:jc w:val="center"/>
            </w:pPr>
            <w:r>
              <w:rPr>
                <w:rFonts w:ascii="Liberation Sans" w:hAnsi="Liberation Sans" w:eastAsia="Liberation Sans"/>
                <w:b/>
                <w:i w:val="0"/>
                <w:color w:val="FFFFFF"/>
                <w:sz w:val="16"/>
              </w:rPr>
              <w:t>Symptôme</w:t>
            </w:r>
          </w:p>
        </w:tc>
        <w:tc>
          <w:tcPr>
            <w:tcW w:type="dxa" w:w="6350"/>
            <w:shd w:fill="046242"/>
            <w:tcBorders>
              <w:top w:val="single" w:sz="6" w:color="046242"/>
              <w:left w:val="single" w:sz="6" w:color="FFFFFF"/>
              <w:bottom w:val="single" w:sz="6" w:color="046242"/>
              <w:right w:val="single" w:sz="6" w:color="FFFFFF"/>
            </w:tcBorders>
            <w:vAlign w:val="center"/>
          </w:tcPr>
          <w:p>
            <w:pPr>
              <w:jc w:val="center"/>
            </w:pPr>
            <w:r>
              <w:rPr>
                <w:rFonts w:ascii="Liberation Sans" w:hAnsi="Liberation Sans" w:eastAsia="Liberation Sans"/>
                <w:b/>
                <w:i w:val="0"/>
                <w:color w:val="FFFFFF"/>
                <w:sz w:val="16"/>
              </w:rPr>
              <w:t>Vérification</w:t>
            </w:r>
          </w:p>
        </w:tc>
      </w:tr>
      <w:tr>
        <w:trPr>
          <w:cantSplit/>
        </w:trPr>
        <w:tc>
          <w:tcPr>
            <w:tcW w:type="dxa" w:w="2891"/>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Direction non renseignée</w:t>
            </w:r>
          </w:p>
        </w:tc>
        <w:tc>
          <w:tcPr>
            <w:tcW w:type="dxa" w:w="6350"/>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Agent.directionId / serviceId, OrganizationUnit.tenantId, type, parentId, status et name.</w:t>
            </w:r>
          </w:p>
        </w:tc>
      </w:tr>
      <w:tr>
        <w:trPr>
          <w:cantSplit/>
        </w:trPr>
        <w:tc>
          <w:tcPr>
            <w:tcW w:type="dxa" w:w="2891"/>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Direction erronée</w:t>
            </w:r>
          </w:p>
        </w:tc>
        <w:tc>
          <w:tcPr>
            <w:tcW w:type="dxa" w:w="6350"/>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Ancienne donnée où un Service a été enregistré comme Direction. Ouvrir/recalculer.</w:t>
            </w:r>
          </w:p>
        </w:tc>
      </w:tr>
      <w:tr>
        <w:trPr>
          <w:cantSplit/>
        </w:trPr>
        <w:tc>
          <w:tcPr>
            <w:tcW w:type="dxa" w:w="2891"/>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Agent absent de la liste</w:t>
            </w:r>
          </w:p>
        </w:tc>
        <w:tc>
          <w:tcPr>
            <w:tcW w:type="dxa" w:w="6350"/>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employmentStatus ACTIVE, tenant correct et scope du rôle connecté.</w:t>
            </w:r>
          </w:p>
        </w:tc>
      </w:tr>
    </w:tbl>
    <w:p>
      <w:pPr>
        <w:spacing w:after="0"/>
      </w:pPr>
    </w:p>
    <w:p>
      <w:pPr>
        <w:pStyle w:val="Heading1"/>
        <w:keepNext/>
        <w:spacing w:before="200" w:after="100" w:line="240" w:lineRule="auto"/>
      </w:pPr>
      <w:r>
        <w:rPr>
          <w:rFonts w:ascii="Liberation Sans" w:hAnsi="Liberation Sans" w:eastAsia="Liberation Sans"/>
          <w:b/>
          <w:i w:val="0"/>
          <w:color w:val="046242"/>
          <w:sz w:val="28"/>
        </w:rPr>
        <w:t>5. Snapshot et intégration des modules</w:t>
      </w:r>
    </w:p>
    <w:p>
      <w:pPr>
        <w:pStyle w:val="Heading2"/>
        <w:keepNext/>
        <w:spacing w:before="140" w:after="100" w:line="240" w:lineRule="auto"/>
      </w:pPr>
      <w:r>
        <w:rPr>
          <w:rFonts w:ascii="Liberation Sans" w:hAnsi="Liberation Sans" w:eastAsia="Liberation Sans"/>
          <w:b/>
          <w:i w:val="0"/>
          <w:color w:val="0B2536"/>
          <w:sz w:val="23"/>
        </w:rPr>
        <w:t>5.1 Tâches</w:t>
      </w:r>
    </w:p>
    <w:p>
      <w:pPr>
        <w:spacing w:before="0" w:after="100" w:line="269" w:lineRule="auto"/>
      </w:pPr>
      <w:r>
        <w:rPr>
          <w:rFonts w:ascii="Liberation Sans" w:hAnsi="Liberation Sans" w:eastAsia="Liberation Sans"/>
          <w:b w:val="0"/>
          <w:i w:val="0"/>
          <w:color w:val="0B2536"/>
          <w:sz w:val="19"/>
        </w:rPr>
        <w:t>Le service recherche plusieurs champs d’affectation compatibles afin de préserver les données historiques. Il retient les tâches créées, mises à jour, commencées, échues ou terminées dans la période, ainsi que les tâches actives chevauchant la période.</w:t>
      </w:r>
    </w:p>
    <w:p>
      <w:pPr>
        <w:pStyle w:val="Heading2"/>
        <w:keepNext/>
        <w:spacing w:before="140" w:after="100" w:line="240" w:lineRule="auto"/>
      </w:pPr>
      <w:r>
        <w:rPr>
          <w:rFonts w:ascii="Liberation Sans" w:hAnsi="Liberation Sans" w:eastAsia="Liberation Sans"/>
          <w:b/>
          <w:i w:val="0"/>
          <w:color w:val="0B2536"/>
          <w:sz w:val="23"/>
        </w:rPr>
        <w:t>5.2 Feuille de route</w:t>
      </w:r>
    </w:p>
    <w:p>
      <w:pPr>
        <w:spacing w:before="0" w:after="100" w:line="269" w:lineRule="auto"/>
      </w:pPr>
      <w:r>
        <w:rPr>
          <w:rFonts w:ascii="Liberation Sans" w:hAnsi="Liberation Sans" w:eastAsia="Liberation Sans"/>
          <w:b w:val="0"/>
          <w:i w:val="0"/>
          <w:color w:val="0B2536"/>
          <w:sz w:val="19"/>
        </w:rPr>
        <w:t>Le moteur sélectionne le meilleur candidat par Agent, année, statut et récence. Il utilise prioritairement les champs natifs itemCount, completedItemCount et progressPercentage, puis calcule un fallback à partir des items dont le statut est DONE.</w:t>
      </w:r>
    </w:p>
    <w:p>
      <w:pPr>
        <w:pStyle w:val="Heading2"/>
        <w:keepNext/>
        <w:spacing w:before="140" w:after="100" w:line="240" w:lineRule="auto"/>
      </w:pPr>
      <w:r>
        <w:rPr>
          <w:rFonts w:ascii="Liberation Sans" w:hAnsi="Liberation Sans" w:eastAsia="Liberation Sans"/>
          <w:b/>
          <w:i w:val="0"/>
          <w:color w:val="0B2536"/>
          <w:sz w:val="23"/>
        </w:rPr>
        <w:t>5.3 Pointage</w:t>
      </w:r>
    </w:p>
    <w:p>
      <w:pPr>
        <w:spacing w:before="0" w:after="100" w:line="269" w:lineRule="auto"/>
      </w:pPr>
      <w:r>
        <w:rPr>
          <w:rFonts w:ascii="Liberation Sans" w:hAnsi="Liberation Sans" w:eastAsia="Liberation Sans"/>
          <w:b w:val="0"/>
          <w:i w:val="0"/>
          <w:color w:val="0B2536"/>
          <w:sz w:val="19"/>
        </w:rPr>
        <w:t>Les jours ouvrés sont calculés en UTC, hors samedi et dimanche. Les jours ABSENT et les jours sans pointage sont rapprochés de la couverture des congés approuvés. Les minutes de retard, de travail et supplémentaires sont agrégées.</w:t>
      </w:r>
    </w:p>
    <w:p>
      <w:pPr>
        <w:pStyle w:val="Heading2"/>
        <w:keepNext/>
        <w:spacing w:before="140" w:after="100" w:line="240" w:lineRule="auto"/>
      </w:pPr>
      <w:r>
        <w:rPr>
          <w:rFonts w:ascii="Liberation Sans" w:hAnsi="Liberation Sans" w:eastAsia="Liberation Sans"/>
          <w:b/>
          <w:i w:val="0"/>
          <w:color w:val="0B2536"/>
          <w:sz w:val="23"/>
        </w:rPr>
        <w:t>5.4 Congés</w:t>
      </w:r>
    </w:p>
    <w:tbl>
      <w:tblPr>
        <w:tblW w:type="auto" w:w="0"/>
        <w:jc w:val="center"/>
        <w:tblLayout w:type="fixed"/>
        <w:tblLook w:firstColumn="1" w:firstRow="1" w:lastColumn="0" w:lastRow="0" w:noHBand="0" w:noVBand="1" w:val="04A0"/>
      </w:tblPr>
      <w:tblGrid>
        <w:gridCol w:w="5156"/>
        <w:gridCol w:w="5156"/>
      </w:tblGrid>
      <w:tr>
        <w:trPr>
          <w:tblHeader w:val="true"/>
        </w:trPr>
        <w:tc>
          <w:tcPr>
            <w:tcW w:type="dxa" w:w="2268"/>
            <w:shd w:fill="046242"/>
            <w:tcBorders>
              <w:top w:val="single" w:sz="6" w:color="046242"/>
              <w:left w:val="single" w:sz="6" w:color="FFFFFF"/>
              <w:bottom w:val="single" w:sz="6" w:color="046242"/>
              <w:right w:val="single" w:sz="6" w:color="FFFFFF"/>
            </w:tcBorders>
            <w:vAlign w:val="center"/>
          </w:tcPr>
          <w:p>
            <w:pPr>
              <w:jc w:val="center"/>
            </w:pPr>
            <w:r>
              <w:rPr>
                <w:rFonts w:ascii="Liberation Sans" w:hAnsi="Liberation Sans" w:eastAsia="Liberation Sans"/>
                <w:b/>
                <w:i w:val="0"/>
                <w:color w:val="FFFFFF"/>
                <w:sz w:val="16"/>
              </w:rPr>
              <w:t>Statut</w:t>
            </w:r>
          </w:p>
        </w:tc>
        <w:tc>
          <w:tcPr>
            <w:tcW w:type="dxa" w:w="6973"/>
            <w:shd w:fill="046242"/>
            <w:tcBorders>
              <w:top w:val="single" w:sz="6" w:color="046242"/>
              <w:left w:val="single" w:sz="6" w:color="FFFFFF"/>
              <w:bottom w:val="single" w:sz="6" w:color="046242"/>
              <w:right w:val="single" w:sz="6" w:color="FFFFFF"/>
            </w:tcBorders>
            <w:vAlign w:val="center"/>
          </w:tcPr>
          <w:p>
            <w:pPr>
              <w:jc w:val="center"/>
            </w:pPr>
            <w:r>
              <w:rPr>
                <w:rFonts w:ascii="Liberation Sans" w:hAnsi="Liberation Sans" w:eastAsia="Liberation Sans"/>
                <w:b/>
                <w:i w:val="0"/>
                <w:color w:val="FFFFFF"/>
                <w:sz w:val="16"/>
              </w:rPr>
              <w:t>Traitement</w:t>
            </w:r>
          </w:p>
        </w:tc>
      </w:tr>
      <w:tr>
        <w:trPr>
          <w:cantSplit/>
        </w:trPr>
        <w:tc>
          <w:tcPr>
            <w:tcW w:type="dxa" w:w="2268"/>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DRAFT</w:t>
            </w:r>
          </w:p>
        </w:tc>
        <w:tc>
          <w:tcPr>
            <w:tcW w:type="dxa" w:w="6973"/>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Recensé comme brouillon.</w:t>
            </w:r>
          </w:p>
        </w:tc>
      </w:tr>
      <w:tr>
        <w:trPr>
          <w:cantSplit/>
        </w:trPr>
        <w:tc>
          <w:tcPr>
            <w:tcW w:type="dxa" w:w="2268"/>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SUBMITTED</w:t>
            </w:r>
          </w:p>
        </w:tc>
        <w:tc>
          <w:tcPr>
            <w:tcW w:type="dxa" w:w="6973"/>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En validation ; jours provisoires.</w:t>
            </w:r>
          </w:p>
        </w:tc>
      </w:tr>
      <w:tr>
        <w:trPr>
          <w:cantSplit/>
        </w:trPr>
        <w:tc>
          <w:tcPr>
            <w:tcW w:type="dxa" w:w="2268"/>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MANAGER_APPROVED</w:t>
            </w:r>
          </w:p>
        </w:tc>
        <w:tc>
          <w:tcPr>
            <w:tcW w:type="dxa" w:w="6973"/>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En validation finale ; jours provisoires.</w:t>
            </w:r>
          </w:p>
        </w:tc>
      </w:tr>
      <w:tr>
        <w:trPr>
          <w:cantSplit/>
        </w:trPr>
        <w:tc>
          <w:tcPr>
            <w:tcW w:type="dxa" w:w="2268"/>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APPROVED</w:t>
            </w:r>
          </w:p>
        </w:tc>
        <w:tc>
          <w:tcPr>
            <w:tcW w:type="dxa" w:w="6973"/>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Couvre les jours ouvrés et neutralise l’absence.</w:t>
            </w:r>
          </w:p>
        </w:tc>
      </w:tr>
      <w:tr>
        <w:trPr>
          <w:cantSplit/>
        </w:trPr>
        <w:tc>
          <w:tcPr>
            <w:tcW w:type="dxa" w:w="2268"/>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REJECTED</w:t>
            </w:r>
          </w:p>
        </w:tc>
        <w:tc>
          <w:tcPr>
            <w:tcW w:type="dxa" w:w="6973"/>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Présenté comme refusé ; ne couvre pas l’absence.</w:t>
            </w:r>
          </w:p>
        </w:tc>
      </w:tr>
      <w:tr>
        <w:trPr>
          <w:cantSplit/>
        </w:trPr>
        <w:tc>
          <w:tcPr>
            <w:tcW w:type="dxa" w:w="2268"/>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CANCELLED</w:t>
            </w:r>
          </w:p>
        </w:tc>
        <w:tc>
          <w:tcPr>
            <w:tcW w:type="dxa" w:w="6973"/>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Présenté comme annulé ; exclu des jours demandés actifs.</w:t>
            </w:r>
          </w:p>
        </w:tc>
      </w:tr>
    </w:tbl>
    <w:p>
      <w:pPr>
        <w:spacing w:after="0"/>
      </w:pPr>
    </w:p>
    <w:p>
      <w:pPr>
        <w:spacing w:before="0" w:after="100" w:line="269" w:lineRule="auto"/>
      </w:pPr>
      <w:r>
        <w:rPr>
          <w:rFonts w:ascii="Liberation Sans" w:hAnsi="Liberation Sans" w:eastAsia="Liberation Sans"/>
          <w:b w:val="0"/>
          <w:i w:val="0"/>
          <w:color w:val="0B2536"/>
          <w:sz w:val="19"/>
        </w:rPr>
        <w:t>Les durées fractionnaires sont conservées. La couverture par date est plafonnée à 1, ce qui évite de neutraliser plus d’une journée lorsqu’il existe plusieurs demandes qui se chevauchent.</w:t>
      </w:r>
    </w:p>
    <w:p>
      <w:pPr>
        <w:pStyle w:val="Heading2"/>
        <w:keepNext/>
        <w:spacing w:before="140" w:after="100" w:line="240" w:lineRule="auto"/>
      </w:pPr>
      <w:r>
        <w:rPr>
          <w:rFonts w:ascii="Liberation Sans" w:hAnsi="Liberation Sans" w:eastAsia="Liberation Sans"/>
          <w:b/>
          <w:i w:val="0"/>
          <w:color w:val="0B2536"/>
          <w:sz w:val="23"/>
        </w:rPr>
        <w:t>5.5 Période future</w:t>
      </w:r>
    </w:p>
    <w:tbl>
      <w:tblPr>
        <w:tblW w:type="auto" w:w="0"/>
        <w:jc w:val="center"/>
        <w:tblLayout w:type="fixed"/>
        <w:tblLook w:firstColumn="1" w:firstRow="1" w:lastColumn="0" w:lastRow="0" w:noHBand="0" w:noVBand="1" w:val="04A0"/>
      </w:tblPr>
      <w:tblGrid>
        <w:gridCol w:w="9354"/>
      </w:tblGrid>
      <w:tr>
        <w:tc>
          <w:tcPr>
            <w:tcW w:type="dxa" w:w="10312"/>
            <w:shd w:fill="EAF5EF"/>
            <w:tcBorders>
              <w:top w:val="single" w:sz="8" w:color="046242"/>
              <w:left w:val="single" w:sz="12" w:color="046242"/>
              <w:bottom w:val="single" w:sz="6" w:color="D5E4DB"/>
              <w:right w:val="single" w:sz="6" w:color="D5E4DB"/>
            </w:tcBorders>
          </w:tcPr>
          <w:p>
            <w:pPr>
              <w:spacing w:before="0" w:after="60" w:line="259" w:lineRule="auto"/>
            </w:pPr>
            <w:r>
              <w:rPr>
                <w:rFonts w:ascii="Liberation Sans" w:hAnsi="Liberation Sans" w:eastAsia="Liberation Sans"/>
                <w:b/>
                <w:i w:val="0"/>
                <w:color w:val="0B2536"/>
                <w:sz w:val="17"/>
              </w:rPr>
              <w:t>PROTECTION CONTRE LES FAUSSES ABSENCES</w:t>
            </w:r>
          </w:p>
          <w:p>
            <w:pPr>
              <w:spacing w:before="0" w:after="0" w:line="259" w:lineRule="auto"/>
            </w:pPr>
            <w:r>
              <w:rPr>
                <w:rFonts w:ascii="Liberation Sans" w:hAnsi="Liberation Sans" w:eastAsia="Liberation Sans"/>
                <w:b w:val="0"/>
                <w:i w:val="0"/>
                <w:color w:val="0B2536"/>
                <w:sz w:val="18"/>
              </w:rPr>
              <w:t>Si la date de fin dépasse la date du jour, le calcul est arrêté au jour courant. Les journées futures ne sont ni attendues ni comptabilisées comme absences.</w:t>
            </w:r>
          </w:p>
        </w:tc>
      </w:tr>
    </w:tbl>
    <w:p>
      <w:pPr>
        <w:spacing w:after="0"/>
      </w:pPr>
    </w:p>
    <w:p>
      <w:pPr>
        <w:pStyle w:val="Heading1"/>
        <w:keepNext/>
        <w:spacing w:before="200" w:after="100" w:line="240" w:lineRule="auto"/>
      </w:pPr>
      <w:r>
        <w:rPr>
          <w:rFonts w:ascii="Liberation Sans" w:hAnsi="Liberation Sans" w:eastAsia="Liberation Sans"/>
          <w:b/>
          <w:i w:val="0"/>
          <w:color w:val="046242"/>
          <w:sz w:val="28"/>
        </w:rPr>
        <w:t>6. Grille, notation et intelligence HRS</w:t>
      </w:r>
    </w:p>
    <w:p>
      <w:pPr>
        <w:pStyle w:val="Heading2"/>
        <w:keepNext/>
        <w:spacing w:before="140" w:after="100" w:line="240" w:lineRule="auto"/>
      </w:pPr>
      <w:r>
        <w:rPr>
          <w:rFonts w:ascii="Liberation Sans" w:hAnsi="Liberation Sans" w:eastAsia="Liberation Sans"/>
          <w:b/>
          <w:i w:val="0"/>
          <w:color w:val="0B2536"/>
          <w:sz w:val="23"/>
        </w:rPr>
        <w:t>6.1 Critères</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2835"/>
            <w:shd w:fill="046242"/>
            <w:tcBorders>
              <w:top w:val="single" w:sz="6" w:color="046242"/>
              <w:left w:val="single" w:sz="6" w:color="FFFFFF"/>
              <w:bottom w:val="single" w:sz="6" w:color="046242"/>
              <w:right w:val="single" w:sz="6" w:color="FFFFFF"/>
            </w:tcBorders>
            <w:vAlign w:val="center"/>
          </w:tcPr>
          <w:p>
            <w:pPr>
              <w:jc w:val="center"/>
            </w:pPr>
            <w:r>
              <w:rPr>
                <w:rFonts w:ascii="Liberation Sans" w:hAnsi="Liberation Sans" w:eastAsia="Liberation Sans"/>
                <w:b/>
                <w:i w:val="0"/>
                <w:color w:val="FFFFFF"/>
                <w:sz w:val="16"/>
              </w:rPr>
              <w:t>Critère</w:t>
            </w:r>
          </w:p>
        </w:tc>
        <w:tc>
          <w:tcPr>
            <w:tcW w:type="dxa" w:w="1134"/>
            <w:shd w:fill="046242"/>
            <w:tcBorders>
              <w:top w:val="single" w:sz="6" w:color="046242"/>
              <w:left w:val="single" w:sz="6" w:color="FFFFFF"/>
              <w:bottom w:val="single" w:sz="6" w:color="046242"/>
              <w:right w:val="single" w:sz="6" w:color="FFFFFF"/>
            </w:tcBorders>
            <w:vAlign w:val="center"/>
          </w:tcPr>
          <w:p>
            <w:pPr>
              <w:jc w:val="center"/>
            </w:pPr>
            <w:r>
              <w:rPr>
                <w:rFonts w:ascii="Liberation Sans" w:hAnsi="Liberation Sans" w:eastAsia="Liberation Sans"/>
                <w:b/>
                <w:i w:val="0"/>
                <w:color w:val="FFFFFF"/>
                <w:sz w:val="16"/>
              </w:rPr>
              <w:t>Poids</w:t>
            </w:r>
          </w:p>
        </w:tc>
        <w:tc>
          <w:tcPr>
            <w:tcW w:type="dxa" w:w="5272"/>
            <w:shd w:fill="046242"/>
            <w:tcBorders>
              <w:top w:val="single" w:sz="6" w:color="046242"/>
              <w:left w:val="single" w:sz="6" w:color="FFFFFF"/>
              <w:bottom w:val="single" w:sz="6" w:color="046242"/>
              <w:right w:val="single" w:sz="6" w:color="FFFFFF"/>
            </w:tcBorders>
            <w:vAlign w:val="center"/>
          </w:tcPr>
          <w:p>
            <w:pPr>
              <w:jc w:val="center"/>
            </w:pPr>
            <w:r>
              <w:rPr>
                <w:rFonts w:ascii="Liberation Sans" w:hAnsi="Liberation Sans" w:eastAsia="Liberation Sans"/>
                <w:b/>
                <w:i w:val="0"/>
                <w:color w:val="FFFFFF"/>
                <w:sz w:val="16"/>
              </w:rPr>
              <w:t>Lecture automatique</w:t>
            </w:r>
          </w:p>
        </w:tc>
      </w:tr>
      <w:tr>
        <w:trPr>
          <w:cantSplit/>
        </w:trPr>
        <w:tc>
          <w:tcPr>
            <w:tcW w:type="dxa" w:w="2835"/>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Objectifs et résultats</w:t>
            </w:r>
          </w:p>
        </w:tc>
        <w:tc>
          <w:tcPr>
            <w:tcW w:type="dxa" w:w="1134"/>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25 %</w:t>
            </w:r>
          </w:p>
        </w:tc>
        <w:tc>
          <w:tcPr>
            <w:tcW w:type="dxa" w:w="5272"/>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60 % tâches + 40 % feuille de route si disponible.</w:t>
            </w:r>
          </w:p>
        </w:tc>
      </w:tr>
      <w:tr>
        <w:trPr>
          <w:cantSplit/>
        </w:trPr>
        <w:tc>
          <w:tcPr>
            <w:tcW w:type="dxa" w:w="2835"/>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Qualité / fiabilité</w:t>
            </w:r>
          </w:p>
        </w:tc>
        <w:tc>
          <w:tcPr>
            <w:tcW w:type="dxa" w:w="1134"/>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15 %</w:t>
            </w:r>
          </w:p>
        </w:tc>
        <w:tc>
          <w:tcPr>
            <w:tcW w:type="dxa" w:w="5272"/>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Progression moyenne et niveau d’objectifs.</w:t>
            </w:r>
          </w:p>
        </w:tc>
      </w:tr>
      <w:tr>
        <w:trPr>
          <w:cantSplit/>
        </w:trPr>
        <w:tc>
          <w:tcPr>
            <w:tcW w:type="dxa" w:w="2835"/>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Compétences techniques</w:t>
            </w:r>
          </w:p>
        </w:tc>
        <w:tc>
          <w:tcPr>
            <w:tcW w:type="dxa" w:w="1134"/>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10 %</w:t>
            </w:r>
          </w:p>
        </w:tc>
        <w:tc>
          <w:tcPr>
            <w:tcW w:type="dxa" w:w="5272"/>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Indice d’exécution, confirmation humaine requise.</w:t>
            </w:r>
          </w:p>
        </w:tc>
      </w:tr>
      <w:tr>
        <w:trPr>
          <w:cantSplit/>
        </w:trPr>
        <w:tc>
          <w:tcPr>
            <w:tcW w:type="dxa" w:w="2835"/>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Discipline / assiduité</w:t>
            </w:r>
          </w:p>
        </w:tc>
        <w:tc>
          <w:tcPr>
            <w:tcW w:type="dxa" w:w="1134"/>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10 %</w:t>
            </w:r>
          </w:p>
        </w:tc>
        <w:tc>
          <w:tcPr>
            <w:tcW w:type="dxa" w:w="5272"/>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Présence corrigée des congés, pénalité de retard.</w:t>
            </w:r>
          </w:p>
        </w:tc>
      </w:tr>
      <w:tr>
        <w:trPr>
          <w:cantSplit/>
        </w:trPr>
        <w:tc>
          <w:tcPr>
            <w:tcW w:type="dxa" w:w="2835"/>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Initiative / autonomie</w:t>
            </w:r>
          </w:p>
        </w:tc>
        <w:tc>
          <w:tcPr>
            <w:tcW w:type="dxa" w:w="1134"/>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10 %</w:t>
            </w:r>
          </w:p>
        </w:tc>
        <w:tc>
          <w:tcPr>
            <w:tcW w:type="dxa" w:w="5272"/>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Résultats et progression documentée.</w:t>
            </w:r>
          </w:p>
        </w:tc>
      </w:tr>
      <w:tr>
        <w:trPr>
          <w:cantSplit/>
        </w:trPr>
        <w:tc>
          <w:tcPr>
            <w:tcW w:type="dxa" w:w="2835"/>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Collaboration</w:t>
            </w:r>
          </w:p>
        </w:tc>
        <w:tc>
          <w:tcPr>
            <w:tcW w:type="dxa" w:w="1134"/>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10 %</w:t>
            </w:r>
          </w:p>
        </w:tc>
        <w:tc>
          <w:tcPr>
            <w:tcW w:type="dxa" w:w="5272"/>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Disponibilité et contribution collective, indicatives.</w:t>
            </w:r>
          </w:p>
        </w:tc>
      </w:tr>
      <w:tr>
        <w:trPr>
          <w:cantSplit/>
        </w:trPr>
        <w:tc>
          <w:tcPr>
            <w:tcW w:type="dxa" w:w="2835"/>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Communication / reporting</w:t>
            </w:r>
          </w:p>
        </w:tc>
        <w:tc>
          <w:tcPr>
            <w:tcW w:type="dxa" w:w="1134"/>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10 %</w:t>
            </w:r>
          </w:p>
        </w:tc>
        <w:tc>
          <w:tcPr>
            <w:tcW w:type="dxa" w:w="5272"/>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Traçabilité des tâches et livrables.</w:t>
            </w:r>
          </w:p>
        </w:tc>
      </w:tr>
      <w:tr>
        <w:trPr>
          <w:cantSplit/>
        </w:trPr>
        <w:tc>
          <w:tcPr>
            <w:tcW w:type="dxa" w:w="2835"/>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Valeurs FADES</w:t>
            </w:r>
          </w:p>
        </w:tc>
        <w:tc>
          <w:tcPr>
            <w:tcW w:type="dxa" w:w="1134"/>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10 %</w:t>
            </w:r>
          </w:p>
        </w:tc>
        <w:tc>
          <w:tcPr>
            <w:tcW w:type="dxa" w:w="5272"/>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Assiduité, résultats et régularité.</w:t>
            </w:r>
          </w:p>
        </w:tc>
      </w:tr>
    </w:tbl>
    <w:p>
      <w:pPr>
        <w:spacing w:after="0"/>
      </w:pPr>
    </w:p>
    <w:p>
      <w:pPr>
        <w:pStyle w:val="Heading2"/>
        <w:keepNext/>
        <w:spacing w:before="140" w:after="100" w:line="240" w:lineRule="auto"/>
      </w:pPr>
      <w:r>
        <w:rPr>
          <w:rFonts w:ascii="Liberation Sans" w:hAnsi="Liberation Sans" w:eastAsia="Liberation Sans"/>
          <w:b/>
          <w:i w:val="0"/>
          <w:color w:val="0B2536"/>
          <w:sz w:val="23"/>
        </w:rPr>
        <w:t>6.2 Hiérarchie des notes</w:t>
      </w:r>
    </w:p>
    <w:p>
      <w:pPr>
        <w:spacing w:before="0" w:after="40" w:line="252" w:lineRule="auto"/>
        <w:ind w:left="198" w:hanging="198"/>
      </w:pPr>
      <w:r>
        <w:rPr>
          <w:rFonts w:ascii="Liberation Sans" w:hAnsi="Liberation Sans" w:eastAsia="Liberation Sans"/>
          <w:b w:val="0"/>
          <w:i w:val="0"/>
          <w:sz w:val="18"/>
        </w:rPr>
        <w:t>1. Note RH — priorité 1.</w:t>
      </w:r>
    </w:p>
    <w:p>
      <w:pPr>
        <w:spacing w:before="0" w:after="40" w:line="252" w:lineRule="auto"/>
        <w:ind w:left="198" w:hanging="198"/>
      </w:pPr>
      <w:r>
        <w:rPr>
          <w:rFonts w:ascii="Liberation Sans" w:hAnsi="Liberation Sans" w:eastAsia="Liberation Sans"/>
          <w:b w:val="0"/>
          <w:i w:val="0"/>
          <w:sz w:val="18"/>
        </w:rPr>
        <w:t>2. Note hiérarchique — priorité 2.</w:t>
      </w:r>
    </w:p>
    <w:p>
      <w:pPr>
        <w:spacing w:before="0" w:after="40" w:line="252" w:lineRule="auto"/>
        <w:ind w:left="198" w:hanging="198"/>
      </w:pPr>
      <w:r>
        <w:rPr>
          <w:rFonts w:ascii="Liberation Sans" w:hAnsi="Liberation Sans" w:eastAsia="Liberation Sans"/>
          <w:b w:val="0"/>
          <w:i w:val="0"/>
          <w:sz w:val="18"/>
        </w:rPr>
        <w:t>3. Note de l’Agent — priorité 3.</w:t>
      </w:r>
    </w:p>
    <w:p>
      <w:pPr>
        <w:spacing w:before="0" w:after="40" w:line="252" w:lineRule="auto"/>
        <w:ind w:left="198" w:hanging="198"/>
      </w:pPr>
      <w:r>
        <w:rPr>
          <w:rFonts w:ascii="Liberation Sans" w:hAnsi="Liberation Sans" w:eastAsia="Liberation Sans"/>
          <w:b w:val="0"/>
          <w:i w:val="0"/>
          <w:sz w:val="18"/>
        </w:rPr>
        <w:t>4. Suggestion système — priorité 4.</w:t>
      </w:r>
    </w:p>
    <w:p>
      <w:pPr>
        <w:spacing w:before="0" w:after="100" w:line="269" w:lineRule="auto"/>
      </w:pPr>
      <w:r>
        <w:rPr>
          <w:rFonts w:ascii="Liberation Sans" w:hAnsi="Liberation Sans" w:eastAsia="Liberation Sans"/>
          <w:b w:val="0"/>
          <w:i w:val="0"/>
          <w:color w:val="0B2536"/>
          <w:sz w:val="19"/>
        </w:rPr>
        <w:t>La note finale de chaque critère est convertie de 0 à 5 selon son poids. Le score global est la somme pondérée sur 100.</w:t>
      </w:r>
    </w:p>
    <w:p>
      <w:pPr>
        <w:pStyle w:val="Heading2"/>
        <w:keepNext/>
        <w:spacing w:before="140" w:after="100" w:line="240" w:lineRule="auto"/>
      </w:pPr>
      <w:r>
        <w:rPr>
          <w:rFonts w:ascii="Liberation Sans" w:hAnsi="Liberation Sans" w:eastAsia="Liberation Sans"/>
          <w:b/>
          <w:i w:val="0"/>
          <w:color w:val="0B2536"/>
          <w:sz w:val="23"/>
        </w:rPr>
        <w:t>6.3 Niveaux de performance</w:t>
      </w:r>
    </w:p>
    <w:tbl>
      <w:tblPr>
        <w:tblW w:type="auto" w:w="0"/>
        <w:jc w:val="center"/>
        <w:tblLayout w:type="fixed"/>
        <w:tblLook w:firstColumn="1" w:firstRow="1" w:lastColumn="0" w:lastRow="0" w:noHBand="0" w:noVBand="1" w:val="04A0"/>
      </w:tblPr>
      <w:tblGrid>
        <w:gridCol w:w="5156"/>
        <w:gridCol w:w="5156"/>
      </w:tblGrid>
      <w:tr>
        <w:trPr>
          <w:tblHeader w:val="true"/>
        </w:trPr>
        <w:tc>
          <w:tcPr>
            <w:tcW w:type="dxa" w:w="2835"/>
            <w:shd w:fill="046242"/>
            <w:tcBorders>
              <w:top w:val="single" w:sz="6" w:color="046242"/>
              <w:left w:val="single" w:sz="6" w:color="FFFFFF"/>
              <w:bottom w:val="single" w:sz="6" w:color="046242"/>
              <w:right w:val="single" w:sz="6" w:color="FFFFFF"/>
            </w:tcBorders>
            <w:vAlign w:val="center"/>
          </w:tcPr>
          <w:p>
            <w:pPr>
              <w:jc w:val="center"/>
            </w:pPr>
            <w:r>
              <w:rPr>
                <w:rFonts w:ascii="Liberation Sans" w:hAnsi="Liberation Sans" w:eastAsia="Liberation Sans"/>
                <w:b/>
                <w:i w:val="0"/>
                <w:color w:val="FFFFFF"/>
                <w:sz w:val="17"/>
              </w:rPr>
              <w:t>Plage</w:t>
            </w:r>
          </w:p>
        </w:tc>
        <w:tc>
          <w:tcPr>
            <w:tcW w:type="dxa" w:w="6406"/>
            <w:shd w:fill="046242"/>
            <w:tcBorders>
              <w:top w:val="single" w:sz="6" w:color="046242"/>
              <w:left w:val="single" w:sz="6" w:color="FFFFFF"/>
              <w:bottom w:val="single" w:sz="6" w:color="046242"/>
              <w:right w:val="single" w:sz="6" w:color="FFFFFF"/>
            </w:tcBorders>
            <w:vAlign w:val="center"/>
          </w:tcPr>
          <w:p>
            <w:pPr>
              <w:jc w:val="center"/>
            </w:pPr>
            <w:r>
              <w:rPr>
                <w:rFonts w:ascii="Liberation Sans" w:hAnsi="Liberation Sans" w:eastAsia="Liberation Sans"/>
                <w:b/>
                <w:i w:val="0"/>
                <w:color w:val="FFFFFF"/>
                <w:sz w:val="17"/>
              </w:rPr>
              <w:t>Niveau</w:t>
            </w:r>
          </w:p>
        </w:tc>
      </w:tr>
      <w:tr>
        <w:trPr>
          <w:cantSplit/>
        </w:trPr>
        <w:tc>
          <w:tcPr>
            <w:tcW w:type="dxa" w:w="2835"/>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7"/>
              </w:rPr>
              <w:t>90–100</w:t>
            </w:r>
          </w:p>
        </w:tc>
        <w:tc>
          <w:tcPr>
            <w:tcW w:type="dxa" w:w="6406"/>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7"/>
              </w:rPr>
              <w:t>EXCELLENT</w:t>
            </w:r>
          </w:p>
        </w:tc>
      </w:tr>
      <w:tr>
        <w:trPr>
          <w:cantSplit/>
        </w:trPr>
        <w:tc>
          <w:tcPr>
            <w:tcW w:type="dxa" w:w="2835"/>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7"/>
              </w:rPr>
              <w:t>80–89</w:t>
            </w:r>
          </w:p>
        </w:tc>
        <w:tc>
          <w:tcPr>
            <w:tcW w:type="dxa" w:w="6406"/>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7"/>
              </w:rPr>
              <w:t>VERY_GOOD</w:t>
            </w:r>
          </w:p>
        </w:tc>
      </w:tr>
      <w:tr>
        <w:trPr>
          <w:cantSplit/>
        </w:trPr>
        <w:tc>
          <w:tcPr>
            <w:tcW w:type="dxa" w:w="2835"/>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7"/>
              </w:rPr>
              <w:t>70–79</w:t>
            </w:r>
          </w:p>
        </w:tc>
        <w:tc>
          <w:tcPr>
            <w:tcW w:type="dxa" w:w="6406"/>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7"/>
              </w:rPr>
              <w:t>SATISFACTORY</w:t>
            </w:r>
          </w:p>
        </w:tc>
      </w:tr>
      <w:tr>
        <w:trPr>
          <w:cantSplit/>
        </w:trPr>
        <w:tc>
          <w:tcPr>
            <w:tcW w:type="dxa" w:w="2835"/>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7"/>
              </w:rPr>
              <w:t>60–69</w:t>
            </w:r>
          </w:p>
        </w:tc>
        <w:tc>
          <w:tcPr>
            <w:tcW w:type="dxa" w:w="6406"/>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7"/>
              </w:rPr>
              <w:t>NEEDS_IMPROVEMENT</w:t>
            </w:r>
          </w:p>
        </w:tc>
      </w:tr>
      <w:tr>
        <w:trPr>
          <w:cantSplit/>
        </w:trPr>
        <w:tc>
          <w:tcPr>
            <w:tcW w:type="dxa" w:w="2835"/>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7"/>
              </w:rPr>
              <w:t>&lt; 60</w:t>
            </w:r>
          </w:p>
        </w:tc>
        <w:tc>
          <w:tcPr>
            <w:tcW w:type="dxa" w:w="6406"/>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7"/>
              </w:rPr>
              <w:t>INSUFFICIENT</w:t>
            </w:r>
          </w:p>
        </w:tc>
      </w:tr>
    </w:tbl>
    <w:p>
      <w:pPr>
        <w:spacing w:after="0"/>
      </w:pPr>
    </w:p>
    <w:p>
      <w:pPr>
        <w:pStyle w:val="Heading2"/>
        <w:keepNext/>
        <w:spacing w:before="140" w:after="100" w:line="240" w:lineRule="auto"/>
      </w:pPr>
      <w:r>
        <w:rPr>
          <w:rFonts w:ascii="Liberation Sans" w:hAnsi="Liberation Sans" w:eastAsia="Liberation Sans"/>
          <w:b/>
          <w:i w:val="0"/>
          <w:color w:val="0B2536"/>
          <w:sz w:val="23"/>
        </w:rPr>
        <w:t>6.4 Intelligence HRS</w:t>
      </w:r>
    </w:p>
    <w:p>
      <w:pPr>
        <w:spacing w:before="0" w:after="100" w:line="269" w:lineRule="auto"/>
      </w:pPr>
      <w:r>
        <w:rPr>
          <w:rFonts w:ascii="Liberation Sans" w:hAnsi="Liberation Sans" w:eastAsia="Liberation Sans"/>
          <w:b w:val="0"/>
          <w:i w:val="0"/>
          <w:color w:val="0B2536"/>
          <w:sz w:val="19"/>
        </w:rPr>
        <w:t>Le moteur calcule les indices d’objectifs, d’assiduité, de fiabilité et de constance. Il détermine ensuite la confiance des données, le risque, le potentiel, une décision recommandée, les forces, alertes, actions, points d’entretien, brief RH, note Direction générale et plan 90 jours.</w:t>
      </w:r>
    </w:p>
    <w:tbl>
      <w:tblPr>
        <w:tblW w:type="auto" w:w="0"/>
        <w:jc w:val="center"/>
        <w:tblLayout w:type="fixed"/>
        <w:tblLook w:firstColumn="1" w:firstRow="1" w:lastColumn="0" w:lastRow="0" w:noHBand="0" w:noVBand="1" w:val="04A0"/>
      </w:tblPr>
      <w:tblGrid>
        <w:gridCol w:w="5156"/>
        <w:gridCol w:w="5156"/>
      </w:tblGrid>
      <w:tr>
        <w:trPr>
          <w:tblHeader w:val="true"/>
        </w:trPr>
        <w:tc>
          <w:tcPr>
            <w:tcW w:type="dxa" w:w="2268"/>
            <w:shd w:fill="046242"/>
            <w:tcBorders>
              <w:top w:val="single" w:sz="6" w:color="046242"/>
              <w:left w:val="single" w:sz="6" w:color="FFFFFF"/>
              <w:bottom w:val="single" w:sz="6" w:color="046242"/>
              <w:right w:val="single" w:sz="6" w:color="FFFFFF"/>
            </w:tcBorders>
            <w:vAlign w:val="center"/>
          </w:tcPr>
          <w:p>
            <w:pPr>
              <w:jc w:val="center"/>
            </w:pPr>
            <w:r>
              <w:rPr>
                <w:rFonts w:ascii="Liberation Sans" w:hAnsi="Liberation Sans" w:eastAsia="Liberation Sans"/>
                <w:b/>
                <w:i w:val="0"/>
                <w:color w:val="FFFFFF"/>
                <w:sz w:val="16"/>
              </w:rPr>
              <w:t>Dimension</w:t>
            </w:r>
          </w:p>
        </w:tc>
        <w:tc>
          <w:tcPr>
            <w:tcW w:type="dxa" w:w="6973"/>
            <w:shd w:fill="046242"/>
            <w:tcBorders>
              <w:top w:val="single" w:sz="6" w:color="046242"/>
              <w:left w:val="single" w:sz="6" w:color="FFFFFF"/>
              <w:bottom w:val="single" w:sz="6" w:color="046242"/>
              <w:right w:val="single" w:sz="6" w:color="FFFFFF"/>
            </w:tcBorders>
            <w:vAlign w:val="center"/>
          </w:tcPr>
          <w:p>
            <w:pPr>
              <w:jc w:val="center"/>
            </w:pPr>
            <w:r>
              <w:rPr>
                <w:rFonts w:ascii="Liberation Sans" w:hAnsi="Liberation Sans" w:eastAsia="Liberation Sans"/>
                <w:b/>
                <w:i w:val="0"/>
                <w:color w:val="FFFFFF"/>
                <w:sz w:val="16"/>
              </w:rPr>
              <w:t>Principe</w:t>
            </w:r>
          </w:p>
        </w:tc>
      </w:tr>
      <w:tr>
        <w:trPr>
          <w:cantSplit/>
        </w:trPr>
        <w:tc>
          <w:tcPr>
            <w:tcW w:type="dxa" w:w="2268"/>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Confiance</w:t>
            </w:r>
          </w:p>
        </w:tc>
        <w:tc>
          <w:tcPr>
            <w:tcW w:type="dxa" w:w="6973"/>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Nombre de sources et de revues effectivement disponibles.</w:t>
            </w:r>
          </w:p>
        </w:tc>
      </w:tr>
      <w:tr>
        <w:trPr>
          <w:cantSplit/>
        </w:trPr>
        <w:tc>
          <w:tcPr>
            <w:tcW w:type="dxa" w:w="2268"/>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Risque</w:t>
            </w:r>
          </w:p>
        </w:tc>
        <w:tc>
          <w:tcPr>
            <w:tcW w:type="dxa" w:w="6973"/>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Score, assiduité, fiabilité, absences, retards et exécution.</w:t>
            </w:r>
          </w:p>
        </w:tc>
      </w:tr>
      <w:tr>
        <w:trPr>
          <w:cantSplit/>
        </w:trPr>
        <w:tc>
          <w:tcPr>
            <w:tcW w:type="dxa" w:w="2268"/>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Potentiel</w:t>
            </w:r>
          </w:p>
        </w:tc>
        <w:tc>
          <w:tcPr>
            <w:tcW w:type="dxa" w:w="6973"/>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Score durable, objectifs, initiative, fiabilité et niveau de risque.</w:t>
            </w:r>
          </w:p>
        </w:tc>
      </w:tr>
      <w:tr>
        <w:trPr>
          <w:cantSplit/>
        </w:trPr>
        <w:tc>
          <w:tcPr>
            <w:tcW w:type="dxa" w:w="2268"/>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Décision</w:t>
            </w:r>
          </w:p>
        </w:tc>
        <w:tc>
          <w:tcPr>
            <w:tcW w:type="dxa" w:w="6973"/>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Confirmation, renouvellement, promotion, formation, amélioration, mobilité ou aucune décision.</w:t>
            </w:r>
          </w:p>
        </w:tc>
      </w:tr>
    </w:tbl>
    <w:p>
      <w:pPr>
        <w:spacing w:after="0"/>
      </w:pPr>
    </w:p>
    <w:tbl>
      <w:tblPr>
        <w:tblW w:type="auto" w:w="0"/>
        <w:jc w:val="center"/>
        <w:tblLayout w:type="fixed"/>
        <w:tblLook w:firstColumn="1" w:firstRow="1" w:lastColumn="0" w:lastRow="0" w:noHBand="0" w:noVBand="1" w:val="04A0"/>
      </w:tblPr>
      <w:tblGrid>
        <w:gridCol w:w="9354"/>
      </w:tblGrid>
      <w:tr>
        <w:tc>
          <w:tcPr>
            <w:tcW w:type="dxa" w:w="10312"/>
            <w:shd w:fill="FFF7DF"/>
            <w:tcBorders>
              <w:top w:val="single" w:sz="8" w:color="E9B521"/>
              <w:left w:val="single" w:sz="12" w:color="E9B521"/>
              <w:bottom w:val="single" w:sz="6" w:color="D5E4DB"/>
              <w:right w:val="single" w:sz="6" w:color="D5E4DB"/>
            </w:tcBorders>
          </w:tcPr>
          <w:p>
            <w:pPr>
              <w:spacing w:before="0" w:after="60" w:line="259" w:lineRule="auto"/>
            </w:pPr>
            <w:r>
              <w:rPr>
                <w:rFonts w:ascii="Liberation Sans" w:hAnsi="Liberation Sans" w:eastAsia="Liberation Sans"/>
                <w:b/>
                <w:i w:val="0"/>
                <w:color w:val="0B2536"/>
                <w:sz w:val="17"/>
              </w:rPr>
              <w:t>HEURES SUPPLÉMENTAIRES</w:t>
            </w:r>
          </w:p>
          <w:p>
            <w:pPr>
              <w:spacing w:before="0" w:after="0" w:line="259" w:lineRule="auto"/>
            </w:pPr>
            <w:r>
              <w:rPr>
                <w:rFonts w:ascii="Liberation Sans" w:hAnsi="Liberation Sans" w:eastAsia="Liberation Sans"/>
                <w:b w:val="0"/>
                <w:i w:val="0"/>
                <w:color w:val="0B2536"/>
                <w:sz w:val="18"/>
              </w:rPr>
              <w:t>Elles ne génèrent aucun bonus automatique. Un volume important est interprété comme un signal de charge, de priorisation, de moyens ou d’organisation à analyser.</w:t>
            </w:r>
          </w:p>
        </w:tc>
      </w:tr>
    </w:tbl>
    <w:p>
      <w:pPr>
        <w:spacing w:after="0"/>
      </w:pPr>
    </w:p>
    <w:p>
      <w:pPr>
        <w:pStyle w:val="Heading1"/>
        <w:keepNext/>
        <w:spacing w:before="200" w:after="100" w:line="240" w:lineRule="auto"/>
      </w:pPr>
      <w:r>
        <w:rPr>
          <w:rFonts w:ascii="Liberation Sans" w:hAnsi="Liberation Sans" w:eastAsia="Liberation Sans"/>
          <w:b/>
          <w:i w:val="0"/>
          <w:color w:val="046242"/>
          <w:sz w:val="28"/>
        </w:rPr>
        <w:t>7. API et contrats d’entrée</w:t>
      </w:r>
    </w:p>
    <w:p>
      <w:pPr>
        <w:spacing w:before="0" w:after="100" w:line="269" w:lineRule="auto"/>
      </w:pPr>
      <w:r>
        <w:rPr>
          <w:rFonts w:ascii="Liberation Sans" w:hAnsi="Liberation Sans" w:eastAsia="Liberation Sans"/>
          <w:b w:val="0"/>
          <w:i w:val="0"/>
          <w:color w:val="0B2536"/>
          <w:sz w:val="19"/>
        </w:rPr>
        <w:t>Base recommandée : /api/v1/evaluations. Le frontend appelle /evaluations, en supposant que la base Axios inclut déjà /api/v1.</w:t>
      </w:r>
    </w:p>
    <w:p>
      <w:pPr>
        <w:pStyle w:val="Heading2"/>
        <w:keepNext/>
        <w:spacing w:before="140" w:after="100" w:line="240" w:lineRule="auto"/>
      </w:pPr>
      <w:r>
        <w:rPr>
          <w:rFonts w:ascii="Liberation Sans" w:hAnsi="Liberation Sans" w:eastAsia="Liberation Sans"/>
          <w:b/>
          <w:i w:val="0"/>
          <w:color w:val="0B2536"/>
          <w:sz w:val="23"/>
        </w:rPr>
        <w:t>7.1 Endpoints</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134"/>
            <w:shd w:fill="046242"/>
            <w:tcBorders>
              <w:top w:val="single" w:sz="6" w:color="046242"/>
              <w:left w:val="single" w:sz="6" w:color="FFFFFF"/>
              <w:bottom w:val="single" w:sz="6" w:color="046242"/>
              <w:right w:val="single" w:sz="6" w:color="FFFFFF"/>
            </w:tcBorders>
            <w:vAlign w:val="center"/>
          </w:tcPr>
          <w:p>
            <w:pPr>
              <w:jc w:val="center"/>
            </w:pPr>
            <w:r>
              <w:rPr>
                <w:rFonts w:ascii="Liberation Sans" w:hAnsi="Liberation Sans" w:eastAsia="Liberation Sans"/>
                <w:b/>
                <w:i w:val="0"/>
                <w:color w:val="FFFFFF"/>
                <w:sz w:val="15"/>
              </w:rPr>
              <w:t>Méthode</w:t>
            </w:r>
          </w:p>
        </w:tc>
        <w:tc>
          <w:tcPr>
            <w:tcW w:type="dxa" w:w="2551"/>
            <w:shd w:fill="046242"/>
            <w:tcBorders>
              <w:top w:val="single" w:sz="6" w:color="046242"/>
              <w:left w:val="single" w:sz="6" w:color="FFFFFF"/>
              <w:bottom w:val="single" w:sz="6" w:color="046242"/>
              <w:right w:val="single" w:sz="6" w:color="FFFFFF"/>
            </w:tcBorders>
            <w:vAlign w:val="center"/>
          </w:tcPr>
          <w:p>
            <w:pPr>
              <w:jc w:val="center"/>
            </w:pPr>
            <w:r>
              <w:rPr>
                <w:rFonts w:ascii="Liberation Sans" w:hAnsi="Liberation Sans" w:eastAsia="Liberation Sans"/>
                <w:b/>
                <w:i w:val="0"/>
                <w:color w:val="FFFFFF"/>
                <w:sz w:val="15"/>
              </w:rPr>
              <w:t>Route</w:t>
            </w:r>
          </w:p>
        </w:tc>
        <w:tc>
          <w:tcPr>
            <w:tcW w:type="dxa" w:w="3402"/>
            <w:shd w:fill="046242"/>
            <w:tcBorders>
              <w:top w:val="single" w:sz="6" w:color="046242"/>
              <w:left w:val="single" w:sz="6" w:color="FFFFFF"/>
              <w:bottom w:val="single" w:sz="6" w:color="046242"/>
              <w:right w:val="single" w:sz="6" w:color="FFFFFF"/>
            </w:tcBorders>
            <w:vAlign w:val="center"/>
          </w:tcPr>
          <w:p>
            <w:pPr>
              <w:jc w:val="center"/>
            </w:pPr>
            <w:r>
              <w:rPr>
                <w:rFonts w:ascii="Liberation Sans" w:hAnsi="Liberation Sans" w:eastAsia="Liberation Sans"/>
                <w:b/>
                <w:i w:val="0"/>
                <w:color w:val="FFFFFF"/>
                <w:sz w:val="15"/>
              </w:rPr>
              <w:t>Usage</w:t>
            </w:r>
          </w:p>
        </w:tc>
        <w:tc>
          <w:tcPr>
            <w:tcW w:type="dxa" w:w="2381"/>
            <w:shd w:fill="046242"/>
            <w:tcBorders>
              <w:top w:val="single" w:sz="6" w:color="046242"/>
              <w:left w:val="single" w:sz="6" w:color="FFFFFF"/>
              <w:bottom w:val="single" w:sz="6" w:color="046242"/>
              <w:right w:val="single" w:sz="6" w:color="FFFFFF"/>
            </w:tcBorders>
            <w:vAlign w:val="center"/>
          </w:tcPr>
          <w:p>
            <w:pPr>
              <w:jc w:val="center"/>
            </w:pPr>
            <w:r>
              <w:rPr>
                <w:rFonts w:ascii="Liberation Sans" w:hAnsi="Liberation Sans" w:eastAsia="Liberation Sans"/>
                <w:b/>
                <w:i w:val="0"/>
                <w:color w:val="FFFFFF"/>
                <w:sz w:val="15"/>
              </w:rPr>
              <w:t>Droit principal</w:t>
            </w:r>
          </w:p>
        </w:tc>
      </w:tr>
      <w:tr>
        <w:trPr>
          <w:cantSplit/>
        </w:trPr>
        <w:tc>
          <w:tcPr>
            <w:tcW w:type="dxa" w:w="1134"/>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GET</w:t>
            </w:r>
          </w:p>
        </w:tc>
        <w:tc>
          <w:tcPr>
            <w:tcW w:type="dxa" w:w="2551"/>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/stats</w:t>
            </w:r>
          </w:p>
        </w:tc>
        <w:tc>
          <w:tcPr>
            <w:tcW w:type="dxa" w:w="3402"/>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Indicateurs du périmètre</w:t>
            </w:r>
          </w:p>
        </w:tc>
        <w:tc>
          <w:tcPr>
            <w:tcW w:type="dxa" w:w="2381"/>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Tous selon scope</w:t>
            </w:r>
          </w:p>
        </w:tc>
      </w:tr>
      <w:tr>
        <w:trPr>
          <w:cantSplit/>
        </w:trPr>
        <w:tc>
          <w:tcPr>
            <w:tcW w:type="dxa" w:w="1134"/>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GET</w:t>
            </w:r>
          </w:p>
        </w:tc>
        <w:tc>
          <w:tcPr>
            <w:tcW w:type="dxa" w:w="2551"/>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/export.csv</w:t>
            </w:r>
          </w:p>
        </w:tc>
        <w:tc>
          <w:tcPr>
            <w:tcW w:type="dxa" w:w="3402"/>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Export CSV filtré</w:t>
            </w:r>
          </w:p>
        </w:tc>
        <w:tc>
          <w:tcPr>
            <w:tcW w:type="dxa" w:w="2381"/>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Tous selon scope</w:t>
            </w:r>
          </w:p>
        </w:tc>
      </w:tr>
      <w:tr>
        <w:trPr>
          <w:cantSplit/>
        </w:trPr>
        <w:tc>
          <w:tcPr>
            <w:tcW w:type="dxa" w:w="1134"/>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GET</w:t>
            </w:r>
          </w:p>
        </w:tc>
        <w:tc>
          <w:tcPr>
            <w:tcW w:type="dxa" w:w="2551"/>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w:t>
            </w:r>
          </w:p>
        </w:tc>
        <w:tc>
          <w:tcPr>
            <w:tcW w:type="dxa" w:w="3402"/>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Liste paginée</w:t>
            </w:r>
          </w:p>
        </w:tc>
        <w:tc>
          <w:tcPr>
            <w:tcW w:type="dxa" w:w="2381"/>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Tous selon scope</w:t>
            </w:r>
          </w:p>
        </w:tc>
      </w:tr>
      <w:tr>
        <w:trPr>
          <w:cantSplit/>
        </w:trPr>
        <w:tc>
          <w:tcPr>
            <w:tcW w:type="dxa" w:w="1134"/>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POST</w:t>
            </w:r>
          </w:p>
        </w:tc>
        <w:tc>
          <w:tcPr>
            <w:tcW w:type="dxa" w:w="2551"/>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w:t>
            </w:r>
          </w:p>
        </w:tc>
        <w:tc>
          <w:tcPr>
            <w:tcW w:type="dxa" w:w="3402"/>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Création</w:t>
            </w:r>
          </w:p>
        </w:tc>
        <w:tc>
          <w:tcPr>
            <w:tcW w:type="dxa" w:w="2381"/>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Admin / RH</w:t>
            </w:r>
          </w:p>
        </w:tc>
      </w:tr>
      <w:tr>
        <w:trPr>
          <w:cantSplit/>
        </w:trPr>
        <w:tc>
          <w:tcPr>
            <w:tcW w:type="dxa" w:w="1134"/>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GET</w:t>
            </w:r>
          </w:p>
        </w:tc>
        <w:tc>
          <w:tcPr>
            <w:tcW w:type="dxa" w:w="2551"/>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/:id</w:t>
            </w:r>
          </w:p>
        </w:tc>
        <w:tc>
          <w:tcPr>
            <w:tcW w:type="dxa" w:w="3402"/>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Consultation + recalcul</w:t>
            </w:r>
          </w:p>
        </w:tc>
        <w:tc>
          <w:tcPr>
            <w:tcW w:type="dxa" w:w="2381"/>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Selon scope</w:t>
            </w:r>
          </w:p>
        </w:tc>
      </w:tr>
      <w:tr>
        <w:trPr>
          <w:cantSplit/>
        </w:trPr>
        <w:tc>
          <w:tcPr>
            <w:tcW w:type="dxa" w:w="1134"/>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PATCH</w:t>
            </w:r>
          </w:p>
        </w:tc>
        <w:tc>
          <w:tcPr>
            <w:tcW w:type="dxa" w:w="2551"/>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/:id</w:t>
            </w:r>
          </w:p>
        </w:tc>
        <w:tc>
          <w:tcPr>
            <w:tcW w:type="dxa" w:w="3402"/>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Mise à jour</w:t>
            </w:r>
          </w:p>
        </w:tc>
        <w:tc>
          <w:tcPr>
            <w:tcW w:type="dxa" w:w="2381"/>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Admin / RH</w:t>
            </w:r>
          </w:p>
        </w:tc>
      </w:tr>
      <w:tr>
        <w:trPr>
          <w:cantSplit/>
        </w:trPr>
        <w:tc>
          <w:tcPr>
            <w:tcW w:type="dxa" w:w="1134"/>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DELETE</w:t>
            </w:r>
          </w:p>
        </w:tc>
        <w:tc>
          <w:tcPr>
            <w:tcW w:type="dxa" w:w="2551"/>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/:id</w:t>
            </w:r>
          </w:p>
        </w:tc>
        <w:tc>
          <w:tcPr>
            <w:tcW w:type="dxa" w:w="3402"/>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Suppression</w:t>
            </w:r>
          </w:p>
        </w:tc>
        <w:tc>
          <w:tcPr>
            <w:tcW w:type="dxa" w:w="2381"/>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Admin / RH</w:t>
            </w:r>
          </w:p>
        </w:tc>
      </w:tr>
      <w:tr>
        <w:trPr>
          <w:cantSplit/>
        </w:trPr>
        <w:tc>
          <w:tcPr>
            <w:tcW w:type="dxa" w:w="1134"/>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POST</w:t>
            </w:r>
          </w:p>
        </w:tc>
        <w:tc>
          <w:tcPr>
            <w:tcW w:type="dxa" w:w="2551"/>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/:id/recompute</w:t>
            </w:r>
          </w:p>
        </w:tc>
        <w:tc>
          <w:tcPr>
            <w:tcW w:type="dxa" w:w="3402"/>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Recalcul HRS</w:t>
            </w:r>
          </w:p>
        </w:tc>
        <w:tc>
          <w:tcPr>
            <w:tcW w:type="dxa" w:w="2381"/>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Admin / RH</w:t>
            </w:r>
          </w:p>
        </w:tc>
      </w:tr>
      <w:tr>
        <w:trPr>
          <w:cantSplit/>
        </w:trPr>
        <w:tc>
          <w:tcPr>
            <w:tcW w:type="dxa" w:w="1134"/>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POST</w:t>
            </w:r>
          </w:p>
        </w:tc>
        <w:tc>
          <w:tcPr>
            <w:tcW w:type="dxa" w:w="2551"/>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/:id/self-review</w:t>
            </w:r>
          </w:p>
        </w:tc>
        <w:tc>
          <w:tcPr>
            <w:tcW w:type="dxa" w:w="3402"/>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Auto-évaluation</w:t>
            </w:r>
          </w:p>
        </w:tc>
        <w:tc>
          <w:tcPr>
            <w:tcW w:type="dxa" w:w="2381"/>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Agent concerné / global</w:t>
            </w:r>
          </w:p>
        </w:tc>
      </w:tr>
      <w:tr>
        <w:trPr>
          <w:cantSplit/>
        </w:trPr>
        <w:tc>
          <w:tcPr>
            <w:tcW w:type="dxa" w:w="1134"/>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POST</w:t>
            </w:r>
          </w:p>
        </w:tc>
        <w:tc>
          <w:tcPr>
            <w:tcW w:type="dxa" w:w="2551"/>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/:id/manager-review</w:t>
            </w:r>
          </w:p>
        </w:tc>
        <w:tc>
          <w:tcPr>
            <w:tcW w:type="dxa" w:w="3402"/>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Appréciation</w:t>
            </w:r>
          </w:p>
        </w:tc>
        <w:tc>
          <w:tcPr>
            <w:tcW w:type="dxa" w:w="2381"/>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Hiérarchie / global</w:t>
            </w:r>
          </w:p>
        </w:tc>
      </w:tr>
      <w:tr>
        <w:trPr>
          <w:cantSplit/>
        </w:trPr>
        <w:tc>
          <w:tcPr>
            <w:tcW w:type="dxa" w:w="1134"/>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POST</w:t>
            </w:r>
          </w:p>
        </w:tc>
        <w:tc>
          <w:tcPr>
            <w:tcW w:type="dxa" w:w="2551"/>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/:id/hr-validation</w:t>
            </w:r>
          </w:p>
        </w:tc>
        <w:tc>
          <w:tcPr>
            <w:tcW w:type="dxa" w:w="3402"/>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Validation finale</w:t>
            </w:r>
          </w:p>
        </w:tc>
        <w:tc>
          <w:tcPr>
            <w:tcW w:type="dxa" w:w="2381"/>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Admin / RH</w:t>
            </w:r>
          </w:p>
        </w:tc>
      </w:tr>
    </w:tbl>
    <w:p>
      <w:pPr>
        <w:spacing w:after="0"/>
      </w:pPr>
    </w:p>
    <w:p>
      <w:pPr>
        <w:pStyle w:val="Heading2"/>
        <w:keepNext/>
        <w:spacing w:before="140" w:after="100" w:line="240" w:lineRule="auto"/>
      </w:pPr>
      <w:r>
        <w:rPr>
          <w:rFonts w:ascii="Liberation Sans" w:hAnsi="Liberation Sans" w:eastAsia="Liberation Sans"/>
          <w:b/>
          <w:i w:val="0"/>
          <w:color w:val="0B2536"/>
          <w:sz w:val="23"/>
        </w:rPr>
        <w:t>7.2 Filtres de liste</w:t>
      </w:r>
    </w:p>
    <w:p>
      <w:pPr>
        <w:spacing w:before="0" w:after="100" w:line="269" w:lineRule="auto"/>
      </w:pPr>
      <w:r>
        <w:rPr>
          <w:rFonts w:ascii="Liberation Sans" w:hAnsi="Liberation Sans" w:eastAsia="Liberation Sans"/>
          <w:b w:val="0"/>
          <w:i w:val="0"/>
          <w:color w:val="0B2536"/>
          <w:sz w:val="19"/>
        </w:rPr>
        <w:t>page, limit, search, status, evaluationYear, agentId, directionId, serviceId, dateFrom, dateTo et sort. Les tris disponibles sont CREATED_DESC, PERIOD_DESC, SCORE_DESC et AGENT_ASC.</w:t>
      </w:r>
    </w:p>
    <w:p>
      <w:pPr>
        <w:pStyle w:val="Heading2"/>
        <w:keepNext/>
        <w:spacing w:before="140" w:after="100" w:line="240" w:lineRule="auto"/>
      </w:pPr>
      <w:r>
        <w:rPr>
          <w:rFonts w:ascii="Liberation Sans" w:hAnsi="Liberation Sans" w:eastAsia="Liberation Sans"/>
          <w:b/>
          <w:i w:val="0"/>
          <w:color w:val="0B2536"/>
          <w:sz w:val="23"/>
        </w:rPr>
        <w:t>7.3 Exemples</w:t>
      </w:r>
    </w:p>
    <w:tbl>
      <w:tblPr>
        <w:tblW w:type="auto" w:w="0"/>
        <w:jc w:val="center"/>
        <w:tblLook w:firstColumn="1" w:firstRow="1" w:lastColumn="0" w:lastRow="0" w:noHBand="0" w:noVBand="1" w:val="04A0"/>
      </w:tblPr>
      <w:tblGrid>
        <w:gridCol w:w="10312"/>
      </w:tblGrid>
      <w:tr>
        <w:tc>
          <w:tcPr>
            <w:tcW w:type="dxa" w:w="10312"/>
            <w:shd w:fill="F3F6F7"/>
            <w:tcBorders>
              <w:top w:val="single" w:sz="4" w:color="C9D7DC"/>
              <w:left w:val="single" w:sz="8" w:color="046242"/>
              <w:bottom w:val="single" w:sz="4" w:color="C9D7DC"/>
              <w:right w:val="single" w:sz="4" w:color="C9D7DC"/>
            </w:tcBorders>
          </w:tcPr>
          <w:p>
            <w:pPr>
              <w:spacing w:before="0" w:after="0" w:line="240" w:lineRule="auto"/>
            </w:pPr>
            <w:r>
              <w:rPr>
                <w:rFonts w:ascii="Liberation Mono" w:hAnsi="Liberation Mono" w:eastAsia="Liberation Mono"/>
                <w:b w:val="0"/>
                <w:i w:val="0"/>
                <w:color w:val="0B2536"/>
                <w:sz w:val="16"/>
              </w:rPr>
              <w:t>// Création</w:t>
            </w:r>
            <w:r>
              <w:br/>
            </w:r>
            <w:r>
              <w:rPr>
                <w:rFonts w:ascii="Liberation Mono" w:hAnsi="Liberation Mono" w:eastAsia="Liberation Mono"/>
                <w:b w:val="0"/>
                <w:i w:val="0"/>
                <w:color w:val="0B2536"/>
                <w:sz w:val="16"/>
              </w:rPr>
              <w:t>{</w:t>
            </w:r>
            <w:r>
              <w:br/>
            </w:r>
            <w:r>
              <w:rPr>
                <w:rFonts w:ascii="Liberation Mono" w:hAnsi="Liberation Mono" w:eastAsia="Liberation Mono"/>
                <w:b w:val="0"/>
                <w:i w:val="0"/>
                <w:color w:val="0B2536"/>
                <w:sz w:val="16"/>
              </w:rPr>
              <w:t xml:space="preserve">  "agentId": "64f000000000000000000001",</w:t>
            </w:r>
            <w:r>
              <w:br/>
            </w:r>
            <w:r>
              <w:rPr>
                <w:rFonts w:ascii="Liberation Mono" w:hAnsi="Liberation Mono" w:eastAsia="Liberation Mono"/>
                <w:b w:val="0"/>
                <w:i w:val="0"/>
                <w:color w:val="0B2536"/>
                <w:sz w:val="16"/>
              </w:rPr>
              <w:t xml:space="preserve">  "title": "Évaluation annuelle de performance 2026",</w:t>
            </w:r>
            <w:r>
              <w:br/>
            </w:r>
            <w:r>
              <w:rPr>
                <w:rFonts w:ascii="Liberation Mono" w:hAnsi="Liberation Mono" w:eastAsia="Liberation Mono"/>
                <w:b w:val="0"/>
                <w:i w:val="0"/>
                <w:color w:val="0B2536"/>
                <w:sz w:val="16"/>
              </w:rPr>
              <w:t xml:space="preserve">  "evaluationYear": 2026,</w:t>
            </w:r>
            <w:r>
              <w:br/>
            </w:r>
            <w:r>
              <w:rPr>
                <w:rFonts w:ascii="Liberation Mono" w:hAnsi="Liberation Mono" w:eastAsia="Liberation Mono"/>
                <w:b w:val="0"/>
                <w:i w:val="0"/>
                <w:color w:val="0B2536"/>
                <w:sz w:val="16"/>
              </w:rPr>
              <w:t xml:space="preserve">  "periodStartDate": "2026-01-01",</w:t>
            </w:r>
            <w:r>
              <w:br/>
            </w:r>
            <w:r>
              <w:rPr>
                <w:rFonts w:ascii="Liberation Mono" w:hAnsi="Liberation Mono" w:eastAsia="Liberation Mono"/>
                <w:b w:val="0"/>
                <w:i w:val="0"/>
                <w:color w:val="0B2536"/>
                <w:sz w:val="16"/>
              </w:rPr>
              <w:t xml:space="preserve">  "periodEndDate": "2026-12-31",</w:t>
            </w:r>
            <w:r>
              <w:br/>
            </w:r>
            <w:r>
              <w:rPr>
                <w:rFonts w:ascii="Liberation Mono" w:hAnsi="Liberation Mono" w:eastAsia="Liberation Mono"/>
                <w:b w:val="0"/>
                <w:i w:val="0"/>
                <w:color w:val="0B2536"/>
                <w:sz w:val="16"/>
              </w:rPr>
              <w:t xml:space="preserve">  "evidenceLinks": [],</w:t>
            </w:r>
            <w:r>
              <w:br/>
            </w:r>
            <w:r>
              <w:rPr>
                <w:rFonts w:ascii="Liberation Mono" w:hAnsi="Liberation Mono" w:eastAsia="Liberation Mono"/>
                <w:b w:val="0"/>
                <w:i w:val="0"/>
                <w:color w:val="0B2536"/>
                <w:sz w:val="16"/>
              </w:rPr>
              <w:t xml:space="preserve">  "confidentialNote": "Observation interne RH"</w:t>
            </w:r>
            <w:r>
              <w:br/>
            </w:r>
            <w:r>
              <w:rPr>
                <w:rFonts w:ascii="Liberation Mono" w:hAnsi="Liberation Mono" w:eastAsia="Liberation Mono"/>
                <w:b w:val="0"/>
                <w:i w:val="0"/>
                <w:color w:val="0B2536"/>
                <w:sz w:val="16"/>
              </w:rPr>
              <w:t>}</w:t>
            </w:r>
          </w:p>
        </w:tc>
      </w:tr>
    </w:tbl>
    <w:p>
      <w:pPr>
        <w:spacing w:after="0"/>
      </w:pPr>
    </w:p>
    <w:tbl>
      <w:tblPr>
        <w:tblW w:type="auto" w:w="0"/>
        <w:jc w:val="center"/>
        <w:tblLook w:firstColumn="1" w:firstRow="1" w:lastColumn="0" w:lastRow="0" w:noHBand="0" w:noVBand="1" w:val="04A0"/>
      </w:tblPr>
      <w:tblGrid>
        <w:gridCol w:w="10312"/>
      </w:tblGrid>
      <w:tr>
        <w:tc>
          <w:tcPr>
            <w:tcW w:type="dxa" w:w="10312"/>
            <w:shd w:fill="F3F6F7"/>
            <w:tcBorders>
              <w:top w:val="single" w:sz="4" w:color="C9D7DC"/>
              <w:left w:val="single" w:sz="8" w:color="046242"/>
              <w:bottom w:val="single" w:sz="4" w:color="C9D7DC"/>
              <w:right w:val="single" w:sz="4" w:color="C9D7DC"/>
            </w:tcBorders>
          </w:tcPr>
          <w:p>
            <w:pPr>
              <w:spacing w:before="0" w:after="0" w:line="240" w:lineRule="auto"/>
            </w:pPr>
            <w:r>
              <w:rPr>
                <w:rFonts w:ascii="Liberation Mono" w:hAnsi="Liberation Mono" w:eastAsia="Liberation Mono"/>
                <w:b w:val="0"/>
                <w:i w:val="0"/>
                <w:color w:val="0B2536"/>
                <w:sz w:val="16"/>
              </w:rPr>
              <w:t>// Validation RH</w:t>
            </w:r>
            <w:r>
              <w:br/>
            </w:r>
            <w:r>
              <w:rPr>
                <w:rFonts w:ascii="Liberation Mono" w:hAnsi="Liberation Mono" w:eastAsia="Liberation Mono"/>
                <w:b w:val="0"/>
                <w:i w:val="0"/>
                <w:color w:val="0B2536"/>
                <w:sz w:val="16"/>
              </w:rPr>
              <w:t>{</w:t>
            </w:r>
            <w:r>
              <w:br/>
            </w:r>
            <w:r>
              <w:rPr>
                <w:rFonts w:ascii="Liberation Mono" w:hAnsi="Liberation Mono" w:eastAsia="Liberation Mono"/>
                <w:b w:val="0"/>
                <w:i w:val="0"/>
                <w:color w:val="0B2536"/>
                <w:sz w:val="16"/>
              </w:rPr>
              <w:t xml:space="preserve">  "finalDecision": "TRAINING_PLAN",</w:t>
            </w:r>
            <w:r>
              <w:br/>
            </w:r>
            <w:r>
              <w:rPr>
                <w:rFonts w:ascii="Liberation Mono" w:hAnsi="Liberation Mono" w:eastAsia="Liberation Mono"/>
                <w:b w:val="0"/>
                <w:i w:val="0"/>
                <w:color w:val="0B2536"/>
                <w:sz w:val="16"/>
              </w:rPr>
              <w:t xml:space="preserve">  "finalComment": "Plan ciblé et point de contrôle à 90 jours.",</w:t>
            </w:r>
            <w:r>
              <w:br/>
            </w:r>
            <w:r>
              <w:rPr>
                <w:rFonts w:ascii="Liberation Mono" w:hAnsi="Liberation Mono" w:eastAsia="Liberation Mono"/>
                <w:b w:val="0"/>
                <w:i w:val="0"/>
                <w:color w:val="0B2536"/>
                <w:sz w:val="16"/>
              </w:rPr>
              <w:t xml:space="preserve">  "criteria": [</w:t>
            </w:r>
            <w:r>
              <w:br/>
            </w:r>
            <w:r>
              <w:rPr>
                <w:rFonts w:ascii="Liberation Mono" w:hAnsi="Liberation Mono" w:eastAsia="Liberation Mono"/>
                <w:b w:val="0"/>
                <w:i w:val="0"/>
                <w:color w:val="0B2536"/>
                <w:sz w:val="16"/>
              </w:rPr>
              <w:t xml:space="preserve">    { "key": "TECHNICAL_SKILLS", "hrScore": 3.5 }</w:t>
            </w:r>
            <w:r>
              <w:br/>
            </w:r>
            <w:r>
              <w:rPr>
                <w:rFonts w:ascii="Liberation Mono" w:hAnsi="Liberation Mono" w:eastAsia="Liberation Mono"/>
                <w:b w:val="0"/>
                <w:i w:val="0"/>
                <w:color w:val="0B2536"/>
                <w:sz w:val="16"/>
              </w:rPr>
              <w:t xml:space="preserve">  ]</w:t>
            </w:r>
            <w:r>
              <w:br/>
            </w:r>
            <w:r>
              <w:rPr>
                <w:rFonts w:ascii="Liberation Mono" w:hAnsi="Liberation Mono" w:eastAsia="Liberation Mono"/>
                <w:b w:val="0"/>
                <w:i w:val="0"/>
                <w:color w:val="0B2536"/>
                <w:sz w:val="16"/>
              </w:rPr>
              <w:t>}</w:t>
            </w:r>
          </w:p>
        </w:tc>
      </w:tr>
    </w:tbl>
    <w:p>
      <w:pPr>
        <w:spacing w:after="0"/>
      </w:pPr>
    </w:p>
    <w:p>
      <w:pPr>
        <w:pStyle w:val="Heading1"/>
        <w:keepNext/>
        <w:spacing w:before="200" w:after="100" w:line="240" w:lineRule="auto"/>
      </w:pPr>
      <w:r>
        <w:rPr>
          <w:rFonts w:ascii="Liberation Sans" w:hAnsi="Liberation Sans" w:eastAsia="Liberation Sans"/>
          <w:b/>
          <w:i w:val="0"/>
          <w:color w:val="046242"/>
          <w:sz w:val="28"/>
        </w:rPr>
        <w:t>8. Frontend et expérience utilisateur</w:t>
      </w:r>
    </w:p>
    <w:p>
      <w:pPr>
        <w:pStyle w:val="Heading2"/>
        <w:keepNext/>
        <w:spacing w:before="140" w:after="100" w:line="240" w:lineRule="auto"/>
      </w:pPr>
      <w:r>
        <w:rPr>
          <w:rFonts w:ascii="Liberation Sans" w:hAnsi="Liberation Sans" w:eastAsia="Liberation Sans"/>
          <w:b/>
          <w:i w:val="0"/>
          <w:color w:val="0B2536"/>
          <w:sz w:val="23"/>
        </w:rPr>
        <w:t>8.1 Page principale</w:t>
      </w:r>
    </w:p>
    <w:p>
      <w:pPr>
        <w:pStyle w:val="ListBullet"/>
        <w:spacing w:before="0" w:after="40" w:line="252" w:lineRule="auto"/>
      </w:pPr>
      <w:r>
        <w:rPr>
          <w:rFonts w:ascii="Liberation Sans" w:hAnsi="Liberation Sans" w:eastAsia="Liberation Sans"/>
          <w:b w:val="0"/>
          <w:i w:val="0"/>
          <w:sz w:val="18"/>
        </w:rPr>
        <w:t>Statistiques globales et chiffres Congés.</w:t>
      </w:r>
    </w:p>
    <w:p>
      <w:pPr>
        <w:pStyle w:val="ListBullet"/>
        <w:spacing w:before="0" w:after="40" w:line="252" w:lineRule="auto"/>
      </w:pPr>
      <w:r>
        <w:rPr>
          <w:rFonts w:ascii="Liberation Sans" w:hAnsi="Liberation Sans" w:eastAsia="Liberation Sans"/>
          <w:b w:val="0"/>
          <w:i w:val="0"/>
          <w:sz w:val="18"/>
        </w:rPr>
        <w:t>Filtres par recherche, année, statut, Direction, Service et Agent.</w:t>
      </w:r>
    </w:p>
    <w:p>
      <w:pPr>
        <w:pStyle w:val="ListBullet"/>
        <w:spacing w:before="0" w:after="40" w:line="252" w:lineRule="auto"/>
      </w:pPr>
      <w:r>
        <w:rPr>
          <w:rFonts w:ascii="Liberation Sans" w:hAnsi="Liberation Sans" w:eastAsia="Liberation Sans"/>
          <w:b w:val="0"/>
          <w:i w:val="0"/>
          <w:sz w:val="18"/>
        </w:rPr>
        <w:t>Pagination, actualisation, export CSV, création, édition et suppression.</w:t>
      </w:r>
    </w:p>
    <w:p>
      <w:pPr>
        <w:pStyle w:val="ListBullet"/>
        <w:spacing w:before="0" w:after="40" w:line="252" w:lineRule="auto"/>
      </w:pPr>
      <w:r>
        <w:rPr>
          <w:rFonts w:ascii="Liberation Sans" w:hAnsi="Liberation Sans" w:eastAsia="Liberation Sans"/>
          <w:b w:val="0"/>
          <w:i w:val="0"/>
          <w:sz w:val="18"/>
        </w:rPr>
        <w:t>Chargement exhaustif des Agents actifs pour les listes de sélection.</w:t>
      </w:r>
    </w:p>
    <w:p>
      <w:pPr>
        <w:pStyle w:val="Heading2"/>
        <w:keepNext/>
        <w:spacing w:before="140" w:after="100" w:line="240" w:lineRule="auto"/>
      </w:pPr>
      <w:r>
        <w:rPr>
          <w:rFonts w:ascii="Liberation Sans" w:hAnsi="Liberation Sans" w:eastAsia="Liberation Sans"/>
          <w:b/>
          <w:i w:val="0"/>
          <w:color w:val="0B2536"/>
          <w:sz w:val="23"/>
        </w:rPr>
        <w:t>8.2 Drawer</w:t>
      </w:r>
    </w:p>
    <w:p>
      <w:pPr>
        <w:spacing w:before="0" w:after="100" w:line="269" w:lineRule="auto"/>
      </w:pPr>
      <w:r>
        <w:rPr>
          <w:rFonts w:ascii="Liberation Sans" w:hAnsi="Liberation Sans" w:eastAsia="Liberation Sans"/>
          <w:b w:val="0"/>
          <w:i w:val="0"/>
          <w:color w:val="0B2536"/>
          <w:sz w:val="19"/>
        </w:rPr>
        <w:t>Les onglets sont affichés selon le rôle : Synthèse, Auto-évaluation, Hiérarchie et Validation RH. Le drawer contient la lecture HRS, la note Direction générale, les chiffres sources, les congés, la grille, les recommandations, la conclusion et les signatures.</w:t>
      </w:r>
    </w:p>
    <w:p>
      <w:pPr>
        <w:pStyle w:val="Heading2"/>
        <w:keepNext/>
        <w:spacing w:before="140" w:after="100" w:line="240" w:lineRule="auto"/>
      </w:pPr>
      <w:r>
        <w:rPr>
          <w:rFonts w:ascii="Liberation Sans" w:hAnsi="Liberation Sans" w:eastAsia="Liberation Sans"/>
          <w:b/>
          <w:i w:val="0"/>
          <w:color w:val="0B2536"/>
          <w:sz w:val="23"/>
        </w:rPr>
        <w:t>8.3 React Query</w:t>
      </w:r>
    </w:p>
    <w:p>
      <w:pPr>
        <w:spacing w:before="0" w:after="100" w:line="269" w:lineRule="auto"/>
      </w:pPr>
      <w:r>
        <w:rPr>
          <w:rFonts w:ascii="Liberation Sans" w:hAnsi="Liberation Sans" w:eastAsia="Liberation Sans"/>
          <w:b w:val="0"/>
          <w:i w:val="0"/>
          <w:color w:val="0B2536"/>
          <w:sz w:val="19"/>
        </w:rPr>
        <w:t>Après une mutation, les clés evaluations et evaluation sont invalidées afin de recharger la liste, les statistiques et la fiche sélectionnée. Le bouton Réanalyser HRS déclenche un recalcul complet du snapshot et des textes.</w:t>
      </w:r>
    </w:p>
    <w:p>
      <w:pPr>
        <w:pStyle w:val="Heading1"/>
        <w:keepNext/>
        <w:spacing w:before="200" w:after="100" w:line="240" w:lineRule="auto"/>
      </w:pPr>
      <w:r>
        <w:rPr>
          <w:rFonts w:ascii="Liberation Sans" w:hAnsi="Liberation Sans" w:eastAsia="Liberation Sans"/>
          <w:b/>
          <w:i w:val="0"/>
          <w:color w:val="046242"/>
          <w:sz w:val="28"/>
        </w:rPr>
        <w:t>9. Impression A4, PDF et logo</w:t>
      </w:r>
    </w:p>
    <w:p>
      <w:pPr>
        <w:pStyle w:val="Heading2"/>
        <w:keepNext/>
        <w:spacing w:before="140" w:after="100" w:line="240" w:lineRule="auto"/>
      </w:pPr>
      <w:r>
        <w:rPr>
          <w:rFonts w:ascii="Liberation Sans" w:hAnsi="Liberation Sans" w:eastAsia="Liberation Sans"/>
          <w:b/>
          <w:i w:val="0"/>
          <w:color w:val="0B2536"/>
          <w:sz w:val="23"/>
        </w:rPr>
        <w:t>9.1 Emplacement</w:t>
      </w:r>
    </w:p>
    <w:tbl>
      <w:tblPr>
        <w:tblW w:type="auto" w:w="0"/>
        <w:jc w:val="center"/>
        <w:tblLook w:firstColumn="1" w:firstRow="1" w:lastColumn="0" w:lastRow="0" w:noHBand="0" w:noVBand="1" w:val="04A0"/>
      </w:tblPr>
      <w:tblGrid>
        <w:gridCol w:w="10312"/>
      </w:tblGrid>
      <w:tr>
        <w:tc>
          <w:tcPr>
            <w:tcW w:type="dxa" w:w="10312"/>
            <w:shd w:fill="F3F6F7"/>
            <w:tcBorders>
              <w:top w:val="single" w:sz="4" w:color="C9D7DC"/>
              <w:left w:val="single" w:sz="8" w:color="046242"/>
              <w:bottom w:val="single" w:sz="4" w:color="C9D7DC"/>
              <w:right w:val="single" w:sz="4" w:color="C9D7DC"/>
            </w:tcBorders>
          </w:tcPr>
          <w:p>
            <w:pPr>
              <w:spacing w:before="0" w:after="0" w:line="240" w:lineRule="auto"/>
            </w:pPr>
            <w:r>
              <w:rPr>
                <w:rFonts w:ascii="Liberation Mono" w:hAnsi="Liberation Mono" w:eastAsia="Liberation Mono"/>
                <w:b w:val="0"/>
                <w:i w:val="0"/>
                <w:color w:val="0B2536"/>
                <w:sz w:val="16"/>
              </w:rPr>
              <w:t>frontend/public/logo-fadestext.avif</w:t>
            </w:r>
          </w:p>
        </w:tc>
      </w:tr>
    </w:tbl>
    <w:p>
      <w:pPr>
        <w:spacing w:after="0"/>
      </w:pPr>
    </w:p>
    <w:p>
      <w:pPr>
        <w:pStyle w:val="Heading2"/>
        <w:keepNext/>
        <w:spacing w:before="140" w:after="100" w:line="240" w:lineRule="auto"/>
      </w:pPr>
      <w:r>
        <w:rPr>
          <w:rFonts w:ascii="Liberation Sans" w:hAnsi="Liberation Sans" w:eastAsia="Liberation Sans"/>
          <w:b/>
          <w:i w:val="0"/>
          <w:color w:val="0B2536"/>
          <w:sz w:val="23"/>
        </w:rPr>
        <w:t>9.2 Chaîne d’impression</w:t>
      </w:r>
    </w:p>
    <w:p>
      <w:pPr>
        <w:spacing w:before="0" w:after="40" w:line="252" w:lineRule="auto"/>
        <w:ind w:left="198" w:hanging="198"/>
      </w:pPr>
      <w:r>
        <w:rPr>
          <w:rFonts w:ascii="Liberation Sans" w:hAnsi="Liberation Sans" w:eastAsia="Liberation Sans"/>
          <w:b w:val="0"/>
          <w:i w:val="0"/>
          <w:sz w:val="18"/>
        </w:rPr>
        <w:t>1. Construction du chemin avec import.meta.env.BASE_URL.</w:t>
      </w:r>
    </w:p>
    <w:p>
      <w:pPr>
        <w:spacing w:before="0" w:after="40" w:line="252" w:lineRule="auto"/>
        <w:ind w:left="198" w:hanging="198"/>
      </w:pPr>
      <w:r>
        <w:rPr>
          <w:rFonts w:ascii="Liberation Sans" w:hAnsi="Liberation Sans" w:eastAsia="Liberation Sans"/>
          <w:b w:val="0"/>
          <w:i w:val="0"/>
          <w:sz w:val="18"/>
        </w:rPr>
        <w:t>2. Essai d’un chemin racine de secours.</w:t>
      </w:r>
    </w:p>
    <w:p>
      <w:pPr>
        <w:spacing w:before="0" w:after="40" w:line="252" w:lineRule="auto"/>
        <w:ind w:left="198" w:hanging="198"/>
      </w:pPr>
      <w:r>
        <w:rPr>
          <w:rFonts w:ascii="Liberation Sans" w:hAnsi="Liberation Sans" w:eastAsia="Liberation Sans"/>
          <w:b w:val="0"/>
          <w:i w:val="0"/>
          <w:sz w:val="18"/>
        </w:rPr>
        <w:t>3. Téléchargement du logo avec fetch.</w:t>
      </w:r>
    </w:p>
    <w:p>
      <w:pPr>
        <w:spacing w:before="0" w:after="40" w:line="252" w:lineRule="auto"/>
        <w:ind w:left="198" w:hanging="198"/>
      </w:pPr>
      <w:r>
        <w:rPr>
          <w:rFonts w:ascii="Liberation Sans" w:hAnsi="Liberation Sans" w:eastAsia="Liberation Sans"/>
          <w:b w:val="0"/>
          <w:i w:val="0"/>
          <w:sz w:val="18"/>
        </w:rPr>
        <w:t>4. Conversion du Blob en URL data: intégrée au document.</w:t>
      </w:r>
    </w:p>
    <w:p>
      <w:pPr>
        <w:spacing w:before="0" w:after="40" w:line="252" w:lineRule="auto"/>
        <w:ind w:left="198" w:hanging="198"/>
      </w:pPr>
      <w:r>
        <w:rPr>
          <w:rFonts w:ascii="Liberation Sans" w:hAnsi="Liberation Sans" w:eastAsia="Liberation Sans"/>
          <w:b w:val="0"/>
          <w:i w:val="0"/>
          <w:sz w:val="18"/>
        </w:rPr>
        <w:t>5. Création d’un HTML autonome et injection du CSS documentaire.</w:t>
      </w:r>
    </w:p>
    <w:p>
      <w:pPr>
        <w:spacing w:before="0" w:after="40" w:line="252" w:lineRule="auto"/>
        <w:ind w:left="198" w:hanging="198"/>
      </w:pPr>
      <w:r>
        <w:rPr>
          <w:rFonts w:ascii="Liberation Sans" w:hAnsi="Liberation Sans" w:eastAsia="Liberation Sans"/>
          <w:b w:val="0"/>
          <w:i w:val="0"/>
          <w:sz w:val="18"/>
        </w:rPr>
        <w:t>6. Attente du chargement des images.</w:t>
      </w:r>
    </w:p>
    <w:p>
      <w:pPr>
        <w:spacing w:before="0" w:after="40" w:line="252" w:lineRule="auto"/>
        <w:ind w:left="198" w:hanging="198"/>
      </w:pPr>
      <w:r>
        <w:rPr>
          <w:rFonts w:ascii="Liberation Sans" w:hAnsi="Liberation Sans" w:eastAsia="Liberation Sans"/>
          <w:b w:val="0"/>
          <w:i w:val="0"/>
          <w:sz w:val="18"/>
        </w:rPr>
        <w:t>7. Ouverture de la boîte d’impression.</w:t>
      </w:r>
    </w:p>
    <w:p>
      <w:pPr>
        <w:pStyle w:val="Heading2"/>
        <w:keepNext/>
        <w:spacing w:before="140" w:after="100" w:line="240" w:lineRule="auto"/>
      </w:pPr>
      <w:r>
        <w:rPr>
          <w:rFonts w:ascii="Liberation Sans" w:hAnsi="Liberation Sans" w:eastAsia="Liberation Sans"/>
          <w:b/>
          <w:i w:val="0"/>
          <w:color w:val="0B2536"/>
          <w:sz w:val="23"/>
        </w:rPr>
        <w:t>9.3 Règles visuelles</w:t>
      </w:r>
    </w:p>
    <w:tbl>
      <w:tblPr>
        <w:tblW w:type="auto" w:w="0"/>
        <w:jc w:val="center"/>
        <w:tblLayout w:type="fixed"/>
        <w:tblLook w:firstColumn="1" w:firstRow="1" w:lastColumn="0" w:lastRow="0" w:noHBand="0" w:noVBand="1" w:val="04A0"/>
      </w:tblPr>
      <w:tblGrid>
        <w:gridCol w:w="5156"/>
        <w:gridCol w:w="5156"/>
      </w:tblGrid>
      <w:tr>
        <w:trPr>
          <w:tblHeader w:val="true"/>
        </w:trPr>
        <w:tc>
          <w:tcPr>
            <w:tcW w:type="dxa" w:w="2268"/>
            <w:shd w:fill="046242"/>
            <w:tcBorders>
              <w:top w:val="single" w:sz="6" w:color="046242"/>
              <w:left w:val="single" w:sz="6" w:color="FFFFFF"/>
              <w:bottom w:val="single" w:sz="6" w:color="046242"/>
              <w:right w:val="single" w:sz="6" w:color="FFFFFF"/>
            </w:tcBorders>
            <w:vAlign w:val="center"/>
          </w:tcPr>
          <w:p>
            <w:pPr>
              <w:jc w:val="center"/>
            </w:pPr>
            <w:r>
              <w:rPr>
                <w:rFonts w:ascii="Liberation Sans" w:hAnsi="Liberation Sans" w:eastAsia="Liberation Sans"/>
                <w:b/>
                <w:i w:val="0"/>
                <w:color w:val="FFFFFF"/>
                <w:sz w:val="16"/>
              </w:rPr>
              <w:t>Élément</w:t>
            </w:r>
          </w:p>
        </w:tc>
        <w:tc>
          <w:tcPr>
            <w:tcW w:type="dxa" w:w="6973"/>
            <w:shd w:fill="046242"/>
            <w:tcBorders>
              <w:top w:val="single" w:sz="6" w:color="046242"/>
              <w:left w:val="single" w:sz="6" w:color="FFFFFF"/>
              <w:bottom w:val="single" w:sz="6" w:color="046242"/>
              <w:right w:val="single" w:sz="6" w:color="FFFFFF"/>
            </w:tcBorders>
            <w:vAlign w:val="center"/>
          </w:tcPr>
          <w:p>
            <w:pPr>
              <w:jc w:val="center"/>
            </w:pPr>
            <w:r>
              <w:rPr>
                <w:rFonts w:ascii="Liberation Sans" w:hAnsi="Liberation Sans" w:eastAsia="Liberation Sans"/>
                <w:b/>
                <w:i w:val="0"/>
                <w:color w:val="FFFFFF"/>
                <w:sz w:val="16"/>
              </w:rPr>
              <w:t>Règle</w:t>
            </w:r>
          </w:p>
        </w:tc>
      </w:tr>
      <w:tr>
        <w:trPr>
          <w:cantSplit/>
        </w:trPr>
        <w:tc>
          <w:tcPr>
            <w:tcW w:type="dxa" w:w="2268"/>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Logo</w:t>
            </w:r>
          </w:p>
        </w:tc>
        <w:tc>
          <w:tcPr>
            <w:tcW w:type="dxa" w:w="6973"/>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Visible uniquement dans le document imprimé/téléchargé.</w:t>
            </w:r>
          </w:p>
        </w:tc>
      </w:tr>
      <w:tr>
        <w:trPr>
          <w:cantSplit/>
        </w:trPr>
        <w:tc>
          <w:tcPr>
            <w:tcW w:type="dxa" w:w="2268"/>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Format</w:t>
            </w:r>
          </w:p>
        </w:tc>
        <w:tc>
          <w:tcPr>
            <w:tcW w:type="dxa" w:w="6973"/>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A4 portrait, marges régulières et couleurs imprimées.</w:t>
            </w:r>
          </w:p>
        </w:tc>
      </w:tr>
      <w:tr>
        <w:trPr>
          <w:cantSplit/>
        </w:trPr>
        <w:tc>
          <w:tcPr>
            <w:tcW w:type="dxa" w:w="2268"/>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Blocs courts</w:t>
            </w:r>
          </w:p>
        </w:tc>
        <w:tc>
          <w:tcPr>
            <w:tcW w:type="dxa" w:w="6973"/>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Protégés contre les coupures de page.</w:t>
            </w:r>
          </w:p>
        </w:tc>
      </w:tr>
      <w:tr>
        <w:trPr>
          <w:cantSplit/>
        </w:trPr>
        <w:tc>
          <w:tcPr>
            <w:tcW w:type="dxa" w:w="2268"/>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Textes longs</w:t>
            </w:r>
          </w:p>
        </w:tc>
        <w:tc>
          <w:tcPr>
            <w:tcW w:type="dxa" w:w="6973"/>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Peuvent se poursuivre sur la page suivante.</w:t>
            </w:r>
          </w:p>
        </w:tc>
      </w:tr>
      <w:tr>
        <w:trPr>
          <w:cantSplit/>
        </w:trPr>
        <w:tc>
          <w:tcPr>
            <w:tcW w:type="dxa" w:w="2268"/>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Signatures</w:t>
            </w:r>
          </w:p>
        </w:tc>
        <w:tc>
          <w:tcPr>
            <w:tcW w:type="dxa" w:w="6973"/>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Trois zones alignées et maintenues ensemble.</w:t>
            </w:r>
          </w:p>
        </w:tc>
      </w:tr>
      <w:tr>
        <w:trPr>
          <w:cantSplit/>
        </w:trPr>
        <w:tc>
          <w:tcPr>
            <w:tcW w:type="dxa" w:w="2268"/>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Confidentialité</w:t>
            </w:r>
          </w:p>
        </w:tc>
        <w:tc>
          <w:tcPr>
            <w:tcW w:type="dxa" w:w="6973"/>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6"/>
              </w:rPr>
              <w:t>Mention et pied de page institutionnel.</w:t>
            </w:r>
          </w:p>
        </w:tc>
      </w:tr>
    </w:tbl>
    <w:p>
      <w:pPr>
        <w:spacing w:after="0"/>
      </w:pPr>
    </w:p>
    <w:tbl>
      <w:tblPr>
        <w:tblW w:type="auto" w:w="0"/>
        <w:jc w:val="center"/>
        <w:tblLayout w:type="fixed"/>
        <w:tblLook w:firstColumn="1" w:firstRow="1" w:lastColumn="0" w:lastRow="0" w:noHBand="0" w:noVBand="1" w:val="04A0"/>
      </w:tblPr>
      <w:tblGrid>
        <w:gridCol w:w="9354"/>
      </w:tblGrid>
      <w:tr>
        <w:tc>
          <w:tcPr>
            <w:tcW w:type="dxa" w:w="10312"/>
            <w:shd w:fill="FFF7DF"/>
            <w:tcBorders>
              <w:top w:val="single" w:sz="8" w:color="E9B521"/>
              <w:left w:val="single" w:sz="12" w:color="E9B521"/>
              <w:bottom w:val="single" w:sz="6" w:color="D5E4DB"/>
              <w:right w:val="single" w:sz="6" w:color="D5E4DB"/>
            </w:tcBorders>
          </w:tcPr>
          <w:p>
            <w:pPr>
              <w:spacing w:before="0" w:after="60" w:line="259" w:lineRule="auto"/>
            </w:pPr>
            <w:r>
              <w:rPr>
                <w:rFonts w:ascii="Liberation Sans" w:hAnsi="Liberation Sans" w:eastAsia="Liberation Sans"/>
                <w:b/>
                <w:i w:val="0"/>
                <w:color w:val="0B2536"/>
                <w:sz w:val="17"/>
              </w:rPr>
              <w:t>CONTRÔLE DU LOGO</w:t>
            </w:r>
          </w:p>
          <w:p>
            <w:pPr>
              <w:spacing w:before="0" w:after="0" w:line="259" w:lineRule="auto"/>
            </w:pPr>
            <w:r>
              <w:rPr>
                <w:rFonts w:ascii="Liberation Sans" w:hAnsi="Liberation Sans" w:eastAsia="Liberation Sans"/>
                <w:b w:val="0"/>
                <w:i w:val="0"/>
                <w:color w:val="0B2536"/>
                <w:sz w:val="18"/>
              </w:rPr>
              <w:t>Tester directement l’URL du fichier. Une réponse HTML ou une redirection vers index.html signifie que le fichier n’est pas servi au chemin attendu.</w:t>
            </w:r>
          </w:p>
        </w:tc>
      </w:tr>
    </w:tbl>
    <w:p>
      <w:pPr>
        <w:spacing w:after="0"/>
      </w:pPr>
    </w:p>
    <w:p>
      <w:pPr>
        <w:pStyle w:val="Heading1"/>
        <w:keepNext/>
        <w:spacing w:before="200" w:after="100" w:line="240" w:lineRule="auto"/>
      </w:pPr>
      <w:r>
        <w:rPr>
          <w:rFonts w:ascii="Liberation Sans" w:hAnsi="Liberation Sans" w:eastAsia="Liberation Sans"/>
          <w:b/>
          <w:i w:val="0"/>
          <w:color w:val="046242"/>
          <w:sz w:val="28"/>
        </w:rPr>
        <w:t>10. Installation, sécurité et recette</w:t>
      </w:r>
    </w:p>
    <w:p>
      <w:pPr>
        <w:pStyle w:val="Heading2"/>
        <w:keepNext/>
        <w:spacing w:before="140" w:after="100" w:line="240" w:lineRule="auto"/>
      </w:pPr>
      <w:r>
        <w:rPr>
          <w:rFonts w:ascii="Liberation Sans" w:hAnsi="Liberation Sans" w:eastAsia="Liberation Sans"/>
          <w:b/>
          <w:i w:val="0"/>
          <w:color w:val="0B2536"/>
          <w:sz w:val="23"/>
        </w:rPr>
        <w:t>10.1 Backend</w:t>
      </w:r>
    </w:p>
    <w:p>
      <w:pPr>
        <w:spacing w:before="0" w:after="40" w:line="252" w:lineRule="auto"/>
        <w:ind w:left="198" w:hanging="198"/>
      </w:pPr>
      <w:r>
        <w:rPr>
          <w:rFonts w:ascii="Liberation Sans" w:hAnsi="Liberation Sans" w:eastAsia="Liberation Sans"/>
          <w:b w:val="0"/>
          <w:i w:val="0"/>
          <w:sz w:val="18"/>
        </w:rPr>
        <w:t>1. Copier les sept fichiers dans backend/src/modules/evaluations/.</w:t>
      </w:r>
    </w:p>
    <w:p>
      <w:pPr>
        <w:spacing w:before="0" w:after="40" w:line="252" w:lineRule="auto"/>
        <w:ind w:left="198" w:hanging="198"/>
      </w:pPr>
      <w:r>
        <w:rPr>
          <w:rFonts w:ascii="Liberation Sans" w:hAnsi="Liberation Sans" w:eastAsia="Liberation Sans"/>
          <w:b w:val="0"/>
          <w:i w:val="0"/>
          <w:sz w:val="18"/>
        </w:rPr>
        <w:t>2. Enregistrer app.use("/api/v1/evaluations", evaluationRouter).</w:t>
      </w:r>
    </w:p>
    <w:p>
      <w:pPr>
        <w:spacing w:before="0" w:after="40" w:line="252" w:lineRule="auto"/>
        <w:ind w:left="198" w:hanging="198"/>
      </w:pPr>
      <w:r>
        <w:rPr>
          <w:rFonts w:ascii="Liberation Sans" w:hAnsi="Liberation Sans" w:eastAsia="Liberation Sans"/>
          <w:b w:val="0"/>
          <w:i w:val="0"/>
          <w:sz w:val="18"/>
        </w:rPr>
        <w:t>3. Vérifier les chemins des modèles sources.</w:t>
      </w:r>
    </w:p>
    <w:p>
      <w:pPr>
        <w:spacing w:before="0" w:after="40" w:line="252" w:lineRule="auto"/>
        <w:ind w:left="198" w:hanging="198"/>
      </w:pPr>
      <w:r>
        <w:rPr>
          <w:rFonts w:ascii="Liberation Sans" w:hAnsi="Liberation Sans" w:eastAsia="Liberation Sans"/>
          <w:b w:val="0"/>
          <w:i w:val="0"/>
          <w:sz w:val="18"/>
        </w:rPr>
        <w:t>4. Conserver tenantContextMiddleware avant requireAuth.</w:t>
      </w:r>
    </w:p>
    <w:p>
      <w:pPr>
        <w:pStyle w:val="Heading2"/>
        <w:keepNext/>
        <w:spacing w:before="140" w:after="100" w:line="240" w:lineRule="auto"/>
      </w:pPr>
      <w:r>
        <w:rPr>
          <w:rFonts w:ascii="Liberation Sans" w:hAnsi="Liberation Sans" w:eastAsia="Liberation Sans"/>
          <w:b/>
          <w:i w:val="0"/>
          <w:color w:val="0B2536"/>
          <w:sz w:val="23"/>
        </w:rPr>
        <w:t>10.2 Frontend</w:t>
      </w:r>
    </w:p>
    <w:p>
      <w:pPr>
        <w:spacing w:before="0" w:after="40" w:line="252" w:lineRule="auto"/>
        <w:ind w:left="198" w:hanging="198"/>
      </w:pPr>
      <w:r>
        <w:rPr>
          <w:rFonts w:ascii="Liberation Sans" w:hAnsi="Liberation Sans" w:eastAsia="Liberation Sans"/>
          <w:b w:val="0"/>
          <w:i w:val="0"/>
          <w:sz w:val="18"/>
        </w:rPr>
        <w:t>1. Copier features/evaluations et pages/evaluations.</w:t>
      </w:r>
    </w:p>
    <w:p>
      <w:pPr>
        <w:spacing w:before="0" w:after="40" w:line="252" w:lineRule="auto"/>
        <w:ind w:left="198" w:hanging="198"/>
      </w:pPr>
      <w:r>
        <w:rPr>
          <w:rFonts w:ascii="Liberation Sans" w:hAnsi="Liberation Sans" w:eastAsia="Liberation Sans"/>
          <w:b w:val="0"/>
          <w:i w:val="0"/>
          <w:sz w:val="18"/>
        </w:rPr>
        <w:t>2. Ajouter la route et la navigation selon les rôles.</w:t>
      </w:r>
    </w:p>
    <w:p>
      <w:pPr>
        <w:spacing w:before="0" w:after="40" w:line="252" w:lineRule="auto"/>
        <w:ind w:left="198" w:hanging="198"/>
      </w:pPr>
      <w:r>
        <w:rPr>
          <w:rFonts w:ascii="Liberation Sans" w:hAnsi="Liberation Sans" w:eastAsia="Liberation Sans"/>
          <w:b w:val="0"/>
          <w:i w:val="0"/>
          <w:sz w:val="18"/>
        </w:rPr>
        <w:t>3. Placer logo-fadestext.avif dans public.</w:t>
      </w:r>
    </w:p>
    <w:p>
      <w:pPr>
        <w:spacing w:before="0" w:after="40" w:line="252" w:lineRule="auto"/>
        <w:ind w:left="198" w:hanging="198"/>
      </w:pPr>
      <w:r>
        <w:rPr>
          <w:rFonts w:ascii="Liberation Sans" w:hAnsi="Liberation Sans" w:eastAsia="Liberation Sans"/>
          <w:b w:val="0"/>
          <w:i w:val="0"/>
          <w:sz w:val="18"/>
        </w:rPr>
        <w:t>4. Vérifier la base URL Axios et redémarrer Vite.</w:t>
      </w:r>
    </w:p>
    <w:p>
      <w:pPr>
        <w:pStyle w:val="Heading2"/>
        <w:keepNext/>
        <w:spacing w:before="140" w:after="100" w:line="240" w:lineRule="auto"/>
      </w:pPr>
      <w:r>
        <w:rPr>
          <w:rFonts w:ascii="Liberation Sans" w:hAnsi="Liberation Sans" w:eastAsia="Liberation Sans"/>
          <w:b/>
          <w:i w:val="0"/>
          <w:color w:val="0B2536"/>
          <w:sz w:val="23"/>
        </w:rPr>
        <w:t>10.3 Sécurité</w:t>
      </w:r>
    </w:p>
    <w:p>
      <w:pPr>
        <w:pStyle w:val="ListBullet"/>
        <w:spacing w:before="0" w:after="40" w:line="252" w:lineRule="auto"/>
      </w:pPr>
      <w:r>
        <w:rPr>
          <w:rFonts w:ascii="Liberation Sans" w:hAnsi="Liberation Sans" w:eastAsia="Liberation Sans"/>
          <w:b w:val="0"/>
          <w:i w:val="0"/>
          <w:sz w:val="18"/>
        </w:rPr>
        <w:t>Tenant obligatoire et authentification sur toutes les routes.</w:t>
      </w:r>
    </w:p>
    <w:p>
      <w:pPr>
        <w:pStyle w:val="ListBullet"/>
        <w:spacing w:before="0" w:after="40" w:line="252" w:lineRule="auto"/>
      </w:pPr>
      <w:r>
        <w:rPr>
          <w:rFonts w:ascii="Liberation Sans" w:hAnsi="Liberation Sans" w:eastAsia="Liberation Sans"/>
          <w:b w:val="0"/>
          <w:i w:val="0"/>
          <w:sz w:val="18"/>
        </w:rPr>
        <w:t>Scope appliqué aux listes, statistiques, export et accès à une fiche.</w:t>
      </w:r>
    </w:p>
    <w:p>
      <w:pPr>
        <w:pStyle w:val="ListBullet"/>
        <w:spacing w:before="0" w:after="40" w:line="252" w:lineRule="auto"/>
      </w:pPr>
      <w:r>
        <w:rPr>
          <w:rFonts w:ascii="Liberation Sans" w:hAnsi="Liberation Sans" w:eastAsia="Liberation Sans"/>
          <w:b w:val="0"/>
          <w:i w:val="0"/>
          <w:sz w:val="18"/>
        </w:rPr>
        <w:t>Création, édition, recalcul, validation et suppression réservés aux rôles prévus.</w:t>
      </w:r>
    </w:p>
    <w:p>
      <w:pPr>
        <w:pStyle w:val="ListBullet"/>
        <w:spacing w:before="0" w:after="40" w:line="252" w:lineRule="auto"/>
      </w:pPr>
      <w:r>
        <w:rPr>
          <w:rFonts w:ascii="Liberation Sans" w:hAnsi="Liberation Sans" w:eastAsia="Liberation Sans"/>
          <w:b w:val="0"/>
          <w:i w:val="0"/>
          <w:sz w:val="18"/>
        </w:rPr>
        <w:t>La note confidentielle ne doit pas être exposée hors périmètre autorisé.</w:t>
      </w:r>
    </w:p>
    <w:p>
      <w:pPr>
        <w:pStyle w:val="ListBullet"/>
        <w:spacing w:before="0" w:after="40" w:line="252" w:lineRule="auto"/>
      </w:pPr>
      <w:r>
        <w:rPr>
          <w:rFonts w:ascii="Liberation Sans" w:hAnsi="Liberation Sans" w:eastAsia="Liberation Sans"/>
          <w:b w:val="0"/>
          <w:i w:val="0"/>
          <w:sz w:val="18"/>
        </w:rPr>
        <w:t>Les notes automatiques restent des suggestions traçables.</w:t>
      </w:r>
    </w:p>
    <w:p>
      <w:pPr>
        <w:pStyle w:val="Heading2"/>
        <w:keepNext/>
        <w:spacing w:before="140" w:after="100" w:line="240" w:lineRule="auto"/>
      </w:pPr>
      <w:r>
        <w:rPr>
          <w:rFonts w:ascii="Liberation Sans" w:hAnsi="Liberation Sans" w:eastAsia="Liberation Sans"/>
          <w:b/>
          <w:i w:val="0"/>
          <w:color w:val="0B2536"/>
          <w:sz w:val="23"/>
        </w:rPr>
        <w:t>10.4 Recette minimale</w:t>
      </w:r>
    </w:p>
    <w:p>
      <w:pPr>
        <w:pStyle w:val="ListBullet"/>
        <w:spacing w:before="0" w:after="40" w:line="252" w:lineRule="auto"/>
      </w:pPr>
      <w:r>
        <w:rPr>
          <w:rFonts w:ascii="Liberation Sans" w:hAnsi="Liberation Sans" w:eastAsia="Liberation Sans"/>
          <w:b w:val="0"/>
          <w:i w:val="0"/>
          <w:sz w:val="18"/>
        </w:rPr>
        <w:t>☐ Agent rattaché directement à une Direction.</w:t>
      </w:r>
    </w:p>
    <w:p>
      <w:pPr>
        <w:pStyle w:val="ListBullet"/>
        <w:spacing w:before="0" w:after="40" w:line="252" w:lineRule="auto"/>
      </w:pPr>
      <w:r>
        <w:rPr>
          <w:rFonts w:ascii="Liberation Sans" w:hAnsi="Liberation Sans" w:eastAsia="Liberation Sans"/>
          <w:b w:val="0"/>
          <w:i w:val="0"/>
          <w:sz w:val="18"/>
        </w:rPr>
        <w:t>☐ Agent rattaché à un Service avec remontée parentId.</w:t>
      </w:r>
    </w:p>
    <w:p>
      <w:pPr>
        <w:pStyle w:val="ListBullet"/>
        <w:spacing w:before="0" w:after="40" w:line="252" w:lineRule="auto"/>
      </w:pPr>
      <w:r>
        <w:rPr>
          <w:rFonts w:ascii="Liberation Sans" w:hAnsi="Liberation Sans" w:eastAsia="Liberation Sans"/>
          <w:b w:val="0"/>
          <w:i w:val="0"/>
          <w:sz w:val="18"/>
        </w:rPr>
        <w:t>☐ Ancienne fiche sans directionName réparée à l’ouverture.</w:t>
      </w:r>
    </w:p>
    <w:p>
      <w:pPr>
        <w:pStyle w:val="ListBullet"/>
        <w:spacing w:before="0" w:after="40" w:line="252" w:lineRule="auto"/>
      </w:pPr>
      <w:r>
        <w:rPr>
          <w:rFonts w:ascii="Liberation Sans" w:hAnsi="Liberation Sans" w:eastAsia="Liberation Sans"/>
          <w:b w:val="0"/>
          <w:i w:val="0"/>
          <w:sz w:val="18"/>
        </w:rPr>
        <w:t>☐ Périmètres Direction, Service et Agent respectés.</w:t>
      </w:r>
    </w:p>
    <w:p>
      <w:pPr>
        <w:pStyle w:val="ListBullet"/>
        <w:spacing w:before="0" w:after="40" w:line="252" w:lineRule="auto"/>
      </w:pPr>
      <w:r>
        <w:rPr>
          <w:rFonts w:ascii="Liberation Sans" w:hAnsi="Liberation Sans" w:eastAsia="Liberation Sans"/>
          <w:b w:val="0"/>
          <w:i w:val="0"/>
          <w:sz w:val="18"/>
        </w:rPr>
        <w:t>☐ Congé approuvé neutralisant une absence.</w:t>
      </w:r>
    </w:p>
    <w:p>
      <w:pPr>
        <w:pStyle w:val="ListBullet"/>
        <w:spacing w:before="0" w:after="40" w:line="252" w:lineRule="auto"/>
      </w:pPr>
      <w:r>
        <w:rPr>
          <w:rFonts w:ascii="Liberation Sans" w:hAnsi="Liberation Sans" w:eastAsia="Liberation Sans"/>
          <w:b w:val="0"/>
          <w:i w:val="0"/>
          <w:sz w:val="18"/>
        </w:rPr>
        <w:t>☐ Congé en validation affichant une réserve sans neutralisation.</w:t>
      </w:r>
    </w:p>
    <w:p>
      <w:pPr>
        <w:pStyle w:val="ListBullet"/>
        <w:spacing w:before="0" w:after="40" w:line="252" w:lineRule="auto"/>
      </w:pPr>
      <w:r>
        <w:rPr>
          <w:rFonts w:ascii="Liberation Sans" w:hAnsi="Liberation Sans" w:eastAsia="Liberation Sans"/>
          <w:b w:val="0"/>
          <w:i w:val="0"/>
          <w:sz w:val="18"/>
        </w:rPr>
        <w:t>☐ Période future arrêtée au jour courant.</w:t>
      </w:r>
    </w:p>
    <w:p>
      <w:pPr>
        <w:pStyle w:val="ListBullet"/>
        <w:spacing w:before="0" w:after="40" w:line="252" w:lineRule="auto"/>
      </w:pPr>
      <w:r>
        <w:rPr>
          <w:rFonts w:ascii="Liberation Sans" w:hAnsi="Liberation Sans" w:eastAsia="Liberation Sans"/>
          <w:b w:val="0"/>
          <w:i w:val="0"/>
          <w:sz w:val="18"/>
        </w:rPr>
        <w:t>☐ Priorité RH &gt; manager &gt; Agent &gt; système.</w:t>
      </w:r>
    </w:p>
    <w:p>
      <w:pPr>
        <w:pStyle w:val="ListBullet"/>
        <w:spacing w:before="0" w:after="40" w:line="252" w:lineRule="auto"/>
      </w:pPr>
      <w:r>
        <w:rPr>
          <w:rFonts w:ascii="Liberation Sans" w:hAnsi="Liberation Sans" w:eastAsia="Liberation Sans"/>
          <w:b w:val="0"/>
          <w:i w:val="0"/>
          <w:sz w:val="18"/>
        </w:rPr>
        <w:t>☐ Recalcul après modification des modules sources.</w:t>
      </w:r>
    </w:p>
    <w:p>
      <w:pPr>
        <w:pStyle w:val="ListBullet"/>
        <w:spacing w:before="0" w:after="40" w:line="252" w:lineRule="auto"/>
      </w:pPr>
      <w:r>
        <w:rPr>
          <w:rFonts w:ascii="Liberation Sans" w:hAnsi="Liberation Sans" w:eastAsia="Liberation Sans"/>
          <w:b w:val="0"/>
          <w:i w:val="0"/>
          <w:sz w:val="18"/>
        </w:rPr>
        <w:t>☐ CSV filtré et document A4 multipage.</w:t>
      </w:r>
    </w:p>
    <w:p>
      <w:pPr>
        <w:pStyle w:val="ListBullet"/>
        <w:spacing w:before="0" w:after="40" w:line="252" w:lineRule="auto"/>
      </w:pPr>
      <w:r>
        <w:rPr>
          <w:rFonts w:ascii="Liberation Sans" w:hAnsi="Liberation Sans" w:eastAsia="Liberation Sans"/>
          <w:b w:val="0"/>
          <w:i w:val="0"/>
          <w:sz w:val="18"/>
        </w:rPr>
        <w:t>☐ Logo visible seulement dans le document.</w:t>
      </w:r>
    </w:p>
    <w:p>
      <w:pPr>
        <w:pStyle w:val="Heading1"/>
        <w:keepNext/>
        <w:spacing w:before="200" w:after="100" w:line="240" w:lineRule="auto"/>
      </w:pPr>
      <w:r>
        <w:rPr>
          <w:rFonts w:ascii="Liberation Sans" w:hAnsi="Liberation Sans" w:eastAsia="Liberation Sans"/>
          <w:b/>
          <w:i w:val="0"/>
          <w:color w:val="046242"/>
          <w:sz w:val="28"/>
        </w:rPr>
        <w:t>11. Dépannage et règles de maintenance</w:t>
      </w:r>
    </w:p>
    <w:p>
      <w:pPr>
        <w:pStyle w:val="Heading2"/>
        <w:keepNext/>
        <w:spacing w:before="140" w:after="100" w:line="240" w:lineRule="auto"/>
      </w:pPr>
      <w:r>
        <w:rPr>
          <w:rFonts w:ascii="Liberation Sans" w:hAnsi="Liberation Sans" w:eastAsia="Liberation Sans"/>
          <w:b/>
          <w:i w:val="0"/>
          <w:color w:val="0B2536"/>
          <w:sz w:val="23"/>
        </w:rPr>
        <w:t>11.1 Dépannage</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2154"/>
            <w:shd w:fill="046242"/>
            <w:tcBorders>
              <w:top w:val="single" w:sz="6" w:color="046242"/>
              <w:left w:val="single" w:sz="6" w:color="FFFFFF"/>
              <w:bottom w:val="single" w:sz="6" w:color="046242"/>
              <w:right w:val="single" w:sz="6" w:color="FFFFFF"/>
            </w:tcBorders>
            <w:vAlign w:val="center"/>
          </w:tcPr>
          <w:p>
            <w:pPr>
              <w:jc w:val="center"/>
            </w:pPr>
            <w:r>
              <w:rPr>
                <w:rFonts w:ascii="Liberation Sans" w:hAnsi="Liberation Sans" w:eastAsia="Liberation Sans"/>
                <w:b/>
                <w:i w:val="0"/>
                <w:color w:val="FFFFFF"/>
                <w:sz w:val="15"/>
              </w:rPr>
              <w:t>Incident</w:t>
            </w:r>
          </w:p>
        </w:tc>
        <w:tc>
          <w:tcPr>
            <w:tcW w:type="dxa" w:w="3118"/>
            <w:shd w:fill="046242"/>
            <w:tcBorders>
              <w:top w:val="single" w:sz="6" w:color="046242"/>
              <w:left w:val="single" w:sz="6" w:color="FFFFFF"/>
              <w:bottom w:val="single" w:sz="6" w:color="046242"/>
              <w:right w:val="single" w:sz="6" w:color="FFFFFF"/>
            </w:tcBorders>
            <w:vAlign w:val="center"/>
          </w:tcPr>
          <w:p>
            <w:pPr>
              <w:jc w:val="center"/>
            </w:pPr>
            <w:r>
              <w:rPr>
                <w:rFonts w:ascii="Liberation Sans" w:hAnsi="Liberation Sans" w:eastAsia="Liberation Sans"/>
                <w:b/>
                <w:i w:val="0"/>
                <w:color w:val="FFFFFF"/>
                <w:sz w:val="15"/>
              </w:rPr>
              <w:t>Cause probable</w:t>
            </w:r>
          </w:p>
        </w:tc>
        <w:tc>
          <w:tcPr>
            <w:tcW w:type="dxa" w:w="3969"/>
            <w:shd w:fill="046242"/>
            <w:tcBorders>
              <w:top w:val="single" w:sz="6" w:color="046242"/>
              <w:left w:val="single" w:sz="6" w:color="FFFFFF"/>
              <w:bottom w:val="single" w:sz="6" w:color="046242"/>
              <w:right w:val="single" w:sz="6" w:color="FFFFFF"/>
            </w:tcBorders>
            <w:vAlign w:val="center"/>
          </w:tcPr>
          <w:p>
            <w:pPr>
              <w:jc w:val="center"/>
            </w:pPr>
            <w:r>
              <w:rPr>
                <w:rFonts w:ascii="Liberation Sans" w:hAnsi="Liberation Sans" w:eastAsia="Liberation Sans"/>
                <w:b/>
                <w:i w:val="0"/>
                <w:color w:val="FFFFFF"/>
                <w:sz w:val="15"/>
              </w:rPr>
              <w:t>Action</w:t>
            </w:r>
          </w:p>
        </w:tc>
      </w:tr>
      <w:tr>
        <w:trPr>
          <w:cantSplit/>
        </w:trPr>
        <w:tc>
          <w:tcPr>
            <w:tcW w:type="dxa" w:w="2154"/>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Direction non renseignée</w:t>
            </w:r>
          </w:p>
        </w:tc>
        <w:tc>
          <w:tcPr>
            <w:tcW w:type="dxa" w:w="3118"/>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Rattachement Agent/Organisation incomplet.</w:t>
            </w:r>
          </w:p>
        </w:tc>
        <w:tc>
          <w:tcPr>
            <w:tcW w:type="dxa" w:w="3969"/>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Vérifier directionId, serviceId, type, parentId, tenantId et name ; ouvrir/recalculer.</w:t>
            </w:r>
          </w:p>
        </w:tc>
      </w:tr>
      <w:tr>
        <w:trPr>
          <w:cantSplit/>
        </w:trPr>
        <w:tc>
          <w:tcPr>
            <w:tcW w:type="dxa" w:w="2154"/>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Logo absent</w:t>
            </w:r>
          </w:p>
        </w:tc>
        <w:tc>
          <w:tcPr>
            <w:tcW w:type="dxa" w:w="3118"/>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Chemin/casse/cache ou fallback Vite.</w:t>
            </w:r>
          </w:p>
        </w:tc>
        <w:tc>
          <w:tcPr>
            <w:tcW w:type="dxa" w:w="3969"/>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Tester URL, vérifier nom exact, BASE_URL et réponse 200.</w:t>
            </w:r>
          </w:p>
        </w:tc>
      </w:tr>
      <w:tr>
        <w:trPr>
          <w:cantSplit/>
        </w:trPr>
        <w:tc>
          <w:tcPr>
            <w:tcW w:type="dxa" w:w="2154"/>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Chiffres anciens</w:t>
            </w:r>
          </w:p>
        </w:tc>
        <w:tc>
          <w:tcPr>
            <w:tcW w:type="dxa" w:w="3118"/>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Snapshot non recalculé ou cache Query.</w:t>
            </w:r>
          </w:p>
        </w:tc>
        <w:tc>
          <w:tcPr>
            <w:tcW w:type="dxa" w:w="3969"/>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Réanalyser HRS et invalider les requêtes.</w:t>
            </w:r>
          </w:p>
        </w:tc>
      </w:tr>
      <w:tr>
        <w:trPr>
          <w:cantSplit/>
        </w:trPr>
        <w:tc>
          <w:tcPr>
            <w:tcW w:type="dxa" w:w="2154"/>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Absences élevées</w:t>
            </w:r>
          </w:p>
        </w:tc>
        <w:tc>
          <w:tcPr>
            <w:tcW w:type="dxa" w:w="3118"/>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Pointages manquants ou congés non approuvés.</w:t>
            </w:r>
          </w:p>
        </w:tc>
        <w:tc>
          <w:tcPr>
            <w:tcW w:type="dxa" w:w="3969"/>
            <w:shd w:fill="F7FAF8"/>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Vérifier dates, statuts et agentId/tenantId.</w:t>
            </w:r>
          </w:p>
        </w:tc>
      </w:tr>
      <w:tr>
        <w:trPr>
          <w:cantSplit/>
        </w:trPr>
        <w:tc>
          <w:tcPr>
            <w:tcW w:type="dxa" w:w="2154"/>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Feuille de route à 0</w:t>
            </w:r>
          </w:p>
        </w:tc>
        <w:tc>
          <w:tcPr>
            <w:tcW w:type="dxa" w:w="3118"/>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Aucun candidat ou identité liée différemment.</w:t>
            </w:r>
          </w:p>
        </w:tc>
        <w:tc>
          <w:tcPr>
            <w:tcW w:type="dxa" w:w="3969"/>
            <w:shd w:fill="FFFFFF"/>
            <w:tcBorders>
              <w:top w:val="single" w:sz="4" w:color="D5E4DB"/>
              <w:left w:val="single" w:sz="4" w:color="D5E4DB"/>
              <w:bottom w:val="single" w:sz="4" w:color="D5E4DB"/>
              <w:right w:val="single" w:sz="4" w:color="D5E4DB"/>
            </w:tcBorders>
            <w:vAlign w:val="center"/>
          </w:tcPr>
          <w:p>
            <w:pPr>
              <w:spacing w:before="0" w:after="0" w:line="240" w:lineRule="auto"/>
            </w:pPr>
            <w:r>
              <w:rPr>
                <w:rFonts w:ascii="Liberation Sans" w:hAnsi="Liberation Sans" w:eastAsia="Liberation Sans"/>
                <w:b w:val="0"/>
                <w:i w:val="0"/>
                <w:color w:val="0B2536"/>
                <w:sz w:val="15"/>
              </w:rPr>
              <w:t>Vérifier agentId, email, matricule, user lié et calendarYear.</w:t>
            </w:r>
          </w:p>
        </w:tc>
      </w:tr>
    </w:tbl>
    <w:p>
      <w:pPr>
        <w:spacing w:after="0"/>
      </w:pPr>
    </w:p>
    <w:p>
      <w:pPr>
        <w:pStyle w:val="Heading2"/>
        <w:keepNext/>
        <w:spacing w:before="140" w:after="100" w:line="240" w:lineRule="auto"/>
      </w:pPr>
      <w:r>
        <w:rPr>
          <w:rFonts w:ascii="Liberation Sans" w:hAnsi="Liberation Sans" w:eastAsia="Liberation Sans"/>
          <w:b/>
          <w:i w:val="0"/>
          <w:color w:val="0B2536"/>
          <w:sz w:val="23"/>
        </w:rPr>
        <w:t>11.2 Invariants à préserver</w:t>
      </w:r>
    </w:p>
    <w:p>
      <w:pPr>
        <w:pStyle w:val="ListBullet"/>
        <w:spacing w:before="0" w:after="40" w:line="252" w:lineRule="auto"/>
      </w:pPr>
      <w:r>
        <w:rPr>
          <w:rFonts w:ascii="Liberation Sans" w:hAnsi="Liberation Sans" w:eastAsia="Liberation Sans"/>
          <w:b w:val="0"/>
          <w:i w:val="0"/>
          <w:sz w:val="18"/>
        </w:rPr>
        <w:t>Ne pas remplacer les statuts de congé par des alias non supportés.</w:t>
      </w:r>
    </w:p>
    <w:p>
      <w:pPr>
        <w:pStyle w:val="ListBullet"/>
        <w:spacing w:before="0" w:after="40" w:line="252" w:lineRule="auto"/>
      </w:pPr>
      <w:r>
        <w:rPr>
          <w:rFonts w:ascii="Liberation Sans" w:hAnsi="Liberation Sans" w:eastAsia="Liberation Sans"/>
          <w:b w:val="0"/>
          <w:i w:val="0"/>
          <w:sz w:val="18"/>
        </w:rPr>
        <w:t>Conserver /stats et /export.csv avant /:id.</w:t>
      </w:r>
    </w:p>
    <w:p>
      <w:pPr>
        <w:pStyle w:val="ListBullet"/>
        <w:spacing w:before="0" w:after="40" w:line="252" w:lineRule="auto"/>
      </w:pPr>
      <w:r>
        <w:rPr>
          <w:rFonts w:ascii="Liberation Sans" w:hAnsi="Liberation Sans" w:eastAsia="Liberation Sans"/>
          <w:b w:val="0"/>
          <w:i w:val="0"/>
          <w:sz w:val="18"/>
        </w:rPr>
        <w:t>Préserver la hiérarchie des notes.</w:t>
      </w:r>
    </w:p>
    <w:p>
      <w:pPr>
        <w:pStyle w:val="ListBullet"/>
        <w:spacing w:before="0" w:after="40" w:line="252" w:lineRule="auto"/>
      </w:pPr>
      <w:r>
        <w:rPr>
          <w:rFonts w:ascii="Liberation Sans" w:hAnsi="Liberation Sans" w:eastAsia="Liberation Sans"/>
          <w:b w:val="0"/>
          <w:i w:val="0"/>
          <w:sz w:val="18"/>
        </w:rPr>
        <w:t>Ne pas donner de bonus automatique aux heures supplémentaires.</w:t>
      </w:r>
    </w:p>
    <w:p>
      <w:pPr>
        <w:pStyle w:val="ListBullet"/>
        <w:spacing w:before="0" w:after="40" w:line="252" w:lineRule="auto"/>
      </w:pPr>
      <w:r>
        <w:rPr>
          <w:rFonts w:ascii="Liberation Sans" w:hAnsi="Liberation Sans" w:eastAsia="Liberation Sans"/>
          <w:b w:val="0"/>
          <w:i w:val="0"/>
          <w:sz w:val="18"/>
        </w:rPr>
        <w:t>Ne jamais pénaliser un congé définitivement approuvé.</w:t>
      </w:r>
    </w:p>
    <w:p>
      <w:pPr>
        <w:pStyle w:val="ListBullet"/>
        <w:spacing w:before="0" w:after="40" w:line="252" w:lineRule="auto"/>
      </w:pPr>
      <w:r>
        <w:rPr>
          <w:rFonts w:ascii="Liberation Sans" w:hAnsi="Liberation Sans" w:eastAsia="Liberation Sans"/>
          <w:b w:val="0"/>
          <w:i w:val="0"/>
          <w:sz w:val="18"/>
        </w:rPr>
        <w:t>Conserver la réparation Direction/Service des anciennes données.</w:t>
      </w:r>
    </w:p>
    <w:p>
      <w:pPr>
        <w:pStyle w:val="ListBullet"/>
        <w:spacing w:before="0" w:after="40" w:line="252" w:lineRule="auto"/>
      </w:pPr>
      <w:r>
        <w:rPr>
          <w:rFonts w:ascii="Liberation Sans" w:hAnsi="Liberation Sans" w:eastAsia="Liberation Sans"/>
          <w:b w:val="0"/>
          <w:i w:val="0"/>
          <w:sz w:val="18"/>
        </w:rPr>
        <w:t>Mettre à jour types, modèle, sérialisation et frontend ensemble.</w:t>
      </w:r>
    </w:p>
    <w:p>
      <w:pPr>
        <w:pStyle w:val="ListBullet"/>
        <w:spacing w:before="0" w:after="40" w:line="252" w:lineRule="auto"/>
      </w:pPr>
      <w:r>
        <w:rPr>
          <w:rFonts w:ascii="Liberation Sans" w:hAnsi="Liberation Sans" w:eastAsia="Liberation Sans"/>
          <w:b w:val="0"/>
          <w:i w:val="0"/>
          <w:sz w:val="18"/>
        </w:rPr>
        <w:t>Refaire une recette d’impression après toute modification du drawer ou du CSS.</w:t>
      </w:r>
    </w:p>
    <w:p>
      <w:pPr>
        <w:pStyle w:val="Heading1"/>
        <w:keepNext/>
        <w:spacing w:before="200" w:after="100" w:line="240" w:lineRule="auto"/>
      </w:pPr>
      <w:r>
        <w:rPr>
          <w:rFonts w:ascii="Liberation Sans" w:hAnsi="Liberation Sans" w:eastAsia="Liberation Sans"/>
          <w:b/>
          <w:i w:val="0"/>
          <w:color w:val="046242"/>
          <w:sz w:val="28"/>
        </w:rPr>
        <w:t>12. Arborescence livrée</w:t>
      </w:r>
    </w:p>
    <w:tbl>
      <w:tblPr>
        <w:tblW w:type="auto" w:w="0"/>
        <w:jc w:val="center"/>
        <w:tblLook w:firstColumn="1" w:firstRow="1" w:lastColumn="0" w:lastRow="0" w:noHBand="0" w:noVBand="1" w:val="04A0"/>
      </w:tblPr>
      <w:tblGrid>
        <w:gridCol w:w="10312"/>
      </w:tblGrid>
      <w:tr>
        <w:tc>
          <w:tcPr>
            <w:tcW w:type="dxa" w:w="10312"/>
            <w:shd w:fill="F3F6F7"/>
            <w:tcBorders>
              <w:top w:val="single" w:sz="4" w:color="C9D7DC"/>
              <w:left w:val="single" w:sz="8" w:color="046242"/>
              <w:bottom w:val="single" w:sz="4" w:color="C9D7DC"/>
              <w:right w:val="single" w:sz="4" w:color="C9D7DC"/>
            </w:tcBorders>
          </w:tcPr>
          <w:p>
            <w:pPr>
              <w:spacing w:before="0" w:after="0" w:line="240" w:lineRule="auto"/>
            </w:pPr>
            <w:r>
              <w:rPr>
                <w:rFonts w:ascii="Liberation Mono" w:hAnsi="Liberation Mono" w:eastAsia="Liberation Mono"/>
                <w:b w:val="0"/>
                <w:i w:val="0"/>
                <w:color w:val="0B2536"/>
                <w:sz w:val="16"/>
              </w:rPr>
              <w:t>fades-rh-evaluation-impression-logo-v2/</w:t>
            </w:r>
            <w:r>
              <w:br/>
            </w:r>
            <w:r>
              <w:rPr>
                <w:rFonts w:ascii="Liberation Mono" w:hAnsi="Liberation Mono" w:eastAsia="Liberation Mono"/>
                <w:b w:val="0"/>
                <w:i w:val="0"/>
                <w:color w:val="0B2536"/>
                <w:sz w:val="16"/>
              </w:rPr>
              <w:t>├── backend/src/modules/evaluations/</w:t>
            </w:r>
            <w:r>
              <w:br/>
            </w:r>
            <w:r>
              <w:rPr>
                <w:rFonts w:ascii="Liberation Mono" w:hAnsi="Liberation Mono" w:eastAsia="Liberation Mono"/>
                <w:b w:val="0"/>
                <w:i w:val="0"/>
                <w:color w:val="0B2536"/>
                <w:sz w:val="16"/>
              </w:rPr>
              <w:t>│   ├── evaluation.access.ts</w:t>
            </w:r>
            <w:r>
              <w:br/>
            </w:r>
            <w:r>
              <w:rPr>
                <w:rFonts w:ascii="Liberation Mono" w:hAnsi="Liberation Mono" w:eastAsia="Liberation Mono"/>
                <w:b w:val="0"/>
                <w:i w:val="0"/>
                <w:color w:val="0B2536"/>
                <w:sz w:val="16"/>
              </w:rPr>
              <w:t>│   ├── evaluation.controller.ts</w:t>
            </w:r>
            <w:r>
              <w:br/>
            </w:r>
            <w:r>
              <w:rPr>
                <w:rFonts w:ascii="Liberation Mono" w:hAnsi="Liberation Mono" w:eastAsia="Liberation Mono"/>
                <w:b w:val="0"/>
                <w:i w:val="0"/>
                <w:color w:val="0B2536"/>
                <w:sz w:val="16"/>
              </w:rPr>
              <w:t>│   ├── evaluation.model.ts</w:t>
            </w:r>
            <w:r>
              <w:br/>
            </w:r>
            <w:r>
              <w:rPr>
                <w:rFonts w:ascii="Liberation Mono" w:hAnsi="Liberation Mono" w:eastAsia="Liberation Mono"/>
                <w:b w:val="0"/>
                <w:i w:val="0"/>
                <w:color w:val="0B2536"/>
                <w:sz w:val="16"/>
              </w:rPr>
              <w:t>│   ├── evaluation.routes.ts</w:t>
            </w:r>
            <w:r>
              <w:br/>
            </w:r>
            <w:r>
              <w:rPr>
                <w:rFonts w:ascii="Liberation Mono" w:hAnsi="Liberation Mono" w:eastAsia="Liberation Mono"/>
                <w:b w:val="0"/>
                <w:i w:val="0"/>
                <w:color w:val="0B2536"/>
                <w:sz w:val="16"/>
              </w:rPr>
              <w:t>│   ├── evaluation.schema.ts</w:t>
            </w:r>
            <w:r>
              <w:br/>
            </w:r>
            <w:r>
              <w:rPr>
                <w:rFonts w:ascii="Liberation Mono" w:hAnsi="Liberation Mono" w:eastAsia="Liberation Mono"/>
                <w:b w:val="0"/>
                <w:i w:val="0"/>
                <w:color w:val="0B2536"/>
                <w:sz w:val="16"/>
              </w:rPr>
              <w:t>│   ├── evaluation.service.ts</w:t>
            </w:r>
            <w:r>
              <w:br/>
            </w:r>
            <w:r>
              <w:rPr>
                <w:rFonts w:ascii="Liberation Mono" w:hAnsi="Liberation Mono" w:eastAsia="Liberation Mono"/>
                <w:b w:val="0"/>
                <w:i w:val="0"/>
                <w:color w:val="0B2536"/>
                <w:sz w:val="16"/>
              </w:rPr>
              <w:t>│   └── evaluation.types.ts</w:t>
            </w:r>
            <w:r>
              <w:br/>
            </w:r>
            <w:r>
              <w:rPr>
                <w:rFonts w:ascii="Liberation Mono" w:hAnsi="Liberation Mono" w:eastAsia="Liberation Mono"/>
                <w:b w:val="0"/>
                <w:i w:val="0"/>
                <w:color w:val="0B2536"/>
                <w:sz w:val="16"/>
              </w:rPr>
              <w:t>├── frontend/src/features/evaluations/</w:t>
            </w:r>
            <w:r>
              <w:br/>
            </w:r>
            <w:r>
              <w:rPr>
                <w:rFonts w:ascii="Liberation Mono" w:hAnsi="Liberation Mono" w:eastAsia="Liberation Mono"/>
                <w:b w:val="0"/>
                <w:i w:val="0"/>
                <w:color w:val="0B2536"/>
                <w:sz w:val="16"/>
              </w:rPr>
              <w:t>│   ├── evaluation.api.ts</w:t>
            </w:r>
            <w:r>
              <w:br/>
            </w:r>
            <w:r>
              <w:rPr>
                <w:rFonts w:ascii="Liberation Mono" w:hAnsi="Liberation Mono" w:eastAsia="Liberation Mono"/>
                <w:b w:val="0"/>
                <w:i w:val="0"/>
                <w:color w:val="0B2536"/>
                <w:sz w:val="16"/>
              </w:rPr>
              <w:t>│   └── evaluation.types.ts</w:t>
            </w:r>
            <w:r>
              <w:br/>
            </w:r>
            <w:r>
              <w:rPr>
                <w:rFonts w:ascii="Liberation Mono" w:hAnsi="Liberation Mono" w:eastAsia="Liberation Mono"/>
                <w:b w:val="0"/>
                <w:i w:val="0"/>
                <w:color w:val="0B2536"/>
                <w:sz w:val="16"/>
              </w:rPr>
              <w:t>├── frontend/src/pages/evaluations/</w:t>
            </w:r>
            <w:r>
              <w:br/>
            </w:r>
            <w:r>
              <w:rPr>
                <w:rFonts w:ascii="Liberation Mono" w:hAnsi="Liberation Mono" w:eastAsia="Liberation Mono"/>
                <w:b w:val="0"/>
                <w:i w:val="0"/>
                <w:color w:val="0B2536"/>
                <w:sz w:val="16"/>
              </w:rPr>
              <w:t>│   ├── EvaluationDetailsDrawer.tsx</w:t>
            </w:r>
            <w:r>
              <w:br/>
            </w:r>
            <w:r>
              <w:rPr>
                <w:rFonts w:ascii="Liberation Mono" w:hAnsi="Liberation Mono" w:eastAsia="Liberation Mono"/>
                <w:b w:val="0"/>
                <w:i w:val="0"/>
                <w:color w:val="0B2536"/>
                <w:sz w:val="16"/>
              </w:rPr>
              <w:t>│   ├── EvaluationFormModal.tsx</w:t>
            </w:r>
            <w:r>
              <w:br/>
            </w:r>
            <w:r>
              <w:rPr>
                <w:rFonts w:ascii="Liberation Mono" w:hAnsi="Liberation Mono" w:eastAsia="Liberation Mono"/>
                <w:b w:val="0"/>
                <w:i w:val="0"/>
                <w:color w:val="0B2536"/>
                <w:sz w:val="16"/>
              </w:rPr>
              <w:t>│   ├── EvaluationsPage.tsx</w:t>
            </w:r>
            <w:r>
              <w:br/>
            </w:r>
            <w:r>
              <w:rPr>
                <w:rFonts w:ascii="Liberation Mono" w:hAnsi="Liberation Mono" w:eastAsia="Liberation Mono"/>
                <w:b w:val="0"/>
                <w:i w:val="0"/>
                <w:color w:val="0B2536"/>
                <w:sz w:val="16"/>
              </w:rPr>
              <w:t>│   └── evaluation-page.css</w:t>
            </w:r>
            <w:r>
              <w:br/>
            </w:r>
            <w:r>
              <w:rPr>
                <w:rFonts w:ascii="Liberation Mono" w:hAnsi="Liberation Mono" w:eastAsia="Liberation Mono"/>
                <w:b w:val="0"/>
                <w:i w:val="0"/>
                <w:color w:val="0B2536"/>
                <w:sz w:val="16"/>
              </w:rPr>
              <w:t>├── frontend/public/</w:t>
            </w:r>
            <w:r>
              <w:br/>
            </w:r>
            <w:r>
              <w:rPr>
                <w:rFonts w:ascii="Liberation Mono" w:hAnsi="Liberation Mono" w:eastAsia="Liberation Mono"/>
                <w:b w:val="0"/>
                <w:i w:val="0"/>
                <w:color w:val="0B2536"/>
                <w:sz w:val="16"/>
              </w:rPr>
              <w:t>│   └── logo-fadestext.avif</w:t>
            </w:r>
            <w:r>
              <w:br/>
            </w:r>
            <w:r>
              <w:rPr>
                <w:rFonts w:ascii="Liberation Mono" w:hAnsi="Liberation Mono" w:eastAsia="Liberation Mono"/>
                <w:b w:val="0"/>
                <w:i w:val="0"/>
                <w:color w:val="0B2536"/>
                <w:sz w:val="16"/>
              </w:rPr>
              <w:t>└── documentation/</w:t>
            </w:r>
            <w:r>
              <w:br/>
            </w:r>
            <w:r>
              <w:rPr>
                <w:rFonts w:ascii="Liberation Mono" w:hAnsi="Liberation Mono" w:eastAsia="Liberation Mono"/>
                <w:b w:val="0"/>
                <w:i w:val="0"/>
                <w:color w:val="0B2536"/>
                <w:sz w:val="16"/>
              </w:rPr>
              <w:t xml:space="preserve">    ├── DOCUMENTATION_MODULE_EVALUATIONS_FADES_RH.docx</w:t>
            </w:r>
            <w:r>
              <w:br/>
            </w:r>
            <w:r>
              <w:rPr>
                <w:rFonts w:ascii="Liberation Mono" w:hAnsi="Liberation Mono" w:eastAsia="Liberation Mono"/>
                <w:b w:val="0"/>
                <w:i w:val="0"/>
                <w:color w:val="0B2536"/>
                <w:sz w:val="16"/>
              </w:rPr>
              <w:t xml:space="preserve">    └── DOCUMENTATION_MODULE_EVALUATIONS_FADES_RH.md</w:t>
            </w:r>
          </w:p>
        </w:tc>
      </w:tr>
    </w:tbl>
    <w:p>
      <w:pPr>
        <w:spacing w:after="0"/>
      </w:pPr>
    </w:p>
    <w:p>
      <w:pPr>
        <w:pStyle w:val="Heading1"/>
        <w:keepNext/>
        <w:spacing w:before="200" w:after="100" w:line="240" w:lineRule="auto"/>
      </w:pPr>
      <w:r>
        <w:rPr>
          <w:rFonts w:ascii="Liberation Sans" w:hAnsi="Liberation Sans" w:eastAsia="Liberation Sans"/>
          <w:b/>
          <w:i w:val="0"/>
          <w:color w:val="046242"/>
          <w:sz w:val="28"/>
        </w:rPr>
        <w:t>Conclusion</w:t>
      </w:r>
    </w:p>
    <w:p>
      <w:pPr>
        <w:spacing w:before="0" w:after="100" w:line="269" w:lineRule="auto"/>
      </w:pPr>
      <w:r>
        <w:rPr>
          <w:rFonts w:ascii="Liberation Sans" w:hAnsi="Liberation Sans" w:eastAsia="Liberation Sans"/>
          <w:b w:val="0"/>
          <w:i w:val="0"/>
          <w:color w:val="0B2536"/>
          <w:sz w:val="19"/>
        </w:rPr>
        <w:t>Cette version du module Évaluations constitue une base cohérente pour la gestion annuelle de la performance FADES. Elle protège le périmètre organisationnel, interprète les données sans confondre absence de saisie et faute, neutralise les congés approuvés, maintient la décision humaine au centre du processus et fournit un document institutionnel exploitable.</w:t>
      </w:r>
    </w:p>
    <w:sectPr w:rsidR="00FC693F" w:rsidRPr="0006063C" w:rsidSect="00034616">
      <w:headerReference w:type="default" r:id="rId9"/>
      <w:footerReference w:type="default" r:id="rId10"/>
      <w:pgSz w:w="12240" w:h="15840"/>
      <w:pgMar w:top="935" w:right="964" w:bottom="822" w:left="964"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969"/>
      <w:gridCol w:w="2268"/>
      <w:gridCol w:w="3685"/>
    </w:tblGrid>
    <w:tr>
      <w:tc>
        <w:tcPr>
          <w:tcW w:type="dxa" w:w="3307"/>
          <w:tcBorders>
            <w:top w:val="single" w:sz="6" w:color="D5E4DB"/>
          </w:tcBorders>
        </w:tcPr>
        <w:p>
          <w:r>
            <w:rPr>
              <w:rFonts w:ascii="Liberation Sans" w:hAnsi="Liberation Sans" w:eastAsia="Liberation Sans"/>
              <w:b w:val="0"/>
              <w:i w:val="0"/>
              <w:color w:val="5F747C"/>
              <w:sz w:val="14"/>
            </w:rPr>
            <w:t>FADES-RH · Documentation interne</w:t>
          </w:r>
        </w:p>
      </w:tc>
      <w:tc>
        <w:tcPr>
          <w:tcW w:type="dxa" w:w="3307"/>
          <w:tcBorders>
            <w:top w:val="single" w:sz="6" w:color="D5E4DB"/>
          </w:tcBorders>
        </w:tcPr>
        <w:p>
          <w:pPr>
            <w:jc w:val="center"/>
          </w:pPr>
          <w:r>
            <w:rPr>
              <w:rFonts w:ascii="Liberation Sans" w:hAnsi="Liberation Sans" w:eastAsia="Liberation Sans"/>
              <w:b/>
              <w:i w:val="0"/>
              <w:color w:val="046242"/>
              <w:sz w:val="14"/>
            </w:rPr>
            <w:t>Version 2.0</w:t>
          </w:r>
        </w:p>
      </w:tc>
      <w:tc>
        <w:tcPr>
          <w:tcW w:type="dxa" w:w="3307"/>
          <w:tcBorders>
            <w:top w:val="single" w:sz="6" w:color="D5E4DB"/>
          </w:tcBorders>
        </w:tcPr>
        <w:p>
          <w:pPr>
            <w:jc w:val="right"/>
          </w:pPr>
          <w:r>
            <w:rPr>
              <w:rFonts w:ascii="Liberation Sans" w:hAnsi="Liberation Sans" w:eastAsia="Liberation Sans"/>
              <w:b w:val="0"/>
              <w:i w:val="0"/>
              <w:color w:val="5F747C"/>
              <w:sz w:val="14"/>
            </w:rPr>
            <w:t>24 juillet 2026 · Confidentiel</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953"/>
      <w:gridCol w:w="3969"/>
    </w:tblGrid>
    <w:tr>
      <w:tc>
        <w:tcPr>
          <w:tcW w:type="dxa" w:w="4961"/>
          <w:tcBorders>
            <w:bottom w:val="single" w:sz="10" w:color="E9B521"/>
          </w:tcBorders>
        </w:tcPr>
        <w:p>
          <w:r>
            <w:rPr>
              <w:rFonts w:ascii="Liberation Sans" w:hAnsi="Liberation Sans" w:eastAsia="Liberation Sans"/>
              <w:b/>
              <w:i w:val="0"/>
              <w:color w:val="046242"/>
              <w:sz w:val="21"/>
            </w:rPr>
            <w:t>FADES-RH</w:t>
          </w:r>
          <w:r>
            <w:rPr>
              <w:rFonts w:ascii="Liberation Sans" w:hAnsi="Liberation Sans" w:eastAsia="Liberation Sans"/>
              <w:b w:val="0"/>
              <w:i w:val="0"/>
              <w:color w:val="0B2536"/>
              <w:sz w:val="16"/>
            </w:rPr>
            <w:t xml:space="preserve">  |  Gouvernance des performances</w:t>
          </w:r>
        </w:p>
      </w:tc>
      <w:tc>
        <w:tcPr>
          <w:tcW w:type="dxa" w:w="4961"/>
          <w:tcBorders>
            <w:bottom w:val="single" w:sz="10" w:color="E9B521"/>
          </w:tcBorders>
        </w:tcPr>
        <w:p>
          <w:pPr>
            <w:jc w:val="right"/>
          </w:pPr>
          <w:r>
            <w:rPr>
              <w:rFonts w:ascii="Liberation Sans" w:hAnsi="Liberation Sans" w:eastAsia="Liberation Sans"/>
              <w:b/>
              <w:i w:val="0"/>
              <w:color w:val="0B2536"/>
              <w:sz w:val="15"/>
            </w:rPr>
            <w:t>DOCUMENTATION DU MODULE ÉVALUATIONS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du module Évaluations FADES-RH</dc:title>
  <dc:subject>Documentation technique et fonctionnelle</dc:subject>
  <dc:creator>FADES-RH</dc:creator>
  <cp:keywords>FADES-RH, évaluations, performance, RH, TypeScript, React, Express, MongoDB</cp:keywords>
  <dc:description>Version 2.0 — 24 juillet 2026</dc:description>
  <cp:lastModifiedBy/>
  <cp:revision>1</cp:revision>
  <dcterms:created xsi:type="dcterms:W3CDTF">2013-12-23T23:15:00Z</dcterms:created>
  <dcterms:modified xsi:type="dcterms:W3CDTF">2013-12-23T23:15:00Z</dcterms:modified>
  <cp:category/>
</cp:coreProperties>
</file>