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62D" w:rsidRPr="0018762D" w:rsidRDefault="0018762D" w:rsidP="000F7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CC2E5" w:themeFill="accent1" w:themeFillTint="99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eastAsia="fr-FR"/>
        </w:rPr>
      </w:pPr>
      <w:r w:rsidRPr="000F728C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eastAsia="fr-FR"/>
        </w:rPr>
        <w:t>F</w:t>
      </w:r>
      <w:r w:rsidR="00300440" w:rsidRPr="000F728C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eastAsia="fr-FR"/>
        </w:rPr>
        <w:t xml:space="preserve">ICHE PROGRAMME 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Genre, Santé et Développement</w:t>
      </w:r>
    </w:p>
    <w:p w:rsidR="0018762D" w:rsidRPr="0018762D" w:rsidRDefault="0018762D" w:rsidP="00187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Pool Santé – Institut Cortex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1. Contexte et justification</w:t>
      </w:r>
    </w:p>
    <w:p w:rsidR="0018762D" w:rsidRPr="0018762D" w:rsidRDefault="0018762D" w:rsidP="00187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Les inégalités de genre influencent fortement les conditions de vie, l’accès aux soins, l’éducation, l’emploi et les opportunités de développement.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Dans le secteur de la santé et du développement, l’intégration de l’approche genre est aujourd’hui reconnue comme un </w:t>
      </w: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levier essentiel d’efficacité, d’équité et de durabilité des politiques et des projets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18762D" w:rsidRPr="0018762D" w:rsidRDefault="0018762D" w:rsidP="000F7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programme vise à doter les professionnels des </w:t>
      </w: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connaissances et outils pratiques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nécessaires pour </w:t>
      </w: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analyser, intégrer et promouvoir l’égalité de genre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, en particulier dans les projets de santé, de développement et les institutions publiques ou privées.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Il constitue un </w:t>
      </w: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stratégique complémentaire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au programme de gestion hospitalière du pool santé de l’Institut Cortex.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2. Objectifs généraux de la formation</w:t>
      </w:r>
    </w:p>
    <w:p w:rsidR="0018762D" w:rsidRPr="0018762D" w:rsidRDefault="0018762D" w:rsidP="00187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formation, les participants seront capables de :</w:t>
      </w:r>
    </w:p>
    <w:p w:rsidR="0018762D" w:rsidRPr="0018762D" w:rsidRDefault="0018762D" w:rsidP="00187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Comprendre les concepts clés liés au genre et à l’égalité femmes–hommes</w:t>
      </w:r>
    </w:p>
    <w:p w:rsidR="0018762D" w:rsidRPr="0018762D" w:rsidRDefault="0018762D" w:rsidP="00187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Analyser les inégalités de genre dans les secteurs de la santé et du développement</w:t>
      </w:r>
    </w:p>
    <w:p w:rsidR="0018762D" w:rsidRPr="0018762D" w:rsidRDefault="0018762D" w:rsidP="00187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Intégrer l’approche genre dans les projets, programmes et politiques publiques</w:t>
      </w:r>
    </w:p>
    <w:p w:rsidR="0018762D" w:rsidRPr="0018762D" w:rsidRDefault="0018762D" w:rsidP="000F7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Concevoir des actions et projets sensibles au genre, adaptés aux contextes locaux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3. Public cible</w:t>
      </w:r>
    </w:p>
    <w:p w:rsidR="0018762D" w:rsidRPr="0018762D" w:rsidRDefault="0018762D" w:rsidP="00187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Ce programme s’adresse notamment à :</w:t>
      </w:r>
    </w:p>
    <w:p w:rsidR="0018762D" w:rsidRPr="0018762D" w:rsidRDefault="0018762D" w:rsidP="00187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Professionnels de la santé et du développement</w:t>
      </w:r>
    </w:p>
    <w:p w:rsidR="0018762D" w:rsidRPr="0018762D" w:rsidRDefault="0018762D" w:rsidP="00187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Chargé(e)s de projets et de programmes</w:t>
      </w:r>
    </w:p>
    <w:p w:rsidR="0018762D" w:rsidRPr="0018762D" w:rsidRDefault="0018762D" w:rsidP="00187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Cadres d’ONG, d’institutions publiques et d’organisations internationales</w:t>
      </w:r>
    </w:p>
    <w:p w:rsidR="0018762D" w:rsidRPr="0018762D" w:rsidRDefault="0018762D" w:rsidP="00187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Responsables communautaires et acteurs du changement social</w:t>
      </w:r>
    </w:p>
    <w:p w:rsidR="0018762D" w:rsidRPr="0018762D" w:rsidRDefault="0018762D" w:rsidP="000F7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Étudiants et professionnels souhaitant se spécialiser en genre et développement</w:t>
      </w:r>
      <w:r w:rsidR="000F728C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4. Durée et organisation de la formation</w:t>
      </w:r>
    </w:p>
    <w:p w:rsidR="0018762D" w:rsidRPr="0018762D" w:rsidRDefault="0018762D" w:rsidP="00187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totale :</w:t>
      </w:r>
      <w:r w:rsidR="00E4055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08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semaines</w:t>
      </w:r>
    </w:p>
    <w:p w:rsidR="0018762D" w:rsidRPr="0018762D" w:rsidRDefault="0018762D" w:rsidP="00187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Rythme :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séances par semaine</w:t>
      </w:r>
    </w:p>
    <w:p w:rsidR="0018762D" w:rsidRPr="00E40555" w:rsidRDefault="0018762D" w:rsidP="00187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4055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Horaires :</w:t>
      </w:r>
      <w:r w:rsidRPr="00E4055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16h00 – 18h00</w:t>
      </w:r>
    </w:p>
    <w:p w:rsidR="0018762D" w:rsidRPr="0018762D" w:rsidRDefault="0018762D" w:rsidP="00187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d’une séance :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heures</w:t>
      </w:r>
    </w:p>
    <w:p w:rsidR="0018762D" w:rsidRPr="0018762D" w:rsidRDefault="0018762D" w:rsidP="00187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Volume horaire total :</w:t>
      </w:r>
      <w:r w:rsidR="00E4055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3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2 heures</w:t>
      </w:r>
    </w:p>
    <w:p w:rsidR="0018762D" w:rsidRPr="0018762D" w:rsidRDefault="0018762D" w:rsidP="000F7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format permet une </w:t>
      </w: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assimilation progressive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des concepts tout en restant compatible avec les contraintes professionnelles des participants.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5. Structure du progra</w:t>
      </w:r>
      <w:r w:rsidR="00E4055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mme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1 – Concepts fondamentaux du genre et du développement</w:t>
      </w:r>
    </w:p>
    <w:p w:rsidR="0018762D" w:rsidRPr="0018762D" w:rsidRDefault="0018762D" w:rsidP="00187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Définitions clés (genre, sexe, égalité, équité)</w:t>
      </w:r>
    </w:p>
    <w:p w:rsidR="0018762D" w:rsidRPr="0018762D" w:rsidRDefault="0018762D" w:rsidP="00187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Lien entre genre et développement</w:t>
      </w:r>
    </w:p>
    <w:p w:rsidR="0018762D" w:rsidRPr="0018762D" w:rsidRDefault="0018762D" w:rsidP="00187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Enjeux et défis liés au genre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2 – Approches théoriques et analytiques du genre</w:t>
      </w:r>
    </w:p>
    <w:p w:rsidR="0018762D" w:rsidRPr="0018762D" w:rsidRDefault="0018762D" w:rsidP="00187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Féminismes (libéral, radical, </w:t>
      </w:r>
      <w:proofErr w:type="spellStart"/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intersectionnel</w:t>
      </w:r>
      <w:proofErr w:type="spellEnd"/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)</w:t>
      </w:r>
    </w:p>
    <w:p w:rsidR="0018762D" w:rsidRPr="0018762D" w:rsidRDefault="0018762D" w:rsidP="00187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Masculinités positives</w:t>
      </w:r>
    </w:p>
    <w:p w:rsidR="0018762D" w:rsidRPr="0018762D" w:rsidRDefault="0018762D" w:rsidP="00187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Analyse critique des approches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3 – Genre et santé</w:t>
      </w:r>
    </w:p>
    <w:p w:rsidR="0018762D" w:rsidRPr="0018762D" w:rsidRDefault="0018762D" w:rsidP="001876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Inégalités de genre en santé</w:t>
      </w:r>
    </w:p>
    <w:p w:rsidR="0018762D" w:rsidRPr="0018762D" w:rsidRDefault="0018762D" w:rsidP="001876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Santé sexuelle et reproductive</w:t>
      </w:r>
    </w:p>
    <w:p w:rsidR="0018762D" w:rsidRPr="0018762D" w:rsidRDefault="0018762D" w:rsidP="001876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Santé mentale et bien-être</w:t>
      </w:r>
    </w:p>
    <w:p w:rsidR="0018762D" w:rsidRPr="0018762D" w:rsidRDefault="0018762D" w:rsidP="001876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Accès aux soins et déterminants sociaux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4 – Genre, éducation, travail et autonomisation économique</w:t>
      </w:r>
    </w:p>
    <w:p w:rsidR="0018762D" w:rsidRPr="0018762D" w:rsidRDefault="0018762D" w:rsidP="001876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Accès à l’éducation</w:t>
      </w:r>
    </w:p>
    <w:p w:rsidR="0018762D" w:rsidRPr="0018762D" w:rsidRDefault="0018762D" w:rsidP="001876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Stéréotypes et discriminations</w:t>
      </w:r>
    </w:p>
    <w:p w:rsidR="0018762D" w:rsidRPr="0018762D" w:rsidRDefault="0018762D" w:rsidP="001876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Genre, emploi et pauvreté</w:t>
      </w:r>
    </w:p>
    <w:p w:rsidR="0018762D" w:rsidRPr="0018762D" w:rsidRDefault="0018762D" w:rsidP="001876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Autonomisation économique des femmes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5 – Genre et politiques publiques / développement durable</w:t>
      </w:r>
    </w:p>
    <w:p w:rsidR="0018762D" w:rsidRPr="0018762D" w:rsidRDefault="0018762D" w:rsidP="00187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Politiques publiques sensibles au genre</w:t>
      </w:r>
    </w:p>
    <w:p w:rsidR="0018762D" w:rsidRPr="0018762D" w:rsidRDefault="0018762D" w:rsidP="00187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Genre et gouvernance</w:t>
      </w:r>
    </w:p>
    <w:p w:rsidR="0018762D" w:rsidRPr="0018762D" w:rsidRDefault="0018762D" w:rsidP="00187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Genre et environnement</w:t>
      </w:r>
    </w:p>
    <w:p w:rsidR="0018762D" w:rsidRPr="0018762D" w:rsidRDefault="0018762D" w:rsidP="00187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Genre et technologies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Module 6 – Intégration du genre dans les projets et pratiques professionnelles</w:t>
      </w:r>
    </w:p>
    <w:p w:rsidR="0018762D" w:rsidRPr="0018762D" w:rsidRDefault="0018762D" w:rsidP="00187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Intégration du genre dans les projets de développement et de santé</w:t>
      </w:r>
    </w:p>
    <w:p w:rsidR="0018762D" w:rsidRPr="0018762D" w:rsidRDefault="0018762D" w:rsidP="00187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Études de cas et bonnes pratiques</w:t>
      </w:r>
    </w:p>
    <w:p w:rsidR="0018762D" w:rsidRPr="0018762D" w:rsidRDefault="0018762D" w:rsidP="00187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Conception d’un mini-projet sensible au genre</w:t>
      </w:r>
    </w:p>
    <w:p w:rsidR="0018762D" w:rsidRPr="0018762D" w:rsidRDefault="0018762D" w:rsidP="000F72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Évaluation et conclusion</w: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6. Répartition horaire par module (version pilote)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3"/>
        <w:gridCol w:w="2225"/>
        <w:gridCol w:w="1902"/>
      </w:tblGrid>
      <w:tr w:rsidR="0018762D" w:rsidRPr="00E40555" w:rsidTr="00E40555"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Module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Nombre de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Volume horaire</w:t>
            </w:r>
          </w:p>
        </w:tc>
      </w:tr>
      <w:tr w:rsidR="0018762D" w:rsidRPr="00E40555" w:rsidTr="00E40555"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1 – Concepts fondamentaux du genre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18762D" w:rsidRPr="00E40555" w:rsidTr="00E40555"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2 – Approches théoriques du genre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8762D" w:rsidRPr="00E40555" w:rsidTr="00E40555"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3 – Genre et santé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8762D" w:rsidRPr="00E40555" w:rsidTr="00E40555"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4 – Genre, éducation, travail et économie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8762D" w:rsidRPr="00E40555" w:rsidTr="00E40555"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5 – Genre et politiques publiques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18762D" w:rsidRPr="00E40555" w:rsidTr="00E40555">
        <w:trPr>
          <w:trHeight w:val="430"/>
        </w:trPr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6 – Intégration du genre &amp; projets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18762D" w:rsidRPr="0018762D" w:rsidTr="00E40555"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E40555" w:rsidRDefault="0018762D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16 séances</w:t>
            </w:r>
          </w:p>
        </w:tc>
        <w:tc>
          <w:tcPr>
            <w:tcW w:w="0" w:type="auto"/>
            <w:shd w:val="clear" w:color="auto" w:fill="auto"/>
            <w:hideMark/>
          </w:tcPr>
          <w:p w:rsidR="0018762D" w:rsidRPr="0018762D" w:rsidRDefault="00E40555" w:rsidP="0018762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E405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3</w:t>
            </w:r>
            <w:r w:rsidR="0018762D" w:rsidRPr="00E405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2 heures</w:t>
            </w:r>
          </w:p>
        </w:tc>
      </w:tr>
    </w:tbl>
    <w:p w:rsidR="0018762D" w:rsidRPr="0018762D" w:rsidRDefault="00950649" w:rsidP="0018762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pict>
          <v:rect id="_x0000_i1025" style="width:0;height:1.5pt" o:hralign="center" o:hrstd="t" o:hr="t" fillcolor="#a0a0a0" stroked="f"/>
        </w:pict>
      </w: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7. Approche pédagogique</w:t>
      </w:r>
    </w:p>
    <w:p w:rsidR="0018762D" w:rsidRPr="0018762D" w:rsidRDefault="0018762D" w:rsidP="00187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La formation adopte une approche </w:t>
      </w: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participative et appliquée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, combinant :</w:t>
      </w:r>
    </w:p>
    <w:p w:rsidR="0018762D" w:rsidRPr="0018762D" w:rsidRDefault="0018762D" w:rsidP="00187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Apports théoriques structurés</w:t>
      </w:r>
    </w:p>
    <w:p w:rsidR="0018762D" w:rsidRPr="0018762D" w:rsidRDefault="0018762D" w:rsidP="00187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Études de cas contextualisées (santé et développement)</w:t>
      </w:r>
    </w:p>
    <w:p w:rsidR="0018762D" w:rsidRPr="0018762D" w:rsidRDefault="0018762D" w:rsidP="00187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Travaux de groupe et discussions</w:t>
      </w:r>
    </w:p>
    <w:p w:rsidR="0018762D" w:rsidRPr="0018762D" w:rsidRDefault="0018762D" w:rsidP="00187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Exercices pratiques et mini-projets</w:t>
      </w:r>
    </w:p>
    <w:p w:rsidR="000F728C" w:rsidRDefault="0018762D" w:rsidP="000F7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L’objectif est de favoriser une </w:t>
      </w: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appropriation concrète</w:t>
      </w: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 l’approche genre dans les pratiques professionnelles.</w:t>
      </w:r>
    </w:p>
    <w:p w:rsidR="000F728C" w:rsidRDefault="000F728C">
      <w:pPr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br w:type="page"/>
      </w:r>
    </w:p>
    <w:p w:rsidR="000F728C" w:rsidRPr="0018762D" w:rsidRDefault="000F728C" w:rsidP="000F7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18762D" w:rsidRPr="0018762D" w:rsidRDefault="0018762D" w:rsidP="00187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8. Certification</w:t>
      </w:r>
    </w:p>
    <w:p w:rsidR="0018762D" w:rsidRPr="0018762D" w:rsidRDefault="0018762D" w:rsidP="00187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8762D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 et après validation des acquis, les participants recevront un :</w:t>
      </w:r>
    </w:p>
    <w:p w:rsidR="00BC5BA3" w:rsidRPr="00BC5BA3" w:rsidRDefault="0018762D" w:rsidP="00BC5BA3">
      <w:pPr>
        <w:spacing w:before="100" w:beforeAutospacing="1" w:after="100" w:afterAutospacing="1" w:line="240" w:lineRule="auto"/>
        <w:rPr>
          <w:lang w:eastAsia="fr-FR"/>
        </w:rPr>
      </w:pPr>
      <w:r w:rsidRPr="0030044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Genre, Santé et</w:t>
      </w:r>
      <w:r w:rsidR="00BC5BA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Développement – Institut Cortex </w:t>
      </w:r>
      <w:bookmarkStart w:id="0" w:name="_GoBack"/>
      <w:bookmarkEnd w:id="0"/>
    </w:p>
    <w:sectPr w:rsidR="00BC5BA3" w:rsidRPr="00BC5BA3" w:rsidSect="00E40555">
      <w:foot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649" w:rsidRDefault="00950649" w:rsidP="00BC5BA3">
      <w:pPr>
        <w:spacing w:after="0" w:line="240" w:lineRule="auto"/>
      </w:pPr>
      <w:r>
        <w:separator/>
      </w:r>
    </w:p>
  </w:endnote>
  <w:endnote w:type="continuationSeparator" w:id="0">
    <w:p w:rsidR="00950649" w:rsidRDefault="00950649" w:rsidP="00BC5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5BA3" w:rsidRDefault="00BC5BA3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4</w:t>
    </w:r>
    <w:r>
      <w:rPr>
        <w:caps/>
        <w:color w:val="5B9BD5" w:themeColor="accent1"/>
      </w:rPr>
      <w:fldChar w:fldCharType="end"/>
    </w:r>
  </w:p>
  <w:p w:rsidR="00BC5BA3" w:rsidRDefault="00BC5BA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649" w:rsidRDefault="00950649" w:rsidP="00BC5BA3">
      <w:pPr>
        <w:spacing w:after="0" w:line="240" w:lineRule="auto"/>
      </w:pPr>
      <w:r>
        <w:separator/>
      </w:r>
    </w:p>
  </w:footnote>
  <w:footnote w:type="continuationSeparator" w:id="0">
    <w:p w:rsidR="00950649" w:rsidRDefault="00950649" w:rsidP="00BC5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80208"/>
    <w:multiLevelType w:val="multilevel"/>
    <w:tmpl w:val="424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4443AC"/>
    <w:multiLevelType w:val="multilevel"/>
    <w:tmpl w:val="C2C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4F42C2"/>
    <w:multiLevelType w:val="multilevel"/>
    <w:tmpl w:val="977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C62507"/>
    <w:multiLevelType w:val="multilevel"/>
    <w:tmpl w:val="83EE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AB2D97"/>
    <w:multiLevelType w:val="multilevel"/>
    <w:tmpl w:val="63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147379"/>
    <w:multiLevelType w:val="multilevel"/>
    <w:tmpl w:val="95F6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A418D9"/>
    <w:multiLevelType w:val="multilevel"/>
    <w:tmpl w:val="DD3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713EB7"/>
    <w:multiLevelType w:val="multilevel"/>
    <w:tmpl w:val="625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DF4B1B"/>
    <w:multiLevelType w:val="multilevel"/>
    <w:tmpl w:val="3B0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E80422"/>
    <w:multiLevelType w:val="multilevel"/>
    <w:tmpl w:val="7E3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5"/>
  </w:num>
  <w:num w:numId="5">
    <w:abstractNumId w:val="7"/>
  </w:num>
  <w:num w:numId="6">
    <w:abstractNumId w:val="3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62D"/>
    <w:rsid w:val="000F728C"/>
    <w:rsid w:val="0018762D"/>
    <w:rsid w:val="001F3ED8"/>
    <w:rsid w:val="00300440"/>
    <w:rsid w:val="004E65B3"/>
    <w:rsid w:val="00950649"/>
    <w:rsid w:val="009C2FD5"/>
    <w:rsid w:val="00BC5BA3"/>
    <w:rsid w:val="00D5787F"/>
    <w:rsid w:val="00E4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6080E-E035-43A3-A18C-12B0AA4B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876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876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87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762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8762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8762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876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7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0F72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5B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5BA3"/>
  </w:style>
  <w:style w:type="paragraph" w:styleId="Pieddepage">
    <w:name w:val="footer"/>
    <w:basedOn w:val="Normal"/>
    <w:link w:val="PieddepageCar"/>
    <w:uiPriority w:val="99"/>
    <w:unhideWhenUsed/>
    <w:rsid w:val="00BC5B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5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4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6AA2-CD7E-42A4-84D3-FA9E7F01B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 SANOGO</dc:creator>
  <cp:keywords/>
  <dc:description/>
  <cp:lastModifiedBy>FATOU SANOGO</cp:lastModifiedBy>
  <cp:revision>6</cp:revision>
  <dcterms:created xsi:type="dcterms:W3CDTF">2026-02-03T14:34:00Z</dcterms:created>
  <dcterms:modified xsi:type="dcterms:W3CDTF">2026-02-05T14:18:00Z</dcterms:modified>
</cp:coreProperties>
</file>