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995" w:rsidRPr="00562995" w:rsidRDefault="00562995" w:rsidP="002A10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CC2E5" w:themeFill="accent1" w:themeFillTint="99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fr-FR"/>
        </w:rPr>
      </w:pPr>
      <w:r w:rsidRPr="002A104C">
        <w:rPr>
          <w:rFonts w:ascii="Times New Roman" w:eastAsia="Times New Roman" w:hAnsi="Times New Roman" w:cs="Times New Roman"/>
          <w:b/>
          <w:bCs/>
          <w:kern w:val="36"/>
          <w:sz w:val="32"/>
          <w:szCs w:val="28"/>
          <w:lang w:eastAsia="fr-FR"/>
        </w:rPr>
        <w:t>FICHE PROGRAMME</w:t>
      </w:r>
    </w:p>
    <w:p w:rsidR="003137F9" w:rsidRDefault="00A516AE" w:rsidP="0031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Certificat en Gouvernance</w:t>
      </w:r>
      <w:r w:rsidR="00562995"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Hospitalière et Leadership Stratégique</w:t>
      </w:r>
      <w:r w:rsidR="003137F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</w:t>
      </w:r>
    </w:p>
    <w:p w:rsidR="00562995" w:rsidRPr="00562995" w:rsidRDefault="00562995" w:rsidP="00313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Pool Santé – Institut Cortex</w:t>
      </w:r>
    </w:p>
    <w:p w:rsidR="00562995" w:rsidRPr="00562995" w:rsidRDefault="00562995" w:rsidP="0056299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62995" w:rsidRPr="00562995" w:rsidRDefault="00562995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1. Contexte et justification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Les établissements de santé évoluent dans des environnements de plus en plus complexes, marqués par des contraintes organisationnelles, financières, humaines et sanitaires.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La performance hospitalière repose aujourd’hui sur la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qualité de la gouvernance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la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capacité de leadership des cadres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et la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maîtrise des outils de gestion et de décision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programme vise à renforcer les compétences des professionnels de santé et des cadres hospitaliers en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gestion hospitalière et leadership stratégique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, en tenant compte des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réalités africaines et internationales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.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 xml:space="preserve">Il constitue un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projet pilote stratégique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pour le développement du pool santé de l’Institut Cortex.</w:t>
      </w:r>
    </w:p>
    <w:p w:rsidR="00562995" w:rsidRPr="00562995" w:rsidRDefault="00562995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2. Objectifs généraux de la formation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formation, les participants seront capables de :</w:t>
      </w:r>
    </w:p>
    <w:p w:rsidR="00562995" w:rsidRPr="00562995" w:rsidRDefault="00562995" w:rsidP="00562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Comprendre le fonctionnement global et la gouvernance d’un établissement de santé</w:t>
      </w:r>
    </w:p>
    <w:p w:rsidR="00562995" w:rsidRPr="00562995" w:rsidRDefault="00562995" w:rsidP="00562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Exercer un leadership stratégique, éthique et adapté au milieu hospitalier</w:t>
      </w:r>
    </w:p>
    <w:p w:rsidR="00562995" w:rsidRPr="00562995" w:rsidRDefault="00562995" w:rsidP="00562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Améliorer la performance organisationnelle, humaine et financière</w:t>
      </w:r>
    </w:p>
    <w:p w:rsidR="00562995" w:rsidRPr="00562995" w:rsidRDefault="00562995" w:rsidP="00562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Piloter la qualité des soins, la sécurité des patients et la communication institutionnelle</w:t>
      </w:r>
    </w:p>
    <w:p w:rsidR="00562995" w:rsidRPr="00562995" w:rsidRDefault="00562995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3. Public cible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Ce programme s’adresse principalement à :</w:t>
      </w:r>
    </w:p>
    <w:p w:rsidR="00562995" w:rsidRPr="00562995" w:rsidRDefault="00562995" w:rsidP="00562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Directeurs et cadres d’hôpitaux</w:t>
      </w:r>
    </w:p>
    <w:p w:rsidR="00562995" w:rsidRPr="00562995" w:rsidRDefault="00562995" w:rsidP="00562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Médecins chefs de service</w:t>
      </w:r>
    </w:p>
    <w:p w:rsidR="00562995" w:rsidRPr="00562995" w:rsidRDefault="00562995" w:rsidP="00562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Infirmiers(ères) chefs et cadres paramédicaux</w:t>
      </w:r>
    </w:p>
    <w:p w:rsidR="00562995" w:rsidRPr="00562995" w:rsidRDefault="00562995" w:rsidP="00562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Responsables administratifs et financiers du secteur santé</w:t>
      </w:r>
    </w:p>
    <w:p w:rsidR="00562995" w:rsidRPr="00562995" w:rsidRDefault="00562995" w:rsidP="00562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Gestionnaires de cliniques et structures privées de santé</w:t>
      </w:r>
    </w:p>
    <w:p w:rsidR="00562995" w:rsidRPr="00A35323" w:rsidRDefault="00562995" w:rsidP="00A353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Professionnels de santé aspirant à des fonctions de direction ou de coordination</w:t>
      </w:r>
    </w:p>
    <w:p w:rsidR="00562995" w:rsidRPr="00562995" w:rsidRDefault="00A35323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4</w:t>
      </w:r>
      <w:r w:rsidR="00562995"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. Structure du programme </w:t>
      </w:r>
      <w:bookmarkStart w:id="0" w:name="_GoBack"/>
      <w:bookmarkEnd w:id="0"/>
      <w:r w:rsidR="00562995"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(6 modules)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1 – Système de santé et gouvernance hospitalière</w:t>
      </w:r>
    </w:p>
    <w:p w:rsidR="00562995" w:rsidRPr="00562995" w:rsidRDefault="00562995" w:rsidP="00562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Organisation des systèmes de santé</w:t>
      </w:r>
    </w:p>
    <w:p w:rsidR="00562995" w:rsidRPr="00562995" w:rsidRDefault="00562995" w:rsidP="00562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Missions et responsabilités de l’hôpital</w:t>
      </w:r>
    </w:p>
    <w:p w:rsidR="00562995" w:rsidRPr="00562995" w:rsidRDefault="00562995" w:rsidP="00562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Gouvernance hospitalière</w:t>
      </w:r>
    </w:p>
    <w:p w:rsidR="00562995" w:rsidRPr="00562995" w:rsidRDefault="00562995" w:rsidP="00562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Défis actuels du secteur santé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2 – Leadership stratégique en milieu hospitalier</w:t>
      </w:r>
    </w:p>
    <w:p w:rsidR="00562995" w:rsidRPr="00562995" w:rsidRDefault="00562995" w:rsidP="00562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Styles de leadership en santé</w:t>
      </w:r>
    </w:p>
    <w:p w:rsidR="00562995" w:rsidRPr="00562995" w:rsidRDefault="00562995" w:rsidP="00562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Leadership éthique et responsabilité</w:t>
      </w:r>
    </w:p>
    <w:p w:rsidR="00562995" w:rsidRPr="00562995" w:rsidRDefault="00562995" w:rsidP="00562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Prise de décision en contexte critique</w:t>
      </w:r>
    </w:p>
    <w:p w:rsidR="00562995" w:rsidRPr="00562995" w:rsidRDefault="00562995" w:rsidP="00562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du changement et des crises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3 – Organisation et gestion administrative hospitalière</w:t>
      </w:r>
    </w:p>
    <w:p w:rsidR="00562995" w:rsidRPr="00562995" w:rsidRDefault="00562995" w:rsidP="00562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Organisation interne et processus hospitaliers</w:t>
      </w:r>
    </w:p>
    <w:p w:rsidR="00562995" w:rsidRPr="00562995" w:rsidRDefault="00562995" w:rsidP="00562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administrative et documentaire</w:t>
      </w:r>
    </w:p>
    <w:p w:rsidR="00562995" w:rsidRPr="00562995" w:rsidRDefault="00562995" w:rsidP="00562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Digitalisation des services</w:t>
      </w:r>
    </w:p>
    <w:p w:rsidR="00562995" w:rsidRPr="00562995" w:rsidRDefault="00562995" w:rsidP="00562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Tableaux de bord de gestion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4 – Gestion des ressources humaines hospitalières</w:t>
      </w:r>
    </w:p>
    <w:p w:rsidR="00562995" w:rsidRPr="00562995" w:rsidRDefault="00562995" w:rsidP="00562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Planification des effectifs</w:t>
      </w:r>
    </w:p>
    <w:p w:rsidR="00562995" w:rsidRPr="00562995" w:rsidRDefault="00562995" w:rsidP="00562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des compétences et des conflits</w:t>
      </w:r>
    </w:p>
    <w:p w:rsidR="00562995" w:rsidRPr="00562995" w:rsidRDefault="00562995" w:rsidP="00562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Motivation, bien-être et prévention de l’épuisement professionnel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5 – Gestion financière et performance hospitalière</w:t>
      </w:r>
    </w:p>
    <w:p w:rsidR="00562995" w:rsidRPr="00562995" w:rsidRDefault="00562995" w:rsidP="00562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Élaboration et suivi du budget hospitalier</w:t>
      </w:r>
    </w:p>
    <w:p w:rsidR="00562995" w:rsidRPr="00562995" w:rsidRDefault="00562995" w:rsidP="00562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des coûts et contrôle budgétaire</w:t>
      </w:r>
    </w:p>
    <w:p w:rsidR="00562995" w:rsidRPr="00562995" w:rsidRDefault="00562995" w:rsidP="00562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Lecture des états financiers</w:t>
      </w:r>
    </w:p>
    <w:p w:rsidR="00562995" w:rsidRPr="00562995" w:rsidRDefault="00562995" w:rsidP="00562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Audit interne et transparence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Module 6 – Qualité des soins, sécurité des patients et communication institutionnelle</w:t>
      </w:r>
    </w:p>
    <w:p w:rsidR="00562995" w:rsidRPr="00562995" w:rsidRDefault="00562995" w:rsidP="00562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Normes de qualité et sécurité des soins</w:t>
      </w:r>
    </w:p>
    <w:p w:rsidR="00562995" w:rsidRPr="00562995" w:rsidRDefault="00562995" w:rsidP="00562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Gestion des risques cliniques</w:t>
      </w:r>
    </w:p>
    <w:p w:rsidR="00562995" w:rsidRPr="00562995" w:rsidRDefault="00562995" w:rsidP="00562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Communication interne et externe</w:t>
      </w:r>
    </w:p>
    <w:p w:rsidR="00562995" w:rsidRDefault="00562995" w:rsidP="00562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lastRenderedPageBreak/>
        <w:t>Communication de crise et réputation institutionnelle</w:t>
      </w:r>
    </w:p>
    <w:p w:rsidR="00A35323" w:rsidRPr="00A35323" w:rsidRDefault="00A35323" w:rsidP="00A353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5. </w:t>
      </w: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et organisation de la formation</w:t>
      </w:r>
    </w:p>
    <w:p w:rsidR="00A35323" w:rsidRPr="00A35323" w:rsidRDefault="00A35323" w:rsidP="00A35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totale :</w:t>
      </w:r>
      <w:r w:rsidR="00F01B7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08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semaines</w:t>
      </w:r>
    </w:p>
    <w:p w:rsidR="00A35323" w:rsidRPr="00A35323" w:rsidRDefault="00A35323" w:rsidP="00A35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Rythme :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séances par semaine</w:t>
      </w:r>
    </w:p>
    <w:p w:rsidR="00A35323" w:rsidRPr="00A35323" w:rsidRDefault="00A35323" w:rsidP="00A35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Horaires :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16h00 – 18h00</w:t>
      </w:r>
    </w:p>
    <w:p w:rsidR="00A35323" w:rsidRPr="00A35323" w:rsidRDefault="00A35323" w:rsidP="00A35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Durée d’une séance :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2 heures</w:t>
      </w:r>
    </w:p>
    <w:p w:rsidR="00A35323" w:rsidRPr="00A35323" w:rsidRDefault="00A35323" w:rsidP="00A353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Volume horaire total :</w:t>
      </w:r>
      <w:r w:rsidR="00F01B7E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3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>2 heures</w:t>
      </w:r>
    </w:p>
    <w:p w:rsidR="00A35323" w:rsidRPr="00A35323" w:rsidRDefault="00A35323" w:rsidP="00A3532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Ce format est conçu pour être </w:t>
      </w:r>
      <w:r w:rsidRP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compatible avec l’activité professionnelle</w:t>
      </w:r>
      <w:r w:rsidRPr="00A35323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des participants tout en garantissant un apprentissage progressif et appliqué.</w:t>
      </w:r>
    </w:p>
    <w:tbl>
      <w:tblPr>
        <w:tblStyle w:val="Grilledutableau"/>
        <w:tblW w:w="9493" w:type="dxa"/>
        <w:tblLook w:val="04A0" w:firstRow="1" w:lastRow="0" w:firstColumn="1" w:lastColumn="0" w:noHBand="0" w:noVBand="1"/>
      </w:tblPr>
      <w:tblGrid>
        <w:gridCol w:w="4531"/>
        <w:gridCol w:w="2718"/>
        <w:gridCol w:w="2244"/>
      </w:tblGrid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Nombre de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Volume horaire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1 – Système de santé &amp; gouvernance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2 – Leadership stratégique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3 – Organisation &amp; gestion administrative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4 – Ressources humaines hospitalières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5 – Gestion financière &amp; performance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6 heures</w:t>
            </w:r>
          </w:p>
        </w:tc>
      </w:tr>
      <w:tr w:rsidR="00A35323" w:rsidRPr="00F01B7E" w:rsidTr="00584DA3">
        <w:tc>
          <w:tcPr>
            <w:tcW w:w="4531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Module 6 – Qualité, sécurité &amp; communication</w:t>
            </w:r>
          </w:p>
        </w:tc>
        <w:tc>
          <w:tcPr>
            <w:tcW w:w="2718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2 séances</w:t>
            </w:r>
          </w:p>
        </w:tc>
        <w:tc>
          <w:tcPr>
            <w:tcW w:w="2244" w:type="dxa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4 heures</w:t>
            </w:r>
          </w:p>
        </w:tc>
      </w:tr>
      <w:tr w:rsidR="00A35323" w:rsidRPr="00A35323" w:rsidTr="00F01B7E">
        <w:tc>
          <w:tcPr>
            <w:tcW w:w="4531" w:type="dxa"/>
            <w:shd w:val="clear" w:color="auto" w:fill="9CC2E5" w:themeFill="accent1" w:themeFillTint="99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Total</w:t>
            </w:r>
          </w:p>
        </w:tc>
        <w:tc>
          <w:tcPr>
            <w:tcW w:w="2718" w:type="dxa"/>
            <w:shd w:val="clear" w:color="auto" w:fill="9CC2E5" w:themeFill="accent1" w:themeFillTint="99"/>
            <w:hideMark/>
          </w:tcPr>
          <w:p w:rsidR="00A35323" w:rsidRPr="00F01B7E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16 séances</w:t>
            </w:r>
          </w:p>
        </w:tc>
        <w:tc>
          <w:tcPr>
            <w:tcW w:w="2244" w:type="dxa"/>
            <w:shd w:val="clear" w:color="auto" w:fill="9CC2E5" w:themeFill="accent1" w:themeFillTint="99"/>
            <w:hideMark/>
          </w:tcPr>
          <w:p w:rsidR="00A35323" w:rsidRPr="00A35323" w:rsidRDefault="00A35323" w:rsidP="00A35323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F01B7E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32 heures</w:t>
            </w:r>
          </w:p>
        </w:tc>
      </w:tr>
    </w:tbl>
    <w:p w:rsidR="00A35323" w:rsidRPr="00562995" w:rsidRDefault="00A35323" w:rsidP="00F01B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</w:p>
    <w:p w:rsidR="00562995" w:rsidRPr="00562995" w:rsidRDefault="00A35323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6</w:t>
      </w:r>
      <w:r w:rsidR="00562995"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. Approche pédagogique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La formation repose sur une approche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professionnelle, participative et orientée résultats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, combinant :</w:t>
      </w:r>
    </w:p>
    <w:p w:rsidR="00562995" w:rsidRPr="00562995" w:rsidRDefault="00562995" w:rsidP="00562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Apports théoriques ciblés</w:t>
      </w:r>
    </w:p>
    <w:p w:rsidR="00562995" w:rsidRPr="00562995" w:rsidRDefault="00562995" w:rsidP="00562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Études de cas inspirées de situations réelles</w:t>
      </w:r>
    </w:p>
    <w:p w:rsidR="00562995" w:rsidRPr="00562995" w:rsidRDefault="00562995" w:rsidP="00562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Mises en situation et travaux pratiques</w:t>
      </w:r>
    </w:p>
    <w:p w:rsidR="00562995" w:rsidRPr="00562995" w:rsidRDefault="00562995" w:rsidP="00562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Discussions dirigées et partage d’expériences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L’objectif est de permettre une </w:t>
      </w: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application immédiate</w:t>
      </w: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des compétences acquises en milieu hospitalier.</w:t>
      </w:r>
    </w:p>
    <w:p w:rsidR="00562995" w:rsidRPr="00562995" w:rsidRDefault="00A35323" w:rsidP="00562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lastRenderedPageBreak/>
        <w:t>7</w:t>
      </w:r>
      <w:r w:rsidR="00562995"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. Certification</w:t>
      </w:r>
    </w:p>
    <w:p w:rsidR="00562995" w:rsidRPr="00562995" w:rsidRDefault="00562995" w:rsidP="00562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562995">
        <w:rPr>
          <w:rFonts w:ascii="Times New Roman" w:eastAsia="Times New Roman" w:hAnsi="Times New Roman" w:cs="Times New Roman"/>
          <w:sz w:val="28"/>
          <w:szCs w:val="28"/>
          <w:lang w:eastAsia="fr-FR"/>
        </w:rPr>
        <w:t>À l’issue de la formation et après validation des acquis, les participants recevront un :</w:t>
      </w:r>
    </w:p>
    <w:p w:rsidR="004E65B3" w:rsidRPr="00A35323" w:rsidRDefault="00562995" w:rsidP="00FC7D1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62995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Certificat en Gestion Hospitalière et Leadership Stratégique </w:t>
      </w:r>
      <w:r w:rsidR="003137F9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(</w:t>
      </w:r>
      <w:r w:rsidR="00A35323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accrédité)</w:t>
      </w:r>
    </w:p>
    <w:sectPr w:rsidR="004E65B3" w:rsidRPr="00A35323" w:rsidSect="00F01B7E">
      <w:footerReference w:type="default" r:id="rId7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0E1" w:rsidRDefault="00F230E1" w:rsidP="00562995">
      <w:pPr>
        <w:spacing w:after="0" w:line="240" w:lineRule="auto"/>
      </w:pPr>
      <w:r>
        <w:separator/>
      </w:r>
    </w:p>
  </w:endnote>
  <w:endnote w:type="continuationSeparator" w:id="0">
    <w:p w:rsidR="00F230E1" w:rsidRDefault="00F230E1" w:rsidP="00562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4267018"/>
      <w:docPartObj>
        <w:docPartGallery w:val="Page Numbers (Bottom of Page)"/>
        <w:docPartUnique/>
      </w:docPartObj>
    </w:sdtPr>
    <w:sdtEndPr/>
    <w:sdtContent>
      <w:p w:rsidR="00FC7D13" w:rsidRDefault="00FC7D1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1B43">
          <w:rPr>
            <w:noProof/>
          </w:rPr>
          <w:t>3</w:t>
        </w:r>
        <w:r>
          <w:fldChar w:fldCharType="end"/>
        </w:r>
      </w:p>
    </w:sdtContent>
  </w:sdt>
  <w:p w:rsidR="00FC7D13" w:rsidRDefault="00FC7D1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0E1" w:rsidRDefault="00F230E1" w:rsidP="00562995">
      <w:pPr>
        <w:spacing w:after="0" w:line="240" w:lineRule="auto"/>
      </w:pPr>
      <w:r>
        <w:separator/>
      </w:r>
    </w:p>
  </w:footnote>
  <w:footnote w:type="continuationSeparator" w:id="0">
    <w:p w:rsidR="00F230E1" w:rsidRDefault="00F230E1" w:rsidP="00562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348DA"/>
    <w:multiLevelType w:val="multilevel"/>
    <w:tmpl w:val="45F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1C21D1"/>
    <w:multiLevelType w:val="multilevel"/>
    <w:tmpl w:val="181A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C2254"/>
    <w:multiLevelType w:val="multilevel"/>
    <w:tmpl w:val="56E8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DE687E"/>
    <w:multiLevelType w:val="multilevel"/>
    <w:tmpl w:val="C99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217BBD"/>
    <w:multiLevelType w:val="multilevel"/>
    <w:tmpl w:val="AB9E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B53FDA"/>
    <w:multiLevelType w:val="multilevel"/>
    <w:tmpl w:val="B86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B327C6"/>
    <w:multiLevelType w:val="multilevel"/>
    <w:tmpl w:val="026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3E1A08"/>
    <w:multiLevelType w:val="multilevel"/>
    <w:tmpl w:val="A30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F30DD1"/>
    <w:multiLevelType w:val="multilevel"/>
    <w:tmpl w:val="66C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0C2232"/>
    <w:multiLevelType w:val="multilevel"/>
    <w:tmpl w:val="0D20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9"/>
  </w:num>
  <w:num w:numId="4">
    <w:abstractNumId w:val="0"/>
  </w:num>
  <w:num w:numId="5">
    <w:abstractNumId w:val="5"/>
  </w:num>
  <w:num w:numId="6">
    <w:abstractNumId w:val="8"/>
  </w:num>
  <w:num w:numId="7">
    <w:abstractNumId w:val="1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995"/>
    <w:rsid w:val="00111E2E"/>
    <w:rsid w:val="001B1D94"/>
    <w:rsid w:val="0027677C"/>
    <w:rsid w:val="002A104C"/>
    <w:rsid w:val="003137F9"/>
    <w:rsid w:val="004E65B3"/>
    <w:rsid w:val="004E6C98"/>
    <w:rsid w:val="00562995"/>
    <w:rsid w:val="005861F4"/>
    <w:rsid w:val="00591B43"/>
    <w:rsid w:val="00740075"/>
    <w:rsid w:val="007E0B6F"/>
    <w:rsid w:val="00A35323"/>
    <w:rsid w:val="00A516AE"/>
    <w:rsid w:val="00F01B7E"/>
    <w:rsid w:val="00F230E1"/>
    <w:rsid w:val="00F27513"/>
    <w:rsid w:val="00F53325"/>
    <w:rsid w:val="00FC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202C6-9943-4BE9-BA93-20E1EB6C7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62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62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299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6299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ev">
    <w:name w:val="Strong"/>
    <w:basedOn w:val="Policepardfaut"/>
    <w:uiPriority w:val="22"/>
    <w:qFormat/>
    <w:rsid w:val="005629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2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62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62995"/>
  </w:style>
  <w:style w:type="paragraph" w:styleId="Pieddepage">
    <w:name w:val="footer"/>
    <w:basedOn w:val="Normal"/>
    <w:link w:val="PieddepageCar"/>
    <w:uiPriority w:val="99"/>
    <w:unhideWhenUsed/>
    <w:rsid w:val="005629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62995"/>
  </w:style>
  <w:style w:type="table" w:styleId="Grilledutableau">
    <w:name w:val="Table Grid"/>
    <w:basedOn w:val="TableauNormal"/>
    <w:uiPriority w:val="39"/>
    <w:rsid w:val="007400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43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65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4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FATOU SANOGO</dc:creator>
  <cp:keywords/>
  <dc:description/>
  <cp:lastModifiedBy>FATOU SANOGO</cp:lastModifiedBy>
  <cp:revision>5</cp:revision>
  <dcterms:created xsi:type="dcterms:W3CDTF">2026-02-03T12:02:00Z</dcterms:created>
  <dcterms:modified xsi:type="dcterms:W3CDTF">2026-02-05T14:33:00Z</dcterms:modified>
</cp:coreProperties>
</file>