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FRM1728" w:hAnsi="SFRM1728" w:cs="SFRM1728" w:eastAsia="SFRM1728"/>
          <w:color w:val="auto"/>
          <w:spacing w:val="0"/>
          <w:position w:val="0"/>
          <w:sz w:val="20"/>
          <w:shd w:fill="auto" w:val="clear"/>
        </w:rPr>
      </w:pPr>
      <w:r>
        <w:rPr>
          <w:rFonts w:ascii="SFRM1728" w:hAnsi="SFRM1728" w:cs="SFRM1728" w:eastAsia="SFRM1728"/>
          <w:color w:val="auto"/>
          <w:spacing w:val="0"/>
          <w:position w:val="0"/>
          <w:sz w:val="20"/>
          <w:shd w:fill="auto" w:val="clear"/>
        </w:rPr>
        <w:t xml:space="preserve">Dokumentácia</w:t>
      </w:r>
    </w:p>
    <w:p>
      <w:pPr>
        <w:spacing w:before="0" w:after="0" w:line="240"/>
        <w:ind w:right="0" w:left="0" w:firstLine="0"/>
        <w:jc w:val="left"/>
        <w:rPr>
          <w:rFonts w:ascii="SFRM1728" w:hAnsi="SFRM1728" w:cs="SFRM1728" w:eastAsia="SFRM1728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&lt;názov&gt;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FRM1440" w:hAnsi="SFRM1440" w:cs="SFRM1440" w:eastAsia="SFRM1440"/>
          <w:color w:val="auto"/>
          <w:spacing w:val="0"/>
          <w:position w:val="0"/>
          <w:sz w:val="20"/>
          <w:shd w:fill="auto" w:val="clear"/>
        </w:rPr>
        <w:t xml:space="preserve">logistická spolo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nosť: Document &amp; electronic consent management</w:t>
      </w: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  <w:r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  <w:t xml:space="preserve">Tvorba informacných systémov</w:t>
      </w: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  <w:r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  <w:t xml:space="preserve">&lt;Nase mená&gt;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  <w:t xml:space="preserve">Ján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pirka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Jozef</w:t>
        <w:tab/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Patrik</w:t>
        <w:tab/>
        <w:t xml:space="preserve">Michálik</w:t>
      </w: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Matej</w:t>
        <w:tab/>
        <w:t xml:space="preserve">Magát</w:t>
      </w: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  <w:r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  <w:t xml:space="preserve">&lt;datum finalnej verzie&gt;</w:t>
      </w: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RM1200" w:hAnsi="SFRM1200" w:cs="SFRM1200" w:eastAsia="SFRM120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Introduction</w:t>
        <w:br/>
        <w:t xml:space="preserve">1.1 Purpose of requirements document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tento dokument slú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 na zhrnutie a opis softw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éru, ktorý má ma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ť nastarosti administrat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ívu..... 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napísané na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čo je dokument určen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a pre koho je ur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čen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ý. Aby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čitateľ dokumentu vedel, čo pr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áve dr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 v ruke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 hoci má nejakú predstavu,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ždy je dobr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é, ak mu to autori pripomenú a jasne zadefinujú.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1.2 Scope of the product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Tu je opísaný rozsah systému: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čo ešte patr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 do systému, ktorý sa bude vyvíja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a čo už je za hranicami jeho p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ôsobnosti,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čo všetko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 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hrub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ých rysoch pokrýva jeho funkcionalita?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1.3 Definitions, acronyms and abbreviations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je slovník pojmov. Nezavádzame ju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na silu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“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 len preto, aby bola, ale treba si uvedomi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ť, že dokument bud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ú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íta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aj ľudia, ktor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 nevedia o doméne do ktorej sa ide informa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systém nasadi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skoro nič a podobne ľudia, ktor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 majú len ve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ľmi hmlist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ú predstavu o tvorbe informa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ých systémov. Preto kedyko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ľvek v texte použijeme nejak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pojem, ktorý nemusí by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automaticky zrejm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šetk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ým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čitateľom, prid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áme ho do slovníka pojmov a vysvetlíme ho tam. Naopak, neuvádzame tu zbyto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čne prehľad terminol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ógie, ktorú nepou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ívame alebo nie je pre informa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systém podstatná.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1.4 References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sa odkazujeme na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šetky extern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 informácie, dokumenty, zákony, nariadenia, interné predpisy, technologické postupy, manuály, dátové súbory, ktoré dal zadávate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 k dispoz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ícii, zau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ívané postupy a pod.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šetko, čo nejak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ým spôsobom ovplyv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ňuje vznikaj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úci informa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systém a existovalo pred tým, ako za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čala pr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áca na vývoji.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1.5 Overview of the remainder of the document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Záver úvodnej kapitoly ka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žd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ého odborného dokumentu (tu sta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1.5) spravidla obsahuje stručn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komentovaný preh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ľad nasleduj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úcich kapitol, aby sa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čitateľ vedel v celom dokumente zorientovať a 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ýchlo sa zamera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na to, čo pr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áve h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ľad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 alebo sa ho týka.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2. General description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Celá druhá kapitola (General description) je popis plánovaného systému prirodzeným jazykom, plynulými vetami bez toho, aby sme i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šli do veľk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ých podrobností.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2.1 Product perspective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Sta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2.1 zasadzuje syst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ém do kontextu, díva sa na neho z nadh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ľadu (perspekt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ívy).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2.2 Product functions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Sta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2.2 by mala obsahovať stručn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 opis celej funkcionality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 tak, aby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čitateľ z neho z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ískal kompletnú predstavu,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čo všetko syst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ém bude robi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ť. 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2.3 User characteristics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Sta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2.3 m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 definova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použ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ívate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ľsk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 role,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čiže typy použ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ívate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ľov, ktor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 so systémom budú interagova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2.4 General constraints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šeobecn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 obmedzenia v stati 2.4. ur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čuj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ú ktoré predpisy a existujúca prax a akým spôsobom majú vecný vplyv na plánovaný systém.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2.5 Assumptions and dependencies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Predpoklady a závislosti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 sta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2.5. stanovuje konkr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étne rozhrania systému s jeho okolím a ich vlastnosti.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  <w:t xml:space="preserve">Špecifick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  <w:t xml:space="preserve">é 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  <w:t xml:space="preserve">žiadavky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3.1 Funk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čn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é 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žiadavky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[P1]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 najvyššou prioritou - nutn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[P2] -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so strednou prioritou - vyžiadan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é, ale nie nutné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[P3] -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 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ízkou prioritou - bonusové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[S]   - syst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mov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[A]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pre admina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[N]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pre nadriaden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ého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[Z]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pre  zamestnanca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[*]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značka pre odkazovnie sa na in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ú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žiadavku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[**] - značka pre podmienenečn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zru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šunie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žiadavky s č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slom za zna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čkou - interpretuj: ak sa podar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toto, tak 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to neplat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P1-Z-1 -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prihlasovanie pre blue-colar cez prihlasovacie údaje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P1-Z-2 - vid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iba jeho dokumenty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P1-Z-3 - vid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kedy bol pre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školen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ý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P1-Z-4 - vid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upozornenia s deadliny na pre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školenia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P1-N-1 - dostane odkaz na dokumenty jeho priamych podriaden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ých (vy-extrahova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všetky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údaje pod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ľa zamestnanca)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P1-N-2 - 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 právomoc na pozretie statusu podriadených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P1-N-3 - 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rávo niektoré dokumenty vyradi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z potreby podp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ísania svojich zamestnancov(v matici)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P1-A-1 - vid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í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z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áznamy oboznámenia aj predchádzajúcich verzií dokumentov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v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šetk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ý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ch zamesnancov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P1-A-2 - vie si pozrie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vizualiz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áci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u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skill matrix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u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(vy-extrahova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1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údaj pod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ľa zamestnancov do tabuľky)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P1-A-3 - Vie zast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úpi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nadriaden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ého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v *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P1-N-2 a v *P1-N-3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P1-S-1 -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to by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web str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nka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P1-S-2 - viac adminov 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ô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že editovať naraz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P1-S-3 - str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nka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by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v Slovenčine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P1-S-4 - str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nka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byť v Angli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čtine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P1-S-5 -  aplik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cia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posiela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ť upozornenia zamestnancom na mail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P1-S-6 -  aplik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cia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posielať upozornenia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šefom zamestnancov, pokiaľ nemaj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ú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mail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P2-Z-1 -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prihlasovanie pre blue-colar kartou na kiosku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**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P1-Z-1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P3-A-1 - Chodenie notifik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ácie adminom o aktuálnosti dokumentov (raz ro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čne)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P3-S-1 -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str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nka m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byť v čestine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Najdôle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žitejšou kapitolou dokumentu je tretia kapitola, ktor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 obsahuje kompletný zoznam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šetk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ých po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žiadaviek na syst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ém. Ka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žd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 po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žiadavka mus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 ma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 svoje označenie (č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íslo alebo nejaký iný identifikátor), aby sa na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ňu dalo odkazovať z ostatn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ých dokumentov 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 najmä z návrhu a testovacích scenárov a krátky popis, typicky v rozsahu 1-3 viet. V tretej kapitole je teda znovu vymenované v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šetko čo syst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ém bude robi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ť, požiadavky sa m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ô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žu odkazovať na pojmy, dokumenty a inform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ácie uvedené v predchádzajúcich kapitolách katalógu po</w:t>
      </w:r>
      <w:r>
        <w:rPr>
          <w:rFonts w:ascii="Verdana" w:hAnsi="Verdana" w:cs="Verdana" w:eastAsia="Verdana"/>
          <w:color w:val="BFBFBF"/>
          <w:spacing w:val="0"/>
          <w:position w:val="0"/>
          <w:sz w:val="20"/>
          <w:shd w:fill="auto" w:val="clear"/>
        </w:rPr>
        <w:t xml:space="preserve">žiadaviek.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Pri vyu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í tohto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štandardu nar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žame na dilemu, ak zad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ávate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 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ám nevie sformulova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ť svoju ucelen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ú predstavu a viaceré otázky ostanú nezodpovedané. Vývojári majú na výber: bu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ď ich katal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óg po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žiadaviek bude odpovedať aj na tieto ot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ázky, alebo zachytí len presne tie po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žiadavky, ktor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é zadávate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 požadoval. V druhom pr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ípade ale treba vytvori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ť ďalš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í dokument, ktorý plní úlohu kompletného katalógu po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žiadaviek. Svojvoľn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ým výberom z alternatív v prípade vynechania dôle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ých odpovedí bez toho, aby sme ich skonfrontovali so zadávate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ľom, by ľahko mohla nastať situ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ácia, ke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ď by zad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ávate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 s dodan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ým výsledkom nebol spokojný. Úlohou vývojárov, ktorí pripravujú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špecifik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áciu, je sformulova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ť aj tie požiadavky na syst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ém, ktoré zadávate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 zamlčal a skonfrontovať s 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ím výslednú verziu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špecifik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ácie. V tomto kontexte je u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žitočn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é rozli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šovať medzi: z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ámermi a cie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ľmi zad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ávate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ľa a jeho konkr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étnymi po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žiadavkami. Zatiaľ čo z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ámery a ciele len odpovedajú na otázku "Pre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čo m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 informa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čn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ý systém vzniknú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ť?", konkr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étne po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žiadavky odpovedaj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ú na otázky 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Čo presne m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 systém robi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ť?". V niektor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ých informa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čn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ých systémoch zadávatelia nevedia ur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čiť žiadne požiadavky, iba stanoviť svoje z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ámery a ciele.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  <w:t xml:space="preserve">4. Appendices 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&lt;sem dame tie dve tabulky co nam poslali a opiseme&gt;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