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60" w:lineRule="auto"/>
        <w:ind w:left="-15"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6"/>
          <w:szCs w:val="36"/>
          <w:rtl w:val="0"/>
        </w:rPr>
        <w:t xml:space="preserve">SOFTWARE ENGINEERING</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60" w:lineRule="auto"/>
        <w:ind w:left="-15"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6"/>
          <w:szCs w:val="36"/>
          <w:rtl w:val="0"/>
        </w:rPr>
        <w:t xml:space="preserve">(IT-314)</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EVENT PLANNER APPLICATION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48"/>
          <w:szCs w:val="48"/>
          <w:u w:val="single"/>
        </w:rPr>
      </w:pPr>
      <w:r w:rsidDel="00000000" w:rsidR="00000000" w:rsidRPr="00000000">
        <w:rPr>
          <w:rFonts w:ascii="Times New Roman" w:cs="Times New Roman" w:eastAsia="Times New Roman" w:hAnsi="Times New Roman"/>
          <w:sz w:val="48"/>
          <w:szCs w:val="48"/>
          <w:u w:val="single"/>
          <w:rtl w:val="0"/>
        </w:rPr>
        <w:t xml:space="preserve">User Manual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48"/>
          <w:szCs w:val="48"/>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Version 1.0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60" w:lineRule="auto"/>
        <w:ind w:left="-15"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60" w:lineRule="auto"/>
        <w:ind w:left="-15"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60" w:lineRule="auto"/>
        <w:ind w:left="-15"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60" w:lineRule="auto"/>
        <w:ind w:left="-15"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60" w:lineRule="auto"/>
        <w:ind w:left="-15"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60" w:lineRule="auto"/>
        <w:ind w:left="-15"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60" w:lineRule="auto"/>
        <w:ind w:left="-15"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Team no: 14</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60" w:lineRule="auto"/>
        <w:ind w:left="-15"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Instructor: Prof. Asim Banerjee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60" w:lineRule="auto"/>
        <w:ind w:left="-15"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Mentor: K Hemantha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60" w:lineRule="auto"/>
        <w:ind w:left="-15"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b w:val="1"/>
          <w:sz w:val="24"/>
          <w:szCs w:val="24"/>
          <w:rtl w:val="0"/>
        </w:rPr>
        <w:t xml:space="preserve">5 April, 2016</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60" w:lineRule="auto"/>
        <w:ind w:left="-15" w:firstLine="0"/>
        <w:contextualSpacing w:val="0"/>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Team Members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60" w:lineRule="auto"/>
        <w:ind w:left="-15" w:firstLine="0"/>
        <w:contextualSpacing w:val="0"/>
        <w:rPr>
          <w:rFonts w:ascii="Times New Roman" w:cs="Times New Roman" w:eastAsia="Times New Roman" w:hAnsi="Times New Roman"/>
          <w:b w:val="1"/>
          <w:sz w:val="32"/>
          <w:szCs w:val="32"/>
          <w:u w:val="single"/>
        </w:rPr>
      </w:pPr>
      <w:r w:rsidDel="00000000" w:rsidR="00000000" w:rsidRPr="00000000">
        <w:rPr>
          <w:rtl w:val="0"/>
        </w:rPr>
      </w:r>
    </w:p>
    <w:tbl>
      <w:tblPr>
        <w:tblStyle w:val="Table1"/>
        <w:tblW w:w="936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4575"/>
        <w:gridCol w:w="2655"/>
        <w:tblGridChange w:id="0">
          <w:tblGrid>
            <w:gridCol w:w="2130"/>
            <w:gridCol w:w="4575"/>
            <w:gridCol w:w="265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S.No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ID</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Patel Yash</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201301008</w:t>
            </w:r>
          </w:p>
        </w:tc>
      </w:tr>
      <w:tr>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Patel Tej Naginbhai</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201301018</w:t>
            </w:r>
          </w:p>
        </w:tc>
      </w:tr>
      <w:tr>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Anavadiya Yash Kumar</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201301052</w:t>
            </w:r>
          </w:p>
        </w:tc>
      </w:tr>
      <w:tr>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Chauhan Dwimitra Dharmendra</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201301079</w:t>
            </w:r>
          </w:p>
        </w:tc>
      </w:tr>
      <w:tr>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Rahul Shashank Saranjame (Team Leader)</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201301101</w:t>
            </w:r>
          </w:p>
        </w:tc>
      </w:tr>
      <w:tr>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Fatnani Varun Kumarbhai</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201301152</w:t>
            </w:r>
          </w:p>
        </w:tc>
      </w:tr>
      <w:tr>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Nikita Jain</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201301155</w:t>
            </w:r>
          </w:p>
        </w:tc>
      </w:tr>
      <w:tr>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Karri Kiran Satish Reddy</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201301168</w:t>
            </w:r>
          </w:p>
        </w:tc>
      </w:tr>
      <w:tr>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Raman Kumar Douchaniya</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201301202</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line="259" w:lineRule="auto"/>
        <w:contextualSpacing w:val="0"/>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Version History</w:t>
      </w:r>
      <w:r w:rsidDel="00000000" w:rsidR="00000000" w:rsidRPr="00000000">
        <w:rPr>
          <w:rtl w:val="0"/>
        </w:rPr>
      </w:r>
    </w:p>
    <w:tbl>
      <w:tblPr>
        <w:tblStyle w:val="Table2"/>
        <w:tblW w:w="936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trHeight w:val="480" w:hRule="atLeast"/>
        </w:trPr>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Version no.</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Authors</w:t>
            </w:r>
          </w:p>
        </w:tc>
      </w:tr>
      <w:tr>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5/04/2016</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Mar>
              <w:top w:w="100.0" w:type="dxa"/>
              <w:left w:w="100.0" w:type="dxa"/>
              <w:bottom w:w="100.0" w:type="dxa"/>
              <w:right w:w="100.0" w:type="dxa"/>
            </w:tcMar>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Rahul Saranjame</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60" w:lineRule="auto"/>
        <w:ind w:left="-15"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60" w:lineRule="auto"/>
        <w:ind w:left="-15"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60" w:lineRule="auto"/>
        <w:ind w:left="-15"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60" w:lineRule="auto"/>
        <w:ind w:left="-15" w:firstLine="0"/>
        <w:contextualSpacing w:val="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Table of Contents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60" w:lineRule="auto"/>
        <w:ind w:left="-15"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Introduction....................................................................................................4</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60" w:lineRule="auto"/>
        <w:ind w:left="705" w:firstLine="15"/>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Purpose ............................................................................................4</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60" w:lineRule="auto"/>
        <w:ind w:left="705" w:firstLine="15"/>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Scope ……………...........................................................................4</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60" w:lineRule="auto"/>
        <w:ind w:left="705" w:firstLine="15"/>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Authorised User Permissions...........................................................4</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60" w:lineRule="auto"/>
        <w:ind w:left="-15"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Product Description........................................................................................5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60" w:lineRule="auto"/>
        <w:ind w:left="705" w:firstLine="15"/>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Product Perspective..........................................................................5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60" w:lineRule="auto"/>
        <w:ind w:left="705" w:firstLine="15"/>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Product Functions.............................................................................5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60" w:lineRule="auto"/>
        <w:ind w:left="705" w:firstLine="15"/>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User Classes………..........................................................................5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60" w:lineRule="auto"/>
        <w:ind w:left="-15"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System Specification.......................................................................................5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60" w:lineRule="auto"/>
        <w:ind w:left="-15"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3.1 Operating Environment …………………………………………....5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60" w:lineRule="auto"/>
        <w:ind w:left="-15"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3.2 System Features ……………………………………………………6</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60" w:lineRule="auto"/>
        <w:ind w:left="-15"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3.3  Performance Requirements ………………………………………..6</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60" w:lineRule="auto"/>
        <w:ind w:left="-15"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Application Walkthrough ................................................................................7</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60" w:lineRule="auto"/>
        <w:ind w:left="-15"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4.1  Home Screen ………………………………………………………7</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60" w:lineRule="auto"/>
        <w:ind w:left="705" w:firstLine="15"/>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View Upcoming Events …………………………………………... 7</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60" w:lineRule="auto"/>
        <w:ind w:left="705" w:firstLine="15"/>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Login View  ………………………………………………………..8</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60" w:lineRule="auto"/>
        <w:ind w:left="705" w:firstLine="15"/>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  Create new event  …………………………………………………10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60" w:lineRule="auto"/>
        <w:ind w:left="705" w:firstLine="15"/>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  Search View  ……………………………………………………....11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60" w:lineRule="auto"/>
        <w:ind w:left="705" w:firstLine="15"/>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  Event Details ……………………………………………………...12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60" w:lineRule="auto"/>
        <w:ind w:left="705" w:firstLine="15"/>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  Email Notification …………………………………………….…..14</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60" w:lineRule="auto"/>
        <w:ind w:left="-15"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Frequently Asked Questions..……………......................................................15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60" w:lineRule="auto"/>
        <w:ind w:left="-15"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References…………………………………………………………………...16</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360" w:lineRule="auto"/>
        <w:ind w:left="-15" w:firstLine="0"/>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rtl w:val="0"/>
        </w:rPr>
        <w:t xml:space="preserve">Introduction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pPr>
        <w:numPr>
          <w:ilvl w:val="1"/>
          <w:numId w:val="6"/>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u w:val="single"/>
          <w:rtl w:val="0"/>
        </w:rPr>
        <w:t xml:space="preserve">Purpose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document aims at providing the users with a walkthrough of the Event Management webapp in an organised manner.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document has been drafted for the client organisation All About Ads and is intended for easy and smooth use by the employees. It will also provide the organisation a quick way of clearing any queries that they might have regarding the use of the product.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document has been composed in an easy to understand language that will grant ease to the task of understanding the application.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1"/>
          <w:numId w:val="6"/>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Scope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manual contains all the information required for the employees of the client organisation to work with the application easily. This document contains a detailed description of all the functionalities of the product and step-by-step procedures for efficient use.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1"/>
          <w:numId w:val="6"/>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Authorized User Permissions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Usage of this software is limited only to the client organisation All About Ads and Team 14, IT314 Software Engineering Winter 2015-2016 DA-IICT.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rtl w:val="0"/>
        </w:rPr>
        <w:t xml:space="preserve">Product Description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pPr>
        <w:numPr>
          <w:ilvl w:val="1"/>
          <w:numId w:val="6"/>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u w:val="single"/>
          <w:rtl w:val="0"/>
        </w:rPr>
        <w:t xml:space="preserve">Product Perspective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product has been designed keeping in mind the requirements of the client. The current problems of the client will be minimised to a great extent with the help of this application. The features of the application have been appropriately designed to fulfill all the client requirements,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1"/>
          <w:numId w:val="6"/>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u w:val="single"/>
          <w:rtl w:val="0"/>
        </w:rPr>
        <w:t xml:space="preserve">Product Functions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will provide the user with options to create a new event entry and view the previously stored events. All the information regarding the event can be found at one place so that time and other resources are not wasted searching for them. To facilitate event detail viewing the search functionality has been implemented. Apart from this the product will also create a costing sheet on the basis of all the items added while creating/editing the event. To ensure that the event details are not privy to anyone outside the organisation each user is required to login before doing any of the above. Also the customer for whom the event is being conducted can be notified about the changes made in the event details to ensure that regular communication is maintained,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1"/>
          <w:numId w:val="6"/>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u w:val="single"/>
          <w:rtl w:val="0"/>
        </w:rPr>
        <w:t xml:space="preserve">User Classes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users of this application will be the employees of the client organisation All About Ads. There are only two types of privileges:</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Admin: The main head who has all the rights that the general user has but can additionally delete the event.</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General User: The general user can access all the product functionalities like viewing, creating and editing new events. He is barred from deleting an event.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rtl w:val="0"/>
        </w:rPr>
        <w:t xml:space="preserve">System Specifications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pPr>
        <w:numPr>
          <w:ilvl w:val="1"/>
          <w:numId w:val="6"/>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u w:val="single"/>
          <w:rtl w:val="0"/>
        </w:rPr>
        <w:t xml:space="preserve">Operating Environment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 application has been designed on Wordpress platform. For database creation we have used  </w:t>
      </w:r>
      <w:r w:rsidDel="00000000" w:rsidR="00000000" w:rsidRPr="00000000">
        <w:rPr>
          <w:rFonts w:ascii="Times New Roman" w:cs="Times New Roman" w:eastAsia="Times New Roman" w:hAnsi="Times New Roman"/>
          <w:sz w:val="24"/>
          <w:szCs w:val="24"/>
          <w:rtl w:val="0"/>
        </w:rPr>
        <w:t xml:space="preserve">mysql database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HTML,CSS,BOOTSTRAP</w:t>
      </w:r>
      <w:r w:rsidDel="00000000" w:rsidR="00000000" w:rsidRPr="00000000">
        <w:rPr>
          <w:rFonts w:ascii="Times New Roman" w:cs="Times New Roman" w:eastAsia="Times New Roman" w:hAnsi="Times New Roman"/>
          <w:sz w:val="24"/>
          <w:szCs w:val="24"/>
          <w:rtl w:val="0"/>
        </w:rPr>
        <w:t xml:space="preserve"> have been used for web development and front end coding. For Back end coding we are using sql,php,ajax Execution of queries has been carried out with the help of  XAMPP.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pPr>
        <w:numPr>
          <w:ilvl w:val="1"/>
          <w:numId w:val="6"/>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u w:val="single"/>
          <w:rtl w:val="0"/>
        </w:rPr>
        <w:t xml:space="preserve">System Features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Registration Feature:</w:t>
      </w:r>
      <w:r w:rsidDel="00000000" w:rsidR="00000000" w:rsidRPr="00000000">
        <w:rPr>
          <w:rFonts w:ascii="Times New Roman" w:cs="Times New Roman" w:eastAsia="Times New Roman" w:hAnsi="Times New Roman"/>
          <w:sz w:val="24"/>
          <w:szCs w:val="24"/>
          <w:rtl w:val="0"/>
        </w:rPr>
        <w:t xml:space="preserve"> The user is required to register with a User ID given to him by the organisation and a unique password. He is also required to provide contact information like his phone number and email address for password recovery.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Login Feature:</w:t>
      </w:r>
      <w:r w:rsidDel="00000000" w:rsidR="00000000" w:rsidRPr="00000000">
        <w:rPr>
          <w:rFonts w:ascii="Times New Roman" w:cs="Times New Roman" w:eastAsia="Times New Roman" w:hAnsi="Times New Roman"/>
          <w:sz w:val="24"/>
          <w:szCs w:val="24"/>
          <w:rtl w:val="0"/>
        </w:rPr>
        <w:t xml:space="preserve"> The user can login with the registered User ID and his password and can also recover password in case of loss.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Create Event:</w:t>
      </w:r>
      <w:r w:rsidDel="00000000" w:rsidR="00000000" w:rsidRPr="00000000">
        <w:rPr>
          <w:rFonts w:ascii="Times New Roman" w:cs="Times New Roman" w:eastAsia="Times New Roman" w:hAnsi="Times New Roman"/>
          <w:sz w:val="24"/>
          <w:szCs w:val="24"/>
          <w:rtl w:val="0"/>
        </w:rPr>
        <w:t xml:space="preserve"> The user can start planning a new event by adding appropriate information like the client details and event time and date. He is then directed to a page for adding different event elements and choose appropriate vendors.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Search Event:</w:t>
      </w:r>
      <w:r w:rsidDel="00000000" w:rsidR="00000000" w:rsidRPr="00000000">
        <w:rPr>
          <w:rFonts w:ascii="Times New Roman" w:cs="Times New Roman" w:eastAsia="Times New Roman" w:hAnsi="Times New Roman"/>
          <w:sz w:val="24"/>
          <w:szCs w:val="24"/>
          <w:rtl w:val="0"/>
        </w:rPr>
        <w:t xml:space="preserve"> The user can search for any past event through a variety of ways. He can use Location Search, Vendor Search etc. depending on what he wishes to.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Costing Sheet Generation:</w:t>
      </w:r>
      <w:r w:rsidDel="00000000" w:rsidR="00000000" w:rsidRPr="00000000">
        <w:rPr>
          <w:rFonts w:ascii="Times New Roman" w:cs="Times New Roman" w:eastAsia="Times New Roman" w:hAnsi="Times New Roman"/>
          <w:sz w:val="24"/>
          <w:szCs w:val="24"/>
          <w:rtl w:val="0"/>
        </w:rPr>
        <w:t xml:space="preserve"> According to the vendors and items involved in each event, the system will generate a costing sheet which will have the cost breakdown for the concerned event.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Event Details:</w:t>
      </w:r>
      <w:r w:rsidDel="00000000" w:rsidR="00000000" w:rsidRPr="00000000">
        <w:rPr>
          <w:rFonts w:ascii="Times New Roman" w:cs="Times New Roman" w:eastAsia="Times New Roman" w:hAnsi="Times New Roman"/>
          <w:sz w:val="24"/>
          <w:szCs w:val="24"/>
          <w:rtl w:val="0"/>
        </w:rPr>
        <w:t xml:space="preserve"> All event details about any past event will be stored in the system for quick reference by the user. These will include everything from the pitching details to the photographs and videos for the event. These can be accessed by using the search feature to search for the appropriate event.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Notifying the Customer:</w:t>
      </w:r>
      <w:r w:rsidDel="00000000" w:rsidR="00000000" w:rsidRPr="00000000">
        <w:rPr>
          <w:rFonts w:ascii="Times New Roman" w:cs="Times New Roman" w:eastAsia="Times New Roman" w:hAnsi="Times New Roman"/>
          <w:sz w:val="24"/>
          <w:szCs w:val="24"/>
          <w:rtl w:val="0"/>
        </w:rPr>
        <w:t xml:space="preserve"> In case the user has made monumental changes to the event and wishes to notify the customer, he can do so while saving the details. This will send an email notification to the customer so that he can have a look.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Deleting an Event:</w:t>
      </w:r>
      <w:r w:rsidDel="00000000" w:rsidR="00000000" w:rsidRPr="00000000">
        <w:rPr>
          <w:rFonts w:ascii="Times New Roman" w:cs="Times New Roman" w:eastAsia="Times New Roman" w:hAnsi="Times New Roman"/>
          <w:sz w:val="24"/>
          <w:szCs w:val="24"/>
          <w:rtl w:val="0"/>
        </w:rPr>
        <w:t xml:space="preserve"> This feature is only available to the heads of the organisation and not all users. This has been done so as to avoid accidental deletion of any event that might be deemed worth deleting but is not.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1"/>
          <w:numId w:val="6"/>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u w:val="single"/>
          <w:rtl w:val="0"/>
        </w:rPr>
        <w:t xml:space="preserve">Performance Requirements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users will have a unique User ID and password for login.</w:t>
      </w:r>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delete event feature has been given exclusive user privileges to make sure that no event is accidentally deleted without proper consideration.</w:t>
      </w:r>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database will be backed up to avoid data loss</w:t>
      </w:r>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will also be provided with an option to change password to provide security to the details.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rtl w:val="0"/>
        </w:rPr>
        <w:t xml:space="preserve">Application Walkthrough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pPr>
        <w:numPr>
          <w:ilvl w:val="1"/>
          <w:numId w:val="6"/>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u w:val="single"/>
          <w:rtl w:val="0"/>
        </w:rPr>
        <w:t xml:space="preserve">Home Screen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home screen looks as follows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descr="Screenshot (18).png" id="3" name="image16.png"/>
            <a:graphic>
              <a:graphicData uri="http://schemas.openxmlformats.org/drawingml/2006/picture">
                <pic:pic>
                  <pic:nvPicPr>
                    <pic:cNvPr descr="Screenshot (18).png" id="0" name="image16.png"/>
                    <pic:cNvPicPr preferRelativeResize="0"/>
                  </pic:nvPicPr>
                  <pic:blipFill>
                    <a:blip r:embed="rId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has options of searching for an event, creating new events and viewing upcoming events.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1"/>
          <w:numId w:val="6"/>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u w:val="single"/>
          <w:rtl w:val="0"/>
        </w:rPr>
        <w:t xml:space="preserve">View upcoming Events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Upcoming events can be viewed here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descr="Screenshot (19).png" id="9" name="image22.png"/>
            <a:graphic>
              <a:graphicData uri="http://schemas.openxmlformats.org/drawingml/2006/picture">
                <pic:pic>
                  <pic:nvPicPr>
                    <pic:cNvPr descr="Screenshot (19).png" id="0" name="image22.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pPr>
        <w:numPr>
          <w:ilvl w:val="1"/>
          <w:numId w:val="6"/>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u w:val="single"/>
          <w:rtl w:val="0"/>
        </w:rPr>
        <w:t xml:space="preserve">Login View</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user is prompted with a login window before they can access any of the system functionalities.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Pr>
        <w:drawing>
          <wp:inline distB="114300" distT="114300" distL="114300" distR="114300">
            <wp:extent cx="5943600" cy="3340100"/>
            <wp:effectExtent b="0" l="0" r="0" t="0"/>
            <wp:docPr descr="Screenshot (17).png" id="4" name="image17.png"/>
            <a:graphic>
              <a:graphicData uri="http://schemas.openxmlformats.org/drawingml/2006/picture">
                <pic:pic>
                  <pic:nvPicPr>
                    <pic:cNvPr descr="Screenshot (17).png" id="0" name="image17.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case the user enters an incorrect password, the following window appears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Pr>
        <w:drawing>
          <wp:inline distB="114300" distT="114300" distL="114300" distR="114300">
            <wp:extent cx="5943600" cy="3340100"/>
            <wp:effectExtent b="0" l="0" r="0" t="0"/>
            <wp:docPr descr="Screenshot (24).png" id="8" name="image21.png"/>
            <a:graphic>
              <a:graphicData uri="http://schemas.openxmlformats.org/drawingml/2006/picture">
                <pic:pic>
                  <pic:nvPicPr>
                    <pic:cNvPr descr="Screenshot (24).png" id="0" name="image21.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clicks the forgot password button, the user is required to enter the User ID or email address submitted at the time of registration to facilitate password recovery.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Pr>
        <w:drawing>
          <wp:inline distB="114300" distT="114300" distL="114300" distR="114300">
            <wp:extent cx="5943600" cy="3340100"/>
            <wp:effectExtent b="0" l="0" r="0" t="0"/>
            <wp:docPr descr="Screenshot (14).png" id="13" name="image26.png"/>
            <a:graphic>
              <a:graphicData uri="http://schemas.openxmlformats.org/drawingml/2006/picture">
                <pic:pic>
                  <pic:nvPicPr>
                    <pic:cNvPr descr="Screenshot (14).png" id="0" name="image26.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Suppose the user is a new user and wishes to register, he is redirected to a new page where the details are to be filled in.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Pr>
        <w:drawing>
          <wp:inline distB="114300" distT="114300" distL="114300" distR="114300">
            <wp:extent cx="5943600" cy="3340100"/>
            <wp:effectExtent b="0" l="0" r="0" t="0"/>
            <wp:docPr descr="Screenshot (25).png" id="6" name="image19.png"/>
            <a:graphic>
              <a:graphicData uri="http://schemas.openxmlformats.org/drawingml/2006/picture">
                <pic:pic>
                  <pic:nvPicPr>
                    <pic:cNvPr descr="Screenshot (25).png" id="0" name="image19.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pPr>
        <w:numPr>
          <w:ilvl w:val="1"/>
          <w:numId w:val="6"/>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u w:val="single"/>
          <w:rtl w:val="0"/>
        </w:rPr>
        <w:t xml:space="preserve">Create New Event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can start planning a new event by adding the required details about the items required and entering the required details. Once the event is saved, it can be searched for using the search option.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27400"/>
            <wp:effectExtent b="0" l="0" r="0" t="0"/>
            <wp:docPr id="7"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24200"/>
            <wp:effectExtent b="0" l="0" r="0" t="0"/>
            <wp:docPr id="5"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pPr>
        <w:numPr>
          <w:ilvl w:val="1"/>
          <w:numId w:val="6"/>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u w:val="single"/>
          <w:rtl w:val="0"/>
        </w:rPr>
        <w:t xml:space="preserve">Search View</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is prompted with the following window for searching for an event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descr="Screenshot (22).png" id="12" name="image25.png"/>
            <a:graphic>
              <a:graphicData uri="http://schemas.openxmlformats.org/drawingml/2006/picture">
                <pic:pic>
                  <pic:nvPicPr>
                    <pic:cNvPr descr="Screenshot (22).png" id="0" name="image25.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pPr>
        <w:numPr>
          <w:ilvl w:val="1"/>
          <w:numId w:val="6"/>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u w:val="single"/>
          <w:rtl w:val="0"/>
        </w:rPr>
        <w:t xml:space="preserve">Event Details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search will lead to results that can be used by the user to view and edit event details.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descr="Screenshot (26).png" id="1" name="image4.png"/>
            <a:graphic>
              <a:graphicData uri="http://schemas.openxmlformats.org/drawingml/2006/picture">
                <pic:pic>
                  <pic:nvPicPr>
                    <pic:cNvPr descr="Screenshot (26).png" id="0" name="image4.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above window, the user can add and remove vendors according to the items required and edit the minute details.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10163" cy="3300313"/>
            <wp:effectExtent b="0" l="0" r="0" t="0"/>
            <wp:docPr id="2"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110163" cy="330031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the user can view and upload the various media elements involved with the event like photos and videos.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013200"/>
            <wp:effectExtent b="0" l="0" r="0" t="0"/>
            <wp:docPr id="11"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can also view and edit all the details and documents uploaded during the pitching stage of the event.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pPr>
        <w:numPr>
          <w:ilvl w:val="1"/>
          <w:numId w:val="6"/>
        </w:numPr>
        <w:pBdr>
          <w:top w:space="0" w:sz="0" w:val="nil"/>
          <w:left w:space="0" w:sz="0" w:val="nil"/>
          <w:bottom w:space="0" w:sz="0" w:val="nil"/>
          <w:right w:space="0" w:sz="0" w:val="nil"/>
          <w:between w:space="0" w:sz="0" w:val="nil"/>
        </w:pBdr>
        <w:shd w:fill="auto" w:val="clear"/>
        <w:ind w:left="1440" w:hanging="360"/>
        <w:contextualSpacing w:val="1"/>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u w:val="single"/>
          <w:rtl w:val="0"/>
        </w:rPr>
        <w:t xml:space="preserve">Email Notification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33600"/>
            <wp:effectExtent b="0" l="0" r="0" t="0"/>
            <wp:docPr id="10"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case the user makes major changes to the event details and wishes to notify their client (the customer for whom the event is conducted) seeking approval, he has the option to send an email notification to the customer.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tl w:val="0"/>
        </w:rPr>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rtl w:val="0"/>
        </w:rPr>
        <w:t xml:space="preserve">Frequently Asked Questions (FAQ)</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to create an event ?</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Open Chrome -&gt; Enter the url:- localhost//wordpress/eventplanner/</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Login with your credentials.</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 on the Create Events button located at the centre of the Homepage. You will be redirected to Create Event page</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Fill the required fields and click on Save to successfully create your event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to upload images, videos or presentations ?</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Chrome -&gt; Enter the url:- localhost//wordpress/eventplanner/</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with your credentials.</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 on the Search Event button located at the centre left of the Homepage. You will be redirected to the Event Search page.</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Fill at least one of the fields and press Submit button. Events matching that criterion will be displayed. Click on the event.</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You will be redirected to Event Details page. Click on the Choose File and click Upload.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to change password ?</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Chrome -&gt; Enter the url:- localhost//wordpress/eventplanner/</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with your credentials.</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 on the Change Password option available at the top right corner of the Homepage. You will be redirected to Change Password page.</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Enter your old password and new password and click on Submit. You will be redirected to the Homepage.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to search for an event ?</w:t>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Chrome -&gt; Enter the url:- localhost//wordpress/eventplanner/</w:t>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with your credentials.</w:t>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Search Event button located at the centre left of the Homepage. You will be redirected to the Event Search page.</w:t>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Fill at least one of the fields and press Submit button. Events matching that criterion will be displayed. Click on the event.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to add a Vendor to an Event ?</w:t>
      </w:r>
    </w:p>
    <w:p w:rsidR="00000000" w:rsidDel="00000000" w:rsidP="00000000" w:rsidRDefault="00000000" w:rsidRPr="00000000">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Chrome -&gt; Enter the url:- localhost//wordpress/eventplanner/</w:t>
      </w:r>
    </w:p>
    <w:p w:rsidR="00000000" w:rsidDel="00000000" w:rsidP="00000000" w:rsidRDefault="00000000" w:rsidRPr="00000000">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with your credentials.</w:t>
      </w:r>
    </w:p>
    <w:p w:rsidR="00000000" w:rsidDel="00000000" w:rsidP="00000000" w:rsidRDefault="00000000" w:rsidRPr="00000000">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Search Event button located at the centre left of the Homepage. You will be redirected to the Event Search page.</w:t>
      </w:r>
    </w:p>
    <w:p w:rsidR="00000000" w:rsidDel="00000000" w:rsidP="00000000" w:rsidRDefault="00000000" w:rsidRPr="00000000">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Fill at least one of the fields and press Submit button. Events matching that criterion will be displayed. Click on the event.</w:t>
      </w:r>
    </w:p>
    <w:p w:rsidR="00000000" w:rsidDel="00000000" w:rsidP="00000000" w:rsidRDefault="00000000" w:rsidRPr="00000000">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will be two options : Add from existing vendor and Add new vendor. Choose accordingly and fill the vendor details and click on Save.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procedure to follow if I forget my password?</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Chrome -&gt; Enter the url:- localhost//wordpress/eventplanner/</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“Forgot Password?” link. You will be redirected to the Forgot Password page.</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Enter your user-id or E-mail address. A mail will be sent to the email address you are registered with which will contain a new one-time password.</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Login with that one-time password.</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Change Password option available at the top right corner of the Homepage. You will be redirected to Change Password page.</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one-time password and new password and click on Submit. You will be redirected to the Homepage.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rtl w:val="0"/>
        </w:rPr>
        <w:t xml:space="preserve">References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7, User Manual, IT314 Software Engineering, Winter 2012-2013</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Team 14, Software Requirements Specification, IT314 Software Engineering, Winter 2015-2016</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right"/>
      <w:pPr>
        <w:ind w:left="720" w:hanging="360"/>
      </w:pPr>
      <w:rPr>
        <w:u w:val="none"/>
      </w:rPr>
    </w:lvl>
    <w:lvl w:ilvl="1">
      <w:start w:val="1"/>
      <w:numFmt w:val="decimal"/>
      <w:lvlText w:val="%1.%2."/>
      <w:lvlJc w:val="right"/>
      <w:pPr>
        <w:ind w:left="1440" w:hanging="360"/>
      </w:pPr>
      <w:rPr>
        <w:sz w:val="28"/>
        <w:szCs w:val="28"/>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0.0" w:type="dxa"/>
        <w:left w:w="115.0" w:type="dxa"/>
        <w:bottom w:w="0.0" w:type="dxa"/>
        <w:right w:w="115.0" w:type="dxa"/>
      </w:tblCellMar>
    </w:tblPr>
    <w:tblStylePr w:type="band1Horz">
      <w:pPr/>
      <w:rPr/>
      <w:tcPr>
        <w:tcMar>
          <w:top w:w="0.0" w:type="dxa"/>
          <w:left w:w="115.0" w:type="dxa"/>
          <w:bottom w:w="0.0" w:type="dxa"/>
          <w:right w:w="115.0" w:type="dxa"/>
        </w:tcMar>
      </w:tcPr>
    </w:tblStylePr>
    <w:tblStylePr w:type="band1Vert">
      <w:pPr/>
      <w:rPr/>
      <w:tcPr>
        <w:tcMar>
          <w:top w:w="0.0" w:type="dxa"/>
          <w:left w:w="115.0" w:type="dxa"/>
          <w:bottom w:w="0.0" w:type="dxa"/>
          <w:right w:w="115.0" w:type="dxa"/>
        </w:tcMar>
      </w:tcPr>
    </w:tblStylePr>
    <w:tblStylePr w:type="band2Horz">
      <w:pPr/>
      <w:rPr/>
      <w:tcPr>
        <w:tcMar>
          <w:top w:w="0.0" w:type="dxa"/>
          <w:left w:w="115.0" w:type="dxa"/>
          <w:bottom w:w="0.0" w:type="dxa"/>
          <w:right w:w="115.0" w:type="dxa"/>
        </w:tcMar>
      </w:tcPr>
    </w:tblStylePr>
    <w:tblStylePr w:type="band2Vert">
      <w:pPr/>
      <w:rPr/>
      <w:tcPr>
        <w:tcMar>
          <w:top w:w="0.0" w:type="dxa"/>
          <w:left w:w="115.0" w:type="dxa"/>
          <w:bottom w:w="0.0" w:type="dxa"/>
          <w:right w:w="115.0" w:type="dxa"/>
        </w:tcMar>
      </w:tcPr>
    </w:tblStylePr>
    <w:tblStylePr w:type="firstCol">
      <w:pPr/>
      <w:rPr/>
      <w:tcPr>
        <w:tcMar>
          <w:top w:w="0.0" w:type="dxa"/>
          <w:left w:w="115.0" w:type="dxa"/>
          <w:bottom w:w="0.0" w:type="dxa"/>
          <w:right w:w="115.0" w:type="dxa"/>
        </w:tcMar>
      </w:tcPr>
    </w:tblStylePr>
    <w:tblStylePr w:type="firstRow">
      <w:pPr/>
      <w:rPr/>
      <w:tcPr>
        <w:tcMar>
          <w:top w:w="0.0" w:type="dxa"/>
          <w:left w:w="115.0" w:type="dxa"/>
          <w:bottom w:w="0.0" w:type="dxa"/>
          <w:right w:w="115.0" w:type="dxa"/>
        </w:tcMar>
      </w:tcPr>
    </w:tblStylePr>
    <w:tblStylePr w:type="lastCol">
      <w:pPr/>
      <w:rPr/>
      <w:tcPr>
        <w:tcMar>
          <w:top w:w="0.0" w:type="dxa"/>
          <w:left w:w="115.0" w:type="dxa"/>
          <w:bottom w:w="0.0" w:type="dxa"/>
          <w:right w:w="115.0" w:type="dxa"/>
        </w:tcMar>
      </w:tcPr>
    </w:tblStylePr>
    <w:tblStylePr w:type="lastRow">
      <w:pPr/>
      <w:rPr/>
      <w:tcPr>
        <w:tcMar>
          <w:top w:w="0.0" w:type="dxa"/>
          <w:left w:w="115.0" w:type="dxa"/>
          <w:bottom w:w="0.0" w:type="dxa"/>
          <w:right w:w="115.0" w:type="dxa"/>
        </w:tcMar>
      </w:tcPr>
    </w:tblStylePr>
    <w:tblStylePr w:type="neCell">
      <w:pPr/>
      <w:rPr/>
      <w:tcPr>
        <w:tcMar>
          <w:top w:w="0.0" w:type="dxa"/>
          <w:left w:w="115.0" w:type="dxa"/>
          <w:bottom w:w="0.0" w:type="dxa"/>
          <w:right w:w="115.0" w:type="dxa"/>
        </w:tcMar>
      </w:tcPr>
    </w:tblStylePr>
    <w:tblStylePr w:type="nwCell">
      <w:pPr/>
      <w:rPr/>
      <w:tcPr>
        <w:tcMar>
          <w:top w:w="0.0" w:type="dxa"/>
          <w:left w:w="115.0" w:type="dxa"/>
          <w:bottom w:w="0.0" w:type="dxa"/>
          <w:right w:w="115.0" w:type="dxa"/>
        </w:tcMar>
      </w:tcPr>
    </w:tblStylePr>
    <w:tblStylePr w:type="seCell">
      <w:pPr/>
      <w:rPr/>
      <w:tcPr>
        <w:tcMar>
          <w:top w:w="0.0" w:type="dxa"/>
          <w:left w:w="115.0" w:type="dxa"/>
          <w:bottom w:w="0.0" w:type="dxa"/>
          <w:right w:w="115.0" w:type="dxa"/>
        </w:tcMar>
      </w:tcPr>
    </w:tblStylePr>
    <w:tblStylePr w:type="swCell">
      <w:pPr/>
      <w:rPr/>
      <w:tcPr>
        <w:tcMar>
          <w:top w:w="0.0" w:type="dxa"/>
          <w:left w:w="115.0" w:type="dxa"/>
          <w:bottom w:w="0.0" w:type="dxa"/>
          <w:right w:w="115.0" w:type="dxa"/>
        </w:tcMar>
      </w:tcPr>
    </w:tblStylePr>
  </w:style>
  <w:style w:type="table" w:styleId="Table2">
    <w:basedOn w:val="TableNormal"/>
    <w:pPr/>
    <w:rPr/>
    <w:tblPr>
      <w:tblStyleRowBandSize w:val="1"/>
      <w:tblStyleColBandSize w:val="1"/>
      <w:tblCellMar>
        <w:top w:w="0.0" w:type="dxa"/>
        <w:left w:w="115.0" w:type="dxa"/>
        <w:bottom w:w="0.0" w:type="dxa"/>
        <w:right w:w="115.0" w:type="dxa"/>
      </w:tblCellMar>
    </w:tblPr>
    <w:tblStylePr w:type="band1Horz">
      <w:pPr/>
      <w:rPr/>
      <w:tcPr>
        <w:tcMar>
          <w:top w:w="0.0" w:type="dxa"/>
          <w:left w:w="115.0" w:type="dxa"/>
          <w:bottom w:w="0.0" w:type="dxa"/>
          <w:right w:w="115.0" w:type="dxa"/>
        </w:tcMar>
      </w:tcPr>
    </w:tblStylePr>
    <w:tblStylePr w:type="band1Vert">
      <w:pPr/>
      <w:rPr/>
      <w:tcPr>
        <w:tcMar>
          <w:top w:w="0.0" w:type="dxa"/>
          <w:left w:w="115.0" w:type="dxa"/>
          <w:bottom w:w="0.0" w:type="dxa"/>
          <w:right w:w="115.0" w:type="dxa"/>
        </w:tcMar>
      </w:tcPr>
    </w:tblStylePr>
    <w:tblStylePr w:type="band2Horz">
      <w:pPr/>
      <w:rPr/>
      <w:tcPr>
        <w:tcMar>
          <w:top w:w="0.0" w:type="dxa"/>
          <w:left w:w="115.0" w:type="dxa"/>
          <w:bottom w:w="0.0" w:type="dxa"/>
          <w:right w:w="115.0" w:type="dxa"/>
        </w:tcMar>
      </w:tcPr>
    </w:tblStylePr>
    <w:tblStylePr w:type="band2Vert">
      <w:pPr/>
      <w:rPr/>
      <w:tcPr>
        <w:tcMar>
          <w:top w:w="0.0" w:type="dxa"/>
          <w:left w:w="115.0" w:type="dxa"/>
          <w:bottom w:w="0.0" w:type="dxa"/>
          <w:right w:w="115.0" w:type="dxa"/>
        </w:tcMar>
      </w:tcPr>
    </w:tblStylePr>
    <w:tblStylePr w:type="firstCol">
      <w:pPr/>
      <w:rPr/>
      <w:tcPr>
        <w:tcMar>
          <w:top w:w="0.0" w:type="dxa"/>
          <w:left w:w="115.0" w:type="dxa"/>
          <w:bottom w:w="0.0" w:type="dxa"/>
          <w:right w:w="115.0" w:type="dxa"/>
        </w:tcMar>
      </w:tcPr>
    </w:tblStylePr>
    <w:tblStylePr w:type="firstRow">
      <w:pPr/>
      <w:rPr/>
      <w:tcPr>
        <w:tcMar>
          <w:top w:w="0.0" w:type="dxa"/>
          <w:left w:w="115.0" w:type="dxa"/>
          <w:bottom w:w="0.0" w:type="dxa"/>
          <w:right w:w="115.0" w:type="dxa"/>
        </w:tcMar>
      </w:tcPr>
    </w:tblStylePr>
    <w:tblStylePr w:type="lastCol">
      <w:pPr/>
      <w:rPr/>
      <w:tcPr>
        <w:tcMar>
          <w:top w:w="0.0" w:type="dxa"/>
          <w:left w:w="115.0" w:type="dxa"/>
          <w:bottom w:w="0.0" w:type="dxa"/>
          <w:right w:w="115.0" w:type="dxa"/>
        </w:tcMar>
      </w:tcPr>
    </w:tblStylePr>
    <w:tblStylePr w:type="lastRow">
      <w:pPr/>
      <w:rPr/>
      <w:tcPr>
        <w:tcMar>
          <w:top w:w="0.0" w:type="dxa"/>
          <w:left w:w="115.0" w:type="dxa"/>
          <w:bottom w:w="0.0" w:type="dxa"/>
          <w:right w:w="115.0" w:type="dxa"/>
        </w:tcMar>
      </w:tcPr>
    </w:tblStylePr>
    <w:tblStylePr w:type="neCell">
      <w:pPr/>
      <w:rPr/>
      <w:tcPr>
        <w:tcMar>
          <w:top w:w="0.0" w:type="dxa"/>
          <w:left w:w="115.0" w:type="dxa"/>
          <w:bottom w:w="0.0" w:type="dxa"/>
          <w:right w:w="115.0" w:type="dxa"/>
        </w:tcMar>
      </w:tcPr>
    </w:tblStylePr>
    <w:tblStylePr w:type="nwCell">
      <w:pPr/>
      <w:rPr/>
      <w:tcPr>
        <w:tcMar>
          <w:top w:w="0.0" w:type="dxa"/>
          <w:left w:w="115.0" w:type="dxa"/>
          <w:bottom w:w="0.0" w:type="dxa"/>
          <w:right w:w="115.0" w:type="dxa"/>
        </w:tcMar>
      </w:tcPr>
    </w:tblStylePr>
    <w:tblStylePr w:type="seCell">
      <w:pPr/>
      <w:rPr/>
      <w:tcPr>
        <w:tcMar>
          <w:top w:w="0.0" w:type="dxa"/>
          <w:left w:w="115.0" w:type="dxa"/>
          <w:bottom w:w="0.0" w:type="dxa"/>
          <w:right w:w="115.0" w:type="dxa"/>
        </w:tcMar>
      </w:tcPr>
    </w:tblStylePr>
    <w:tblStylePr w:type="swCell">
      <w:pPr/>
      <w:rPr/>
      <w:tcPr>
        <w:tcMar>
          <w:top w:w="0.0" w:type="dxa"/>
          <w:left w:w="115.0" w:type="dxa"/>
          <w:bottom w:w="0.0" w:type="dxa"/>
          <w:right w:w="115.0" w:type="dxa"/>
        </w:tcMar>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20.png"/><Relationship Id="rId10" Type="http://schemas.openxmlformats.org/officeDocument/2006/relationships/image" Target="media/image19.png"/><Relationship Id="rId13" Type="http://schemas.openxmlformats.org/officeDocument/2006/relationships/image" Target="media/image25.png"/><Relationship Id="rId12" Type="http://schemas.openxmlformats.org/officeDocument/2006/relationships/image" Target="media/image18.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6.png"/><Relationship Id="rId15" Type="http://schemas.openxmlformats.org/officeDocument/2006/relationships/image" Target="media/image15.png"/><Relationship Id="rId14" Type="http://schemas.openxmlformats.org/officeDocument/2006/relationships/image" Target="media/image4.png"/><Relationship Id="rId17" Type="http://schemas.openxmlformats.org/officeDocument/2006/relationships/image" Target="media/image23.png"/><Relationship Id="rId16" Type="http://schemas.openxmlformats.org/officeDocument/2006/relationships/image" Target="media/image24.png"/><Relationship Id="rId5" Type="http://schemas.openxmlformats.org/officeDocument/2006/relationships/image" Target="media/image16.png"/><Relationship Id="rId6" Type="http://schemas.openxmlformats.org/officeDocument/2006/relationships/image" Target="media/image22.png"/><Relationship Id="rId7" Type="http://schemas.openxmlformats.org/officeDocument/2006/relationships/image" Target="media/image17.png"/><Relationship Id="rId8" Type="http://schemas.openxmlformats.org/officeDocument/2006/relationships/image" Target="media/image21.png"/></Relationships>
</file>