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0B1" w14:textId="77777777">
        <w:tblPrEx>
          <w:tblCellMar>
            <w:top w:w="0" w:type="dxa"/>
            <w:bottom w:w="0" w:type="dxa"/>
          </w:tblCellMar>
        </w:tblPrEx>
        <w:tc>
          <w:tcPr>
            <w:tcW w:w="9026" w:type="dxa"/>
            <w:tcBorders>
              <w:bottom w:val="single" w:sz="8" w:space="0" w:color="17A19A"/>
            </w:tcBorders>
            <w:shd w:val="clear" w:color="auto" w:fill="1F4E79"/>
            <w:tcMar>
              <w:top w:w="560" w:type="dxa"/>
              <w:left w:w="480" w:type="dxa"/>
              <w:bottom w:w="560" w:type="dxa"/>
              <w:right w:w="480" w:type="dxa"/>
            </w:tcMar>
          </w:tcPr>
          <w:p w14:paraId="622570AD" w14:textId="77777777" w:rsidR="00CE0758" w:rsidRDefault="00000000">
            <w:pPr>
              <w:spacing w:after="120"/>
            </w:pPr>
            <w:r>
              <w:rPr>
                <w:rFonts w:ascii="Arial" w:eastAsia="Arial" w:hAnsi="Arial" w:cs="Arial"/>
                <w:b/>
                <w:bCs/>
                <w:color w:val="A0C0D8"/>
                <w:spacing w:val="80"/>
                <w:sz w:val="28"/>
                <w:szCs w:val="28"/>
              </w:rPr>
              <w:t>MERIDIAN EDUCATION GROUP</w:t>
            </w:r>
          </w:p>
          <w:p w14:paraId="622570AE" w14:textId="77777777" w:rsidR="00CE0758" w:rsidRDefault="00000000">
            <w:pPr>
              <w:spacing w:after="120"/>
            </w:pPr>
            <w:r>
              <w:rPr>
                <w:rFonts w:ascii="Arial" w:eastAsia="Arial" w:hAnsi="Arial" w:cs="Arial"/>
                <w:b/>
                <w:bCs/>
                <w:color w:val="FFFFFF"/>
                <w:sz w:val="52"/>
                <w:szCs w:val="52"/>
              </w:rPr>
              <w:t>Meridian Progress Index</w:t>
            </w:r>
          </w:p>
          <w:p w14:paraId="622570AF" w14:textId="77777777" w:rsidR="00CE0758" w:rsidRDefault="00000000">
            <w:pPr>
              <w:spacing w:after="200"/>
            </w:pPr>
            <w:r>
              <w:rPr>
                <w:rFonts w:ascii="Arial" w:eastAsia="Arial" w:hAnsi="Arial" w:cs="Arial"/>
                <w:color w:val="C8D8E8"/>
                <w:sz w:val="32"/>
                <w:szCs w:val="32"/>
              </w:rPr>
              <w:t>Programme Overview</w:t>
            </w:r>
          </w:p>
          <w:p w14:paraId="622570B0" w14:textId="77777777" w:rsidR="00CE0758" w:rsidRDefault="00000000">
            <w:r>
              <w:rPr>
                <w:rFonts w:ascii="Arial" w:eastAsia="Arial" w:hAnsi="Arial" w:cs="Arial"/>
                <w:i/>
                <w:iCs/>
                <w:color w:val="7AAAC8"/>
                <w:sz w:val="21"/>
                <w:szCs w:val="21"/>
              </w:rPr>
              <w:t>Transforming Outcomes Through Evidence-Led Practice</w:t>
            </w:r>
          </w:p>
        </w:tc>
      </w:tr>
    </w:tbl>
    <w:p w14:paraId="622570B2" w14:textId="77777777" w:rsidR="00CE0758" w:rsidRDefault="00CE0758">
      <w:pPr>
        <w:spacing w:after="4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0B4" w14:textId="77777777">
        <w:tblPrEx>
          <w:tblCellMar>
            <w:top w:w="0" w:type="dxa"/>
            <w:bottom w:w="0" w:type="dxa"/>
          </w:tblCellMar>
        </w:tblPrEx>
        <w:tc>
          <w:tcPr>
            <w:tcW w:w="9026" w:type="dxa"/>
            <w:tcBorders>
              <w:bottom w:val="single" w:sz="4" w:space="0" w:color="17A19A"/>
            </w:tcBorders>
            <w:shd w:val="clear" w:color="auto" w:fill="2E75B6"/>
            <w:tcMar>
              <w:top w:w="120" w:type="dxa"/>
              <w:left w:w="200" w:type="dxa"/>
              <w:bottom w:w="120" w:type="dxa"/>
              <w:right w:w="200" w:type="dxa"/>
            </w:tcMar>
          </w:tcPr>
          <w:p w14:paraId="622570B3" w14:textId="77777777" w:rsidR="00CE0758" w:rsidRDefault="00000000">
            <w:r>
              <w:rPr>
                <w:rFonts w:ascii="Arial" w:eastAsia="Arial" w:hAnsi="Arial" w:cs="Arial"/>
                <w:b/>
                <w:bCs/>
                <w:color w:val="FFFFFF"/>
                <w:sz w:val="24"/>
                <w:szCs w:val="24"/>
              </w:rPr>
              <w:t>WHAT IS THE MERIDIAN PROGRESS INDEX?</w:t>
            </w:r>
          </w:p>
        </w:tc>
      </w:tr>
    </w:tbl>
    <w:p w14:paraId="622570B5" w14:textId="77777777" w:rsidR="00CE0758" w:rsidRDefault="00CE0758">
      <w:pPr>
        <w:spacing w:after="160"/>
      </w:pPr>
    </w:p>
    <w:p w14:paraId="622570B6" w14:textId="77777777" w:rsidR="00CE0758" w:rsidRDefault="00000000">
      <w:pPr>
        <w:spacing w:after="180"/>
        <w:jc w:val="both"/>
      </w:pPr>
      <w:r>
        <w:rPr>
          <w:rFonts w:ascii="Arial" w:eastAsia="Arial" w:hAnsi="Arial" w:cs="Arial"/>
          <w:color w:val="404040"/>
          <w:sz w:val="22"/>
          <w:szCs w:val="22"/>
        </w:rPr>
        <w:t>The Meridian Progress Index (MPI) is a structured curriculum framework and professional development programme designed for deployment in secondary schools and local authority partnerships across England. First piloted in 2014 and formally launched in 2016, the MPI is Meridian's flagship evidence-based offering — a comprehensive system for improving measurable pupil outcomes through consistent, rigorous, and practitioner-led implementation.</w:t>
      </w:r>
    </w:p>
    <w:p w14:paraId="622570B7" w14:textId="77777777" w:rsidR="00CE0758" w:rsidRDefault="00000000">
      <w:pPr>
        <w:spacing w:after="180"/>
        <w:jc w:val="both"/>
      </w:pPr>
      <w:r>
        <w:rPr>
          <w:rFonts w:ascii="Arial" w:eastAsia="Arial" w:hAnsi="Arial" w:cs="Arial"/>
          <w:color w:val="404040"/>
          <w:sz w:val="22"/>
          <w:szCs w:val="22"/>
        </w:rPr>
        <w:t>Unlike one-off consultancy interventions or single-strand curriculum products, the MPI operates as an integrated programme. Its design reflects the best available evidence in educational research, drawing on the work of John Hattie, Dylan Wiliam, and Paul Black, among others. The result is a framework that is simultaneously theoretically grounded and practically deployable in the complex, resource-constrained reality of today's secondary schools.</w:t>
      </w:r>
    </w:p>
    <w:p w14:paraId="622570B8" w14:textId="77777777" w:rsidR="00CE0758" w:rsidRDefault="00000000">
      <w:pPr>
        <w:spacing w:after="180"/>
        <w:jc w:val="both"/>
      </w:pPr>
      <w:r>
        <w:rPr>
          <w:rFonts w:ascii="Arial" w:eastAsia="Arial" w:hAnsi="Arial" w:cs="Arial"/>
          <w:color w:val="404040"/>
          <w:sz w:val="22"/>
          <w:szCs w:val="22"/>
        </w:rPr>
        <w:t>Meridian currently partners with schools across eleven local authority areas. The impact of the programme, measured through rigorous internal analysis, demonstrates consistent and significant improvement in pupil progress outcomes across diverse school contexts.</w:t>
      </w:r>
    </w:p>
    <w:p w14:paraId="622570B9" w14:textId="77777777" w:rsidR="00CE0758" w:rsidRDefault="00CE075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0BB" w14:textId="77777777">
        <w:tblPrEx>
          <w:tblCellMar>
            <w:top w:w="0" w:type="dxa"/>
            <w:bottom w:w="0" w:type="dxa"/>
          </w:tblCellMar>
        </w:tblPrEx>
        <w:tc>
          <w:tcPr>
            <w:tcW w:w="9026" w:type="dxa"/>
            <w:tcBorders>
              <w:left w:val="single" w:sz="16" w:space="0" w:color="17A19A"/>
            </w:tcBorders>
            <w:shd w:val="clear" w:color="auto" w:fill="F2F2F2"/>
            <w:tcMar>
              <w:top w:w="200" w:type="dxa"/>
              <w:left w:w="360" w:type="dxa"/>
              <w:bottom w:w="200" w:type="dxa"/>
              <w:right w:w="360" w:type="dxa"/>
            </w:tcMar>
          </w:tcPr>
          <w:p w14:paraId="622570BA" w14:textId="77777777" w:rsidR="00CE0758" w:rsidRDefault="00000000">
            <w:r>
              <w:rPr>
                <w:rFonts w:ascii="Arial" w:eastAsia="Arial" w:hAnsi="Arial" w:cs="Arial"/>
                <w:i/>
                <w:iCs/>
                <w:color w:val="2E75B6"/>
                <w:sz w:val="24"/>
                <w:szCs w:val="24"/>
              </w:rPr>
              <w:t>The MPI is not a product delivered to schools. It is a partnership built with them — and the evidence of that partnership is in the outcomes.</w:t>
            </w:r>
          </w:p>
        </w:tc>
      </w:tr>
    </w:tbl>
    <w:p w14:paraId="622570BC" w14:textId="77777777" w:rsidR="00CE0758" w:rsidRDefault="00CE0758">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0"/>
        <w:gridCol w:w="146"/>
        <w:gridCol w:w="4440"/>
      </w:tblGrid>
      <w:tr w:rsidR="00CE0758" w14:paraId="622570C2" w14:textId="77777777">
        <w:tblPrEx>
          <w:tblCellMar>
            <w:top w:w="0" w:type="dxa"/>
            <w:bottom w:w="0" w:type="dxa"/>
          </w:tblCellMar>
        </w:tblPrEx>
        <w:tc>
          <w:tcPr>
            <w:tcW w:w="4440" w:type="dxa"/>
            <w:shd w:val="clear" w:color="auto" w:fill="1F4E79"/>
            <w:tcMar>
              <w:top w:w="200" w:type="dxa"/>
              <w:left w:w="280" w:type="dxa"/>
              <w:bottom w:w="200" w:type="dxa"/>
              <w:right w:w="280" w:type="dxa"/>
            </w:tcMar>
          </w:tcPr>
          <w:p w14:paraId="622570BD" w14:textId="77777777" w:rsidR="00CE0758" w:rsidRDefault="00000000">
            <w:pPr>
              <w:jc w:val="center"/>
            </w:pPr>
            <w:r>
              <w:rPr>
                <w:rFonts w:ascii="Arial" w:eastAsia="Arial" w:hAnsi="Arial" w:cs="Arial"/>
                <w:b/>
                <w:bCs/>
                <w:color w:val="FFFFFF"/>
                <w:sz w:val="64"/>
                <w:szCs w:val="64"/>
              </w:rPr>
              <w:t>31</w:t>
            </w:r>
          </w:p>
          <w:p w14:paraId="622570BE" w14:textId="77777777" w:rsidR="00CE0758" w:rsidRDefault="00000000">
            <w:pPr>
              <w:spacing w:before="40"/>
              <w:jc w:val="center"/>
            </w:pPr>
            <w:r>
              <w:rPr>
                <w:rFonts w:ascii="Arial" w:eastAsia="Arial" w:hAnsi="Arial" w:cs="Arial"/>
                <w:color w:val="A0C0D8"/>
                <w:sz w:val="19"/>
                <w:szCs w:val="19"/>
              </w:rPr>
              <w:t>Active partner schools</w:t>
            </w:r>
          </w:p>
        </w:tc>
        <w:tc>
          <w:tcPr>
            <w:tcW w:w="146" w:type="dxa"/>
            <w:shd w:val="clear" w:color="auto" w:fill="FFFFFF"/>
          </w:tcPr>
          <w:p w14:paraId="622570BF" w14:textId="77777777" w:rsidR="00CE0758" w:rsidRDefault="00CE0758"/>
        </w:tc>
        <w:tc>
          <w:tcPr>
            <w:tcW w:w="4440" w:type="dxa"/>
            <w:shd w:val="clear" w:color="auto" w:fill="2E75B6"/>
            <w:tcMar>
              <w:top w:w="200" w:type="dxa"/>
              <w:left w:w="280" w:type="dxa"/>
              <w:bottom w:w="200" w:type="dxa"/>
              <w:right w:w="280" w:type="dxa"/>
            </w:tcMar>
          </w:tcPr>
          <w:p w14:paraId="622570C0" w14:textId="77777777" w:rsidR="00CE0758" w:rsidRDefault="00000000">
            <w:pPr>
              <w:jc w:val="center"/>
            </w:pPr>
            <w:r>
              <w:rPr>
                <w:rFonts w:ascii="Arial" w:eastAsia="Arial" w:hAnsi="Arial" w:cs="Arial"/>
                <w:b/>
                <w:bCs/>
                <w:color w:val="FFFFFF"/>
                <w:sz w:val="64"/>
                <w:szCs w:val="64"/>
              </w:rPr>
              <w:t>0.61</w:t>
            </w:r>
          </w:p>
          <w:p w14:paraId="622570C1" w14:textId="77777777" w:rsidR="00CE0758" w:rsidRDefault="00000000">
            <w:pPr>
              <w:spacing w:before="40"/>
              <w:jc w:val="center"/>
            </w:pPr>
            <w:r>
              <w:rPr>
                <w:rFonts w:ascii="Arial" w:eastAsia="Arial" w:hAnsi="Arial" w:cs="Arial"/>
                <w:color w:val="D0E4F4"/>
                <w:sz w:val="19"/>
                <w:szCs w:val="19"/>
              </w:rPr>
              <w:t>Programme effect size (Cohen's d, 2022–24)</w:t>
            </w:r>
          </w:p>
        </w:tc>
      </w:tr>
    </w:tbl>
    <w:p w14:paraId="622570C3" w14:textId="77777777" w:rsidR="00CE0758" w:rsidRDefault="00CE0758">
      <w:pPr>
        <w:spacing w:after="200"/>
      </w:pPr>
    </w:p>
    <w:p w14:paraId="622570C4" w14:textId="77777777" w:rsidR="00CE0758" w:rsidRDefault="00000000">
      <w:pPr>
        <w:jc w:val="both"/>
      </w:pPr>
      <w:r>
        <w:rPr>
          <w:rFonts w:ascii="Arial" w:eastAsia="Arial" w:hAnsi="Arial" w:cs="Arial"/>
          <w:color w:val="404040"/>
          <w:sz w:val="22"/>
          <w:szCs w:val="22"/>
        </w:rPr>
        <w:t>These figures represent the current state of the MPI programme. The effect size of 0.61 — well above the widely-cited 0.4 hinge point identified by Hattie as the threshold for meaningful educational impact — reflects the programme's consistent delivery of measurable improvement across its partner schools.</w:t>
      </w:r>
    </w:p>
    <w:p w14:paraId="622570C5" w14:textId="77777777" w:rsidR="00CE0758"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0C7" w14:textId="77777777">
        <w:tblPrEx>
          <w:tblCellMar>
            <w:top w:w="0" w:type="dxa"/>
            <w:bottom w:w="0" w:type="dxa"/>
          </w:tblCellMar>
        </w:tblPrEx>
        <w:tc>
          <w:tcPr>
            <w:tcW w:w="9026" w:type="dxa"/>
            <w:tcBorders>
              <w:bottom w:val="single" w:sz="4" w:space="0" w:color="17A19A"/>
            </w:tcBorders>
            <w:shd w:val="clear" w:color="auto" w:fill="2E75B6"/>
            <w:tcMar>
              <w:top w:w="120" w:type="dxa"/>
              <w:left w:w="200" w:type="dxa"/>
              <w:bottom w:w="120" w:type="dxa"/>
              <w:right w:w="200" w:type="dxa"/>
            </w:tcMar>
          </w:tcPr>
          <w:p w14:paraId="622570C6" w14:textId="77777777" w:rsidR="00CE0758" w:rsidRDefault="00000000">
            <w:r>
              <w:rPr>
                <w:rFonts w:ascii="Arial" w:eastAsia="Arial" w:hAnsi="Arial" w:cs="Arial"/>
                <w:b/>
                <w:bCs/>
                <w:color w:val="FFFFFF"/>
                <w:sz w:val="24"/>
                <w:szCs w:val="24"/>
              </w:rPr>
              <w:lastRenderedPageBreak/>
              <w:t>THE MPI FRAMEWORK: THREE INTEGRATED STRANDS</w:t>
            </w:r>
          </w:p>
        </w:tc>
      </w:tr>
    </w:tbl>
    <w:p w14:paraId="622570C8" w14:textId="77777777" w:rsidR="00CE0758" w:rsidRDefault="00CE0758">
      <w:pPr>
        <w:spacing w:after="160"/>
      </w:pPr>
    </w:p>
    <w:p w14:paraId="622570C9" w14:textId="77777777" w:rsidR="00CE0758" w:rsidRDefault="00000000">
      <w:pPr>
        <w:spacing w:after="180"/>
        <w:jc w:val="both"/>
      </w:pPr>
      <w:r>
        <w:rPr>
          <w:rFonts w:ascii="Arial" w:eastAsia="Arial" w:hAnsi="Arial" w:cs="Arial"/>
          <w:color w:val="404040"/>
          <w:sz w:val="22"/>
          <w:szCs w:val="22"/>
        </w:rPr>
        <w:t>The MPI operates on a three-strand model. These strands are not independent modules to be selected or deployed in isolation; they are designed as an integrated system, and their interaction is the primary mechanism through which the programme generates measurable progress. Schools that implement all three strands consistently are those in which MPI impact is most clearly evidenced.</w:t>
      </w:r>
    </w:p>
    <w:p w14:paraId="622570CA" w14:textId="77777777" w:rsidR="00CE0758" w:rsidRDefault="00CE0758">
      <w:pPr>
        <w:spacing w:after="120"/>
      </w:pPr>
    </w:p>
    <w:p w14:paraId="622570CB" w14:textId="77777777" w:rsidR="00CE0758" w:rsidRDefault="00000000">
      <w:pPr>
        <w:spacing w:after="180"/>
        <w:jc w:val="both"/>
      </w:pPr>
      <w:r>
        <w:rPr>
          <w:rFonts w:ascii="Arial" w:eastAsia="Arial" w:hAnsi="Arial" w:cs="Arial"/>
          <w:b/>
          <w:bCs/>
          <w:color w:val="1A1A1A"/>
          <w:sz w:val="22"/>
          <w:szCs w:val="22"/>
        </w:rPr>
        <w:t xml:space="preserve">Strand 1 — Structured Curriculum Sequencing.  </w:t>
      </w:r>
      <w:r>
        <w:rPr>
          <w:rFonts w:ascii="Arial" w:eastAsia="Arial" w:hAnsi="Arial" w:cs="Arial"/>
          <w:color w:val="404040"/>
          <w:sz w:val="22"/>
          <w:szCs w:val="22"/>
        </w:rPr>
        <w:t>The MPI curriculum sequencing framework provides subject teams with a structured approach to the ordering and progression of content across Key Stages 3 and 4. Drawing on the principles of cognitive load theory and the evidence base for explicit instruction, the sequencing framework ensures that foundational knowledge is secured before more complex material is introduced. Schools report that curriculum sequencing provides clarity for both teachers and pupils, reducing the cognitive overhead associated with poorly sequenced schemes of work.</w:t>
      </w:r>
    </w:p>
    <w:p w14:paraId="622570CC" w14:textId="77777777" w:rsidR="00CE0758" w:rsidRDefault="00CE0758">
      <w:pPr>
        <w:spacing w:after="100"/>
      </w:pPr>
    </w:p>
    <w:p w14:paraId="622570CD" w14:textId="77777777" w:rsidR="00CE0758" w:rsidRDefault="00000000">
      <w:pPr>
        <w:spacing w:after="180"/>
        <w:jc w:val="both"/>
      </w:pPr>
      <w:r>
        <w:rPr>
          <w:rFonts w:ascii="Arial" w:eastAsia="Arial" w:hAnsi="Arial" w:cs="Arial"/>
          <w:b/>
          <w:bCs/>
          <w:color w:val="1A1A1A"/>
          <w:sz w:val="22"/>
          <w:szCs w:val="22"/>
        </w:rPr>
        <w:t xml:space="preserve">Strand 2 — Formative Assessment Integration.  </w:t>
      </w:r>
      <w:r>
        <w:rPr>
          <w:rFonts w:ascii="Arial" w:eastAsia="Arial" w:hAnsi="Arial" w:cs="Arial"/>
          <w:color w:val="404040"/>
          <w:sz w:val="22"/>
          <w:szCs w:val="22"/>
        </w:rPr>
        <w:t>The MPI's approach to formative assessment is grounded in the landmark research of Black and Wiliam (1998), whose meta-analysis established formative assessment as one of the highest-impact interventions available to classroom practitioners, with effect sizes in the 0.4 to 0.7 range. The MPI does not mandate a specific assessment format; it provides a framework for embedding assessment thinking into everyday teaching practice, ensuring that information about pupil understanding is gathered and acted upon in real time. This strand is, in Meridian's analysis, the most consistently impactful element of the MPI programme.</w:t>
      </w:r>
    </w:p>
    <w:p w14:paraId="622570CE" w14:textId="77777777" w:rsidR="00CE0758" w:rsidRDefault="00CE0758">
      <w:pPr>
        <w:spacing w:after="100"/>
      </w:pPr>
    </w:p>
    <w:p w14:paraId="622570CF" w14:textId="77777777" w:rsidR="00CE0758" w:rsidRDefault="00000000">
      <w:pPr>
        <w:spacing w:after="180"/>
        <w:jc w:val="both"/>
      </w:pPr>
      <w:r>
        <w:rPr>
          <w:rFonts w:ascii="Arial" w:eastAsia="Arial" w:hAnsi="Arial" w:cs="Arial"/>
          <w:b/>
          <w:bCs/>
          <w:color w:val="1A1A1A"/>
          <w:sz w:val="22"/>
          <w:szCs w:val="22"/>
        </w:rPr>
        <w:t xml:space="preserve">Strand 3 — Professional Development for Subject Leads.  </w:t>
      </w:r>
      <w:r>
        <w:rPr>
          <w:rFonts w:ascii="Arial" w:eastAsia="Arial" w:hAnsi="Arial" w:cs="Arial"/>
          <w:color w:val="404040"/>
          <w:sz w:val="22"/>
          <w:szCs w:val="22"/>
        </w:rPr>
        <w:t xml:space="preserve">Sustainable improvement requires sustainable practice, and sustainable practice requires capable, confident subject leadership. The MPI's third strand provides structured professional development for subject leads, equipping them with the knowledge, tools, and collegial networks required to sustain high-quality curriculum and assessment practice over time. Subject lead development sessions are delivered by Meridian consultants in partnership with the school's MPI </w:t>
      </w:r>
      <w:proofErr w:type="gramStart"/>
      <w:r>
        <w:rPr>
          <w:rFonts w:ascii="Arial" w:eastAsia="Arial" w:hAnsi="Arial" w:cs="Arial"/>
          <w:color w:val="404040"/>
          <w:sz w:val="22"/>
          <w:szCs w:val="22"/>
        </w:rPr>
        <w:t>coordinator, and</w:t>
      </w:r>
      <w:proofErr w:type="gramEnd"/>
      <w:r>
        <w:rPr>
          <w:rFonts w:ascii="Arial" w:eastAsia="Arial" w:hAnsi="Arial" w:cs="Arial"/>
          <w:color w:val="404040"/>
          <w:sz w:val="22"/>
          <w:szCs w:val="22"/>
        </w:rPr>
        <w:t xml:space="preserve"> are updated annually to reflect current research and programme learning.</w:t>
      </w:r>
    </w:p>
    <w:p w14:paraId="622570D0" w14:textId="77777777" w:rsidR="00CE0758" w:rsidRDefault="00CE0758">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0D2" w14:textId="77777777">
        <w:tblPrEx>
          <w:tblCellMar>
            <w:top w:w="0" w:type="dxa"/>
            <w:bottom w:w="0" w:type="dxa"/>
          </w:tblCellMar>
        </w:tblPrEx>
        <w:tc>
          <w:tcPr>
            <w:tcW w:w="9026" w:type="dxa"/>
            <w:tcBorders>
              <w:bottom w:val="single" w:sz="4" w:space="0" w:color="17A19A"/>
            </w:tcBorders>
            <w:shd w:val="clear" w:color="auto" w:fill="2E75B6"/>
            <w:tcMar>
              <w:top w:w="120" w:type="dxa"/>
              <w:left w:w="200" w:type="dxa"/>
              <w:bottom w:w="120" w:type="dxa"/>
              <w:right w:w="200" w:type="dxa"/>
            </w:tcMar>
          </w:tcPr>
          <w:p w14:paraId="622570D1" w14:textId="77777777" w:rsidR="00CE0758" w:rsidRDefault="00000000">
            <w:r>
              <w:rPr>
                <w:rFonts w:ascii="Arial" w:eastAsia="Arial" w:hAnsi="Arial" w:cs="Arial"/>
                <w:b/>
                <w:bCs/>
                <w:color w:val="FFFFFF"/>
                <w:sz w:val="24"/>
                <w:szCs w:val="24"/>
              </w:rPr>
              <w:t>IMPLEMENTATION AND PARTNERSHIP</w:t>
            </w:r>
          </w:p>
        </w:tc>
      </w:tr>
    </w:tbl>
    <w:p w14:paraId="622570D3" w14:textId="77777777" w:rsidR="00CE0758" w:rsidRDefault="00CE0758">
      <w:pPr>
        <w:spacing w:after="160"/>
      </w:pPr>
    </w:p>
    <w:p w14:paraId="622570D4" w14:textId="77777777" w:rsidR="00CE0758" w:rsidRDefault="00000000">
      <w:pPr>
        <w:spacing w:after="180"/>
        <w:jc w:val="both"/>
      </w:pPr>
      <w:r>
        <w:rPr>
          <w:rFonts w:ascii="Arial" w:eastAsia="Arial" w:hAnsi="Arial" w:cs="Arial"/>
          <w:color w:val="404040"/>
          <w:sz w:val="22"/>
          <w:szCs w:val="22"/>
        </w:rPr>
        <w:t>Joining the MPI is not a transaction. It is the beginning of a structured partnership between Meridian and the school, governed by a set of shared expectations and supported by Meridian's ongoing engagement throughout the programme year. Partner schools receive:</w:t>
      </w:r>
    </w:p>
    <w:p w14:paraId="622570D5" w14:textId="77777777" w:rsidR="00CE0758" w:rsidRDefault="00CE0758">
      <w:pPr>
        <w:spacing w:after="80"/>
      </w:pPr>
    </w:p>
    <w:p w14:paraId="622570D6" w14:textId="77777777" w:rsidR="00CE0758" w:rsidRDefault="00000000">
      <w:pPr>
        <w:pStyle w:val="ListParagraph"/>
        <w:numPr>
          <w:ilvl w:val="0"/>
          <w:numId w:val="2"/>
        </w:numPr>
        <w:spacing w:after="100"/>
      </w:pPr>
      <w:r>
        <w:rPr>
          <w:rFonts w:ascii="Arial" w:eastAsia="Arial" w:hAnsi="Arial" w:cs="Arial"/>
          <w:color w:val="404040"/>
          <w:sz w:val="22"/>
          <w:szCs w:val="22"/>
        </w:rPr>
        <w:t>The full MPI curriculum framework, updated annually</w:t>
      </w:r>
    </w:p>
    <w:p w14:paraId="622570D7" w14:textId="77777777" w:rsidR="00CE0758" w:rsidRDefault="00000000">
      <w:pPr>
        <w:pStyle w:val="ListParagraph"/>
        <w:numPr>
          <w:ilvl w:val="0"/>
          <w:numId w:val="2"/>
        </w:numPr>
        <w:spacing w:after="100"/>
      </w:pPr>
      <w:r>
        <w:rPr>
          <w:rFonts w:ascii="Arial" w:eastAsia="Arial" w:hAnsi="Arial" w:cs="Arial"/>
          <w:color w:val="404040"/>
          <w:sz w:val="22"/>
          <w:szCs w:val="22"/>
        </w:rPr>
        <w:t>Access to MPI Connect, Meridian's digital platform for coordinators and subject leads</w:t>
      </w:r>
    </w:p>
    <w:p w14:paraId="622570D8" w14:textId="77777777" w:rsidR="00CE0758" w:rsidRDefault="00000000">
      <w:pPr>
        <w:pStyle w:val="ListParagraph"/>
        <w:numPr>
          <w:ilvl w:val="0"/>
          <w:numId w:val="2"/>
        </w:numPr>
        <w:spacing w:after="100"/>
      </w:pPr>
      <w:r>
        <w:rPr>
          <w:rFonts w:ascii="Arial" w:eastAsia="Arial" w:hAnsi="Arial" w:cs="Arial"/>
          <w:color w:val="404040"/>
          <w:sz w:val="22"/>
          <w:szCs w:val="22"/>
        </w:rPr>
        <w:t>Two-day MPI Coordinator certification training</w:t>
      </w:r>
    </w:p>
    <w:p w14:paraId="622570D9" w14:textId="77777777" w:rsidR="00CE0758" w:rsidRDefault="00000000">
      <w:pPr>
        <w:pStyle w:val="ListParagraph"/>
        <w:numPr>
          <w:ilvl w:val="0"/>
          <w:numId w:val="2"/>
        </w:numPr>
        <w:spacing w:after="100"/>
      </w:pPr>
      <w:r>
        <w:rPr>
          <w:rFonts w:ascii="Arial" w:eastAsia="Arial" w:hAnsi="Arial" w:cs="Arial"/>
          <w:color w:val="404040"/>
          <w:sz w:val="22"/>
          <w:szCs w:val="22"/>
        </w:rPr>
        <w:t>Annual school visit and implementation audit by a Meridian consultant</w:t>
      </w:r>
    </w:p>
    <w:p w14:paraId="622570DA" w14:textId="77777777" w:rsidR="00CE0758" w:rsidRDefault="00000000">
      <w:pPr>
        <w:pStyle w:val="ListParagraph"/>
        <w:numPr>
          <w:ilvl w:val="0"/>
          <w:numId w:val="2"/>
        </w:numPr>
        <w:spacing w:after="100"/>
      </w:pPr>
      <w:r>
        <w:rPr>
          <w:rFonts w:ascii="Arial" w:eastAsia="Arial" w:hAnsi="Arial" w:cs="Arial"/>
          <w:color w:val="404040"/>
          <w:sz w:val="22"/>
          <w:szCs w:val="22"/>
        </w:rPr>
        <w:t>Access to Meridian's national network of MPI practitioners</w:t>
      </w:r>
    </w:p>
    <w:p w14:paraId="622570DB" w14:textId="77777777" w:rsidR="00CE0758" w:rsidRDefault="00000000">
      <w:pPr>
        <w:pStyle w:val="ListParagraph"/>
        <w:numPr>
          <w:ilvl w:val="0"/>
          <w:numId w:val="2"/>
        </w:numPr>
        <w:spacing w:after="100"/>
      </w:pPr>
      <w:r>
        <w:rPr>
          <w:rFonts w:ascii="Arial" w:eastAsia="Arial" w:hAnsi="Arial" w:cs="Arial"/>
          <w:color w:val="404040"/>
          <w:sz w:val="22"/>
          <w:szCs w:val="22"/>
        </w:rPr>
        <w:t>An annual school-level impact summary, situating results within the wider programme data</w:t>
      </w:r>
    </w:p>
    <w:p w14:paraId="622570DC" w14:textId="77777777" w:rsidR="00CE0758" w:rsidRDefault="00CE0758">
      <w:pPr>
        <w:spacing w:after="160"/>
      </w:pPr>
    </w:p>
    <w:p w14:paraId="622570DD" w14:textId="77777777" w:rsidR="00CE0758" w:rsidRDefault="00000000">
      <w:pPr>
        <w:spacing w:after="180"/>
        <w:jc w:val="both"/>
      </w:pPr>
      <w:r>
        <w:rPr>
          <w:rFonts w:ascii="Arial" w:eastAsia="Arial" w:hAnsi="Arial" w:cs="Arial"/>
          <w:color w:val="404040"/>
          <w:sz w:val="22"/>
          <w:szCs w:val="22"/>
        </w:rPr>
        <w:t xml:space="preserve">In return, partner schools commit to full implementation of all three MPI strands, annual data submission, and active participation in the programme's quality assurance cycle. These commitments </w:t>
      </w:r>
      <w:r>
        <w:rPr>
          <w:rFonts w:ascii="Arial" w:eastAsia="Arial" w:hAnsi="Arial" w:cs="Arial"/>
          <w:color w:val="404040"/>
          <w:sz w:val="22"/>
          <w:szCs w:val="22"/>
        </w:rPr>
        <w:lastRenderedPageBreak/>
        <w:t xml:space="preserve">are not administrative formalities. They are the conditions under which the programme's evidence base is </w:t>
      </w:r>
      <w:proofErr w:type="gramStart"/>
      <w:r>
        <w:rPr>
          <w:rFonts w:ascii="Arial" w:eastAsia="Arial" w:hAnsi="Arial" w:cs="Arial"/>
          <w:color w:val="404040"/>
          <w:sz w:val="22"/>
          <w:szCs w:val="22"/>
        </w:rPr>
        <w:t>maintained</w:t>
      </w:r>
      <w:proofErr w:type="gramEnd"/>
      <w:r>
        <w:rPr>
          <w:rFonts w:ascii="Arial" w:eastAsia="Arial" w:hAnsi="Arial" w:cs="Arial"/>
          <w:color w:val="404040"/>
          <w:sz w:val="22"/>
          <w:szCs w:val="22"/>
        </w:rPr>
        <w:t xml:space="preserve"> and its impact can be meaningfully measured.</w:t>
      </w:r>
    </w:p>
    <w:p w14:paraId="622570DE" w14:textId="77777777" w:rsidR="00CE0758"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0E0" w14:textId="77777777">
        <w:tblPrEx>
          <w:tblCellMar>
            <w:top w:w="0" w:type="dxa"/>
            <w:bottom w:w="0" w:type="dxa"/>
          </w:tblCellMar>
        </w:tblPrEx>
        <w:tc>
          <w:tcPr>
            <w:tcW w:w="9026" w:type="dxa"/>
            <w:tcBorders>
              <w:bottom w:val="single" w:sz="4" w:space="0" w:color="17A19A"/>
            </w:tcBorders>
            <w:shd w:val="clear" w:color="auto" w:fill="2E75B6"/>
            <w:tcMar>
              <w:top w:w="120" w:type="dxa"/>
              <w:left w:w="200" w:type="dxa"/>
              <w:bottom w:w="120" w:type="dxa"/>
              <w:right w:w="200" w:type="dxa"/>
            </w:tcMar>
          </w:tcPr>
          <w:p w14:paraId="622570DF" w14:textId="77777777" w:rsidR="00CE0758" w:rsidRDefault="00000000">
            <w:r>
              <w:rPr>
                <w:rFonts w:ascii="Arial" w:eastAsia="Arial" w:hAnsi="Arial" w:cs="Arial"/>
                <w:b/>
                <w:bCs/>
                <w:color w:val="FFFFFF"/>
                <w:sz w:val="24"/>
                <w:szCs w:val="24"/>
              </w:rPr>
              <w:lastRenderedPageBreak/>
              <w:t>EVIDENCE OF IMPACT</w:t>
            </w:r>
          </w:p>
        </w:tc>
      </w:tr>
    </w:tbl>
    <w:p w14:paraId="622570E1" w14:textId="77777777" w:rsidR="00CE0758" w:rsidRDefault="00CE0758">
      <w:pPr>
        <w:spacing w:after="160"/>
      </w:pPr>
    </w:p>
    <w:p w14:paraId="622570E2" w14:textId="77777777" w:rsidR="00CE0758" w:rsidRDefault="00000000">
      <w:pPr>
        <w:spacing w:after="180"/>
        <w:jc w:val="both"/>
      </w:pPr>
      <w:r>
        <w:rPr>
          <w:rFonts w:ascii="Arial" w:eastAsia="Arial" w:hAnsi="Arial" w:cs="Arial"/>
          <w:color w:val="404040"/>
          <w:sz w:val="22"/>
          <w:szCs w:val="22"/>
        </w:rPr>
        <w:t>The MPI's evidence base is built from eight years of programme data, collected annually from partner schools and analysed by Meridian's Outcomes and Impact division. The programme's published effect size of 0.61 — based on pooled outcome data from 2022 to 2024 — represents the difference in progress outcomes between MPI partner schools and a comparison group of non-programme schools in the same districts, matched for school size, socioeconomic intake, prior attainment, and urban or rural classification.</w:t>
      </w:r>
    </w:p>
    <w:p w14:paraId="622570E3" w14:textId="77777777" w:rsidR="00CE0758" w:rsidRDefault="00CE075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0E5" w14:textId="77777777">
        <w:tblPrEx>
          <w:tblCellMar>
            <w:top w:w="0" w:type="dxa"/>
            <w:bottom w:w="0" w:type="dxa"/>
          </w:tblCellMar>
        </w:tblPrEx>
        <w:tc>
          <w:tcPr>
            <w:tcW w:w="9026" w:type="dxa"/>
            <w:tcBorders>
              <w:left w:val="single" w:sz="16" w:space="0" w:color="17A19A"/>
            </w:tcBorders>
            <w:shd w:val="clear" w:color="auto" w:fill="F2F2F2"/>
            <w:tcMar>
              <w:top w:w="200" w:type="dxa"/>
              <w:left w:w="360" w:type="dxa"/>
              <w:bottom w:w="200" w:type="dxa"/>
              <w:right w:w="360" w:type="dxa"/>
            </w:tcMar>
          </w:tcPr>
          <w:p w14:paraId="622570E4" w14:textId="77777777" w:rsidR="00CE0758" w:rsidRDefault="00000000">
            <w:r>
              <w:rPr>
                <w:rFonts w:ascii="Arial" w:eastAsia="Arial" w:hAnsi="Arial" w:cs="Arial"/>
                <w:i/>
                <w:iCs/>
                <w:color w:val="2E75B6"/>
                <w:sz w:val="24"/>
                <w:szCs w:val="24"/>
              </w:rPr>
              <w:t>An effect size of 0.61 does not describe a marginal benefit. It describes a programme that is, on average, producing more than half a standard deviation of additional progress in the schools where it is delivered. In educational terms, that is significant.</w:t>
            </w:r>
          </w:p>
        </w:tc>
      </w:tr>
    </w:tbl>
    <w:p w14:paraId="622570E6" w14:textId="77777777" w:rsidR="00CE0758" w:rsidRDefault="00CE0758">
      <w:pPr>
        <w:spacing w:after="200"/>
      </w:pPr>
    </w:p>
    <w:p w14:paraId="622570E7" w14:textId="77777777" w:rsidR="00CE0758" w:rsidRDefault="00000000">
      <w:pPr>
        <w:spacing w:after="180"/>
        <w:jc w:val="both"/>
      </w:pPr>
      <w:r>
        <w:rPr>
          <w:rFonts w:ascii="Arial" w:eastAsia="Arial" w:hAnsi="Arial" w:cs="Arial"/>
          <w:color w:val="404040"/>
          <w:sz w:val="22"/>
          <w:szCs w:val="22"/>
        </w:rPr>
        <w:t>The MPI's approach to evidence is rigorous and methodologically explicit. Meridian does not publish headline figures without the analytical infrastructure to support them. The programme's full methodology — including the basis for the comparison group, the approach to cohort-level calibration, and the criteria governing which schools contribute to programme-level impact calculations — is documented in the MPI Technical Handbook, which is available to all partner schools and to Meridian staff involved in client-facing work.</w:t>
      </w:r>
    </w:p>
    <w:p w14:paraId="622570E8" w14:textId="77777777" w:rsidR="00CE0758" w:rsidRDefault="00CE0758">
      <w:pPr>
        <w:spacing w:after="120"/>
      </w:pPr>
    </w:p>
    <w:p w14:paraId="622570E9" w14:textId="77777777" w:rsidR="00CE0758" w:rsidRDefault="00000000">
      <w:pPr>
        <w:spacing w:after="180"/>
        <w:jc w:val="both"/>
      </w:pPr>
      <w:r>
        <w:rPr>
          <w:rFonts w:ascii="Arial" w:eastAsia="Arial" w:hAnsi="Arial" w:cs="Arial"/>
          <w:color w:val="404040"/>
          <w:sz w:val="22"/>
          <w:szCs w:val="22"/>
        </w:rPr>
        <w:t xml:space="preserve">It is worth being clear about what the MPI's evidence does and does not claim. The effect size of 0.61 describes average outcomes across programme schools. It does not describe outcomes in every school, and it does not guarantee results in any </w:t>
      </w:r>
      <w:proofErr w:type="gramStart"/>
      <w:r>
        <w:rPr>
          <w:rFonts w:ascii="Arial" w:eastAsia="Arial" w:hAnsi="Arial" w:cs="Arial"/>
          <w:color w:val="404040"/>
          <w:sz w:val="22"/>
          <w:szCs w:val="22"/>
        </w:rPr>
        <w:t>particular context</w:t>
      </w:r>
      <w:proofErr w:type="gramEnd"/>
      <w:r>
        <w:rPr>
          <w:rFonts w:ascii="Arial" w:eastAsia="Arial" w:hAnsi="Arial" w:cs="Arial"/>
          <w:color w:val="404040"/>
          <w:sz w:val="22"/>
          <w:szCs w:val="22"/>
        </w:rPr>
        <w:t>. What it does demonstrate — consistently, across multiple cohort years and across a range of school types — is that schools implementing the MPI with fidelity tend to produce significantly better progress outcomes than comparable schools that do not.</w:t>
      </w:r>
    </w:p>
    <w:p w14:paraId="622570EA" w14:textId="77777777" w:rsidR="00CE0758" w:rsidRDefault="00CE075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0EC" w14:textId="77777777">
        <w:tblPrEx>
          <w:tblCellMar>
            <w:top w:w="0" w:type="dxa"/>
            <w:bottom w:w="0" w:type="dxa"/>
          </w:tblCellMar>
        </w:tblPrEx>
        <w:tc>
          <w:tcPr>
            <w:tcW w:w="9026" w:type="dxa"/>
            <w:tcBorders>
              <w:bottom w:val="single" w:sz="4" w:space="0" w:color="17A19A"/>
            </w:tcBorders>
            <w:shd w:val="clear" w:color="auto" w:fill="2E75B6"/>
            <w:tcMar>
              <w:top w:w="120" w:type="dxa"/>
              <w:left w:w="200" w:type="dxa"/>
              <w:bottom w:w="120" w:type="dxa"/>
              <w:right w:w="200" w:type="dxa"/>
            </w:tcMar>
          </w:tcPr>
          <w:p w14:paraId="622570EB" w14:textId="77777777" w:rsidR="00CE0758" w:rsidRDefault="00000000">
            <w:r>
              <w:rPr>
                <w:rFonts w:ascii="Arial" w:eastAsia="Arial" w:hAnsi="Arial" w:cs="Arial"/>
                <w:b/>
                <w:bCs/>
                <w:color w:val="FFFFFF"/>
                <w:sz w:val="24"/>
                <w:szCs w:val="24"/>
              </w:rPr>
              <w:t>WHY THE MPI, AND WHY NOW?</w:t>
            </w:r>
          </w:p>
        </w:tc>
      </w:tr>
    </w:tbl>
    <w:p w14:paraId="622570ED" w14:textId="77777777" w:rsidR="00CE0758" w:rsidRDefault="00CE0758">
      <w:pPr>
        <w:spacing w:after="160"/>
      </w:pPr>
    </w:p>
    <w:p w14:paraId="622570EE" w14:textId="77777777" w:rsidR="00CE0758" w:rsidRDefault="00000000">
      <w:pPr>
        <w:spacing w:after="180"/>
        <w:jc w:val="both"/>
      </w:pPr>
      <w:r>
        <w:rPr>
          <w:rFonts w:ascii="Arial" w:eastAsia="Arial" w:hAnsi="Arial" w:cs="Arial"/>
          <w:color w:val="404040"/>
          <w:sz w:val="22"/>
          <w:szCs w:val="22"/>
        </w:rPr>
        <w:t>The accountability landscape for English secondary schools has never been more demanding. Progress 8 measures, Ofsted's revised inspection framework, and growing local authority scrutiny of educational outcomes have created an environment in which schools are expected not merely to produce good results but to demonstrate how they produced them and why those results are the product of deliberate, evidence-based practice.</w:t>
      </w:r>
    </w:p>
    <w:p w14:paraId="622570EF" w14:textId="77777777" w:rsidR="00CE0758" w:rsidRDefault="00000000">
      <w:pPr>
        <w:spacing w:after="180"/>
        <w:jc w:val="both"/>
      </w:pPr>
      <w:r>
        <w:rPr>
          <w:rFonts w:ascii="Arial" w:eastAsia="Arial" w:hAnsi="Arial" w:cs="Arial"/>
          <w:color w:val="404040"/>
          <w:sz w:val="22"/>
          <w:szCs w:val="22"/>
        </w:rPr>
        <w:t>The MPI is designed precisely for this environment. It provides schools with a coherent, evidenced framework for curriculum and assessment practice — one that produces measurable outcomes, generates a documented evidence trail, and aligns with the priorities of both Ofsted inspection and local authority commissioning. For schools seeking to demonstrate the quality of their provision, the MPI offers both the practice and the evidence.</w:t>
      </w:r>
    </w:p>
    <w:p w14:paraId="622570F0" w14:textId="77777777" w:rsidR="00CE0758" w:rsidRDefault="00000000">
      <w:pPr>
        <w:spacing w:after="180"/>
        <w:jc w:val="both"/>
      </w:pPr>
      <w:r>
        <w:rPr>
          <w:rFonts w:ascii="Arial" w:eastAsia="Arial" w:hAnsi="Arial" w:cs="Arial"/>
          <w:color w:val="404040"/>
          <w:sz w:val="22"/>
          <w:szCs w:val="22"/>
        </w:rPr>
        <w:t>For local authorities seeking to understand the return on investment from their education partnerships, Meridian's renewal evidence packs provide clear, data-grounded accounts of programme impact — accounts that can be presented to elected members, school improvement boards, and external auditors with confidence.</w:t>
      </w:r>
    </w:p>
    <w:p w14:paraId="622570F1" w14:textId="77777777" w:rsidR="00CE0758" w:rsidRDefault="00CE0758">
      <w:pPr>
        <w:spacing w:after="120"/>
      </w:pPr>
    </w:p>
    <w:p w14:paraId="622570F3" w14:textId="4F3FF4C7" w:rsidR="00CE0758" w:rsidRDefault="00000000" w:rsidP="003623CC">
      <w:pPr>
        <w:jc w:val="both"/>
      </w:pPr>
      <w:r>
        <w:rPr>
          <w:rFonts w:ascii="Arial" w:eastAsia="Arial" w:hAnsi="Arial" w:cs="Arial"/>
          <w:color w:val="404040"/>
          <w:sz w:val="22"/>
          <w:szCs w:val="22"/>
        </w:rPr>
        <w:t>Meridian Education Group. Transforming Outcomes Through Evidence-Led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0F5" w14:textId="77777777">
        <w:tblPrEx>
          <w:tblCellMar>
            <w:top w:w="0" w:type="dxa"/>
            <w:bottom w:w="0" w:type="dxa"/>
          </w:tblCellMar>
        </w:tblPrEx>
        <w:tc>
          <w:tcPr>
            <w:tcW w:w="9026" w:type="dxa"/>
            <w:tcBorders>
              <w:bottom w:val="single" w:sz="4" w:space="0" w:color="17A19A"/>
            </w:tcBorders>
            <w:shd w:val="clear" w:color="auto" w:fill="2E75B6"/>
            <w:tcMar>
              <w:top w:w="120" w:type="dxa"/>
              <w:left w:w="200" w:type="dxa"/>
              <w:bottom w:w="120" w:type="dxa"/>
              <w:right w:w="200" w:type="dxa"/>
            </w:tcMar>
          </w:tcPr>
          <w:p w14:paraId="622570F4" w14:textId="77777777" w:rsidR="00CE0758" w:rsidRDefault="00000000">
            <w:r>
              <w:rPr>
                <w:rFonts w:ascii="Arial" w:eastAsia="Arial" w:hAnsi="Arial" w:cs="Arial"/>
                <w:b/>
                <w:bCs/>
                <w:color w:val="FFFFFF"/>
                <w:sz w:val="24"/>
                <w:szCs w:val="24"/>
              </w:rPr>
              <w:lastRenderedPageBreak/>
              <w:t>KNOWLEDGE CHECK</w:t>
            </w:r>
          </w:p>
        </w:tc>
      </w:tr>
    </w:tbl>
    <w:p w14:paraId="622570F6" w14:textId="77777777" w:rsidR="00CE0758" w:rsidRDefault="00CE0758">
      <w:pPr>
        <w:spacing w:after="160"/>
      </w:pPr>
    </w:p>
    <w:p w14:paraId="622570F7" w14:textId="77777777" w:rsidR="00CE0758" w:rsidRDefault="00000000">
      <w:pPr>
        <w:spacing w:after="180"/>
        <w:jc w:val="both"/>
      </w:pPr>
      <w:r>
        <w:rPr>
          <w:rFonts w:ascii="Arial" w:eastAsia="Arial" w:hAnsi="Arial" w:cs="Arial"/>
          <w:color w:val="404040"/>
          <w:sz w:val="22"/>
          <w:szCs w:val="22"/>
        </w:rPr>
        <w:t xml:space="preserve">Having read this overview document, please complete the following five questions. Your responses will be used to ensure you have a working familiarity with the MPI framework before commencing the induction programme and your work on client deliverables. Submit your completed answers via </w:t>
      </w:r>
      <w:proofErr w:type="spellStart"/>
      <w:r>
        <w:rPr>
          <w:rFonts w:ascii="Arial" w:eastAsia="Arial" w:hAnsi="Arial" w:cs="Arial"/>
          <w:color w:val="404040"/>
          <w:sz w:val="22"/>
          <w:szCs w:val="22"/>
        </w:rPr>
        <w:t>SynergyDrive</w:t>
      </w:r>
      <w:proofErr w:type="spellEnd"/>
      <w:r>
        <w:rPr>
          <w:rFonts w:ascii="Arial" w:eastAsia="Arial" w:hAnsi="Arial" w:cs="Arial"/>
          <w:color w:val="404040"/>
          <w:sz w:val="22"/>
          <w:szCs w:val="22"/>
        </w:rPr>
        <w:t xml:space="preserve"> in the folder: Training &gt; </w:t>
      </w:r>
      <w:proofErr w:type="spellStart"/>
      <w:r>
        <w:rPr>
          <w:rFonts w:ascii="Arial" w:eastAsia="Arial" w:hAnsi="Arial" w:cs="Arial"/>
          <w:color w:val="404040"/>
          <w:sz w:val="22"/>
          <w:szCs w:val="22"/>
        </w:rPr>
        <w:t>Paul_Induction</w:t>
      </w:r>
      <w:proofErr w:type="spellEnd"/>
      <w:r>
        <w:rPr>
          <w:rFonts w:ascii="Arial" w:eastAsia="Arial" w:hAnsi="Arial" w:cs="Arial"/>
          <w:color w:val="404040"/>
          <w:sz w:val="22"/>
          <w:szCs w:val="22"/>
        </w:rPr>
        <w:t xml:space="preserve"> &gt; </w:t>
      </w:r>
      <w:proofErr w:type="spellStart"/>
      <w:r>
        <w:rPr>
          <w:rFonts w:ascii="Arial" w:eastAsia="Arial" w:hAnsi="Arial" w:cs="Arial"/>
          <w:color w:val="404040"/>
          <w:sz w:val="22"/>
          <w:szCs w:val="22"/>
        </w:rPr>
        <w:t>Knowledge_Checks</w:t>
      </w:r>
      <w:proofErr w:type="spellEnd"/>
      <w:r>
        <w:rPr>
          <w:rFonts w:ascii="Arial" w:eastAsia="Arial" w:hAnsi="Arial" w:cs="Arial"/>
          <w:color w:val="404040"/>
          <w:sz w:val="22"/>
          <w:szCs w:val="22"/>
        </w:rPr>
        <w:t xml:space="preserve"> &gt; [Your Name].</w:t>
      </w:r>
    </w:p>
    <w:p w14:paraId="622570F8" w14:textId="77777777" w:rsidR="00CE0758" w:rsidRDefault="00CE0758">
      <w:pPr>
        <w:spacing w:after="80"/>
      </w:pPr>
    </w:p>
    <w:p w14:paraId="622570F9" w14:textId="77777777" w:rsidR="00CE0758" w:rsidRDefault="00000000">
      <w:pPr>
        <w:spacing w:after="180"/>
        <w:jc w:val="both"/>
      </w:pPr>
      <w:r>
        <w:rPr>
          <w:rFonts w:ascii="Arial" w:eastAsia="Arial" w:hAnsi="Arial" w:cs="Arial"/>
          <w:color w:val="404040"/>
          <w:sz w:val="22"/>
          <w:szCs w:val="22"/>
        </w:rPr>
        <w:t>This is not a formal assessment. There are no marks. It is a tool for identifying any areas that may benefit from further reading before Thursday's induction session. Accordingly, there is no pass or fail — only a record of engagement.</w:t>
      </w:r>
    </w:p>
    <w:p w14:paraId="622570FA" w14:textId="77777777" w:rsidR="00CE0758" w:rsidRDefault="00CE0758">
      <w:pPr>
        <w:spacing w:after="160"/>
      </w:pPr>
    </w:p>
    <w:p w14:paraId="622570FB" w14:textId="77777777" w:rsidR="00CE0758" w:rsidRDefault="00000000">
      <w:pPr>
        <w:spacing w:before="200" w:after="80"/>
      </w:pPr>
      <w:r>
        <w:rPr>
          <w:rFonts w:ascii="Arial" w:eastAsia="Arial" w:hAnsi="Arial" w:cs="Arial"/>
          <w:b/>
          <w:bCs/>
          <w:color w:val="2E75B6"/>
          <w:sz w:val="22"/>
          <w:szCs w:val="22"/>
        </w:rPr>
        <w:t xml:space="preserve">1.  </w:t>
      </w:r>
      <w:r>
        <w:rPr>
          <w:rFonts w:ascii="Arial" w:eastAsia="Arial" w:hAnsi="Arial" w:cs="Arial"/>
          <w:color w:val="1A1A1A"/>
          <w:sz w:val="22"/>
          <w:szCs w:val="22"/>
        </w:rPr>
        <w:t>In your own words, describe the three strands of the MPI framework and explain why the programme design requires all three to be implemented together rather than in isolation.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0FF" w14:textId="77777777">
        <w:tblPrEx>
          <w:tblCellMar>
            <w:top w:w="0" w:type="dxa"/>
            <w:bottom w:w="0" w:type="dxa"/>
          </w:tblCellMar>
        </w:tblPrEx>
        <w:tc>
          <w:tcPr>
            <w:tcW w:w="9026" w:type="dxa"/>
            <w:tcBorders>
              <w:top w:val="single" w:sz="1" w:space="0" w:color="D9D9D9"/>
              <w:left w:val="single" w:sz="1" w:space="0" w:color="D9D9D9"/>
              <w:bottom w:val="single" w:sz="1" w:space="0" w:color="D9D9D9"/>
              <w:right w:val="single" w:sz="1" w:space="0" w:color="D9D9D9"/>
            </w:tcBorders>
            <w:shd w:val="clear" w:color="auto" w:fill="F2F2F2"/>
            <w:tcMar>
              <w:top w:w="160" w:type="dxa"/>
              <w:left w:w="200" w:type="dxa"/>
              <w:bottom w:w="160" w:type="dxa"/>
              <w:right w:w="200" w:type="dxa"/>
            </w:tcMar>
          </w:tcPr>
          <w:p w14:paraId="622570FC" w14:textId="77777777" w:rsidR="00CE0758" w:rsidRDefault="00CE0758">
            <w:pPr>
              <w:spacing w:after="80"/>
            </w:pPr>
          </w:p>
          <w:p w14:paraId="622570FD" w14:textId="77777777" w:rsidR="00CE0758" w:rsidRDefault="00CE0758">
            <w:pPr>
              <w:spacing w:after="80"/>
            </w:pPr>
          </w:p>
          <w:p w14:paraId="622570FE" w14:textId="77777777" w:rsidR="00CE0758" w:rsidRDefault="00CE0758"/>
        </w:tc>
      </w:tr>
    </w:tbl>
    <w:p w14:paraId="62257100" w14:textId="77777777" w:rsidR="00CE0758" w:rsidRDefault="00CE0758">
      <w:pPr>
        <w:spacing w:after="80"/>
      </w:pPr>
    </w:p>
    <w:p w14:paraId="62257101" w14:textId="77777777" w:rsidR="00CE0758" w:rsidRDefault="00000000">
      <w:pPr>
        <w:spacing w:before="200" w:after="80"/>
      </w:pPr>
      <w:r>
        <w:rPr>
          <w:rFonts w:ascii="Arial" w:eastAsia="Arial" w:hAnsi="Arial" w:cs="Arial"/>
          <w:b/>
          <w:bCs/>
          <w:color w:val="2E75B6"/>
          <w:sz w:val="22"/>
          <w:szCs w:val="22"/>
        </w:rPr>
        <w:t xml:space="preserve">2.  </w:t>
      </w:r>
      <w:r>
        <w:rPr>
          <w:rFonts w:ascii="Arial" w:eastAsia="Arial" w:hAnsi="Arial" w:cs="Arial"/>
          <w:color w:val="1A1A1A"/>
          <w:sz w:val="22"/>
          <w:szCs w:val="22"/>
        </w:rPr>
        <w:t>The overview document references an effect size of 0.61 for the MPI programme. What does this figure mean, and what is the significance of the 0.4 threshold identified by John Hattie?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105" w14:textId="77777777">
        <w:tblPrEx>
          <w:tblCellMar>
            <w:top w:w="0" w:type="dxa"/>
            <w:bottom w:w="0" w:type="dxa"/>
          </w:tblCellMar>
        </w:tblPrEx>
        <w:tc>
          <w:tcPr>
            <w:tcW w:w="9026" w:type="dxa"/>
            <w:tcBorders>
              <w:top w:val="single" w:sz="1" w:space="0" w:color="D9D9D9"/>
              <w:left w:val="single" w:sz="1" w:space="0" w:color="D9D9D9"/>
              <w:bottom w:val="single" w:sz="1" w:space="0" w:color="D9D9D9"/>
              <w:right w:val="single" w:sz="1" w:space="0" w:color="D9D9D9"/>
            </w:tcBorders>
            <w:shd w:val="clear" w:color="auto" w:fill="F2F2F2"/>
            <w:tcMar>
              <w:top w:w="160" w:type="dxa"/>
              <w:left w:w="200" w:type="dxa"/>
              <w:bottom w:w="160" w:type="dxa"/>
              <w:right w:w="200" w:type="dxa"/>
            </w:tcMar>
          </w:tcPr>
          <w:p w14:paraId="62257102" w14:textId="77777777" w:rsidR="00CE0758" w:rsidRDefault="00CE0758">
            <w:pPr>
              <w:spacing w:after="80"/>
            </w:pPr>
          </w:p>
          <w:p w14:paraId="62257103" w14:textId="77777777" w:rsidR="00CE0758" w:rsidRDefault="00CE0758">
            <w:pPr>
              <w:spacing w:after="80"/>
            </w:pPr>
          </w:p>
          <w:p w14:paraId="62257104" w14:textId="77777777" w:rsidR="00CE0758" w:rsidRDefault="00CE0758"/>
        </w:tc>
      </w:tr>
    </w:tbl>
    <w:p w14:paraId="62257106" w14:textId="77777777" w:rsidR="00CE0758" w:rsidRDefault="00CE0758">
      <w:pPr>
        <w:spacing w:after="80"/>
      </w:pPr>
    </w:p>
    <w:p w14:paraId="62257107" w14:textId="77777777" w:rsidR="00CE0758" w:rsidRDefault="00000000">
      <w:pPr>
        <w:spacing w:before="200" w:after="80"/>
      </w:pPr>
      <w:r>
        <w:rPr>
          <w:rFonts w:ascii="Arial" w:eastAsia="Arial" w:hAnsi="Arial" w:cs="Arial"/>
          <w:b/>
          <w:bCs/>
          <w:color w:val="2E75B6"/>
          <w:sz w:val="22"/>
          <w:szCs w:val="22"/>
        </w:rPr>
        <w:t xml:space="preserve">3.  </w:t>
      </w:r>
      <w:r>
        <w:rPr>
          <w:rFonts w:ascii="Arial" w:eastAsia="Arial" w:hAnsi="Arial" w:cs="Arial"/>
          <w:color w:val="1A1A1A"/>
          <w:sz w:val="22"/>
          <w:szCs w:val="22"/>
        </w:rPr>
        <w:t>What does Meridian mean by 'programme fidelity', and why does the quality of implementation matter for how the programme's impact is measured and reported?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10B" w14:textId="77777777">
        <w:tblPrEx>
          <w:tblCellMar>
            <w:top w:w="0" w:type="dxa"/>
            <w:bottom w:w="0" w:type="dxa"/>
          </w:tblCellMar>
        </w:tblPrEx>
        <w:tc>
          <w:tcPr>
            <w:tcW w:w="9026" w:type="dxa"/>
            <w:tcBorders>
              <w:top w:val="single" w:sz="1" w:space="0" w:color="D9D9D9"/>
              <w:left w:val="single" w:sz="1" w:space="0" w:color="D9D9D9"/>
              <w:bottom w:val="single" w:sz="1" w:space="0" w:color="D9D9D9"/>
              <w:right w:val="single" w:sz="1" w:space="0" w:color="D9D9D9"/>
            </w:tcBorders>
            <w:shd w:val="clear" w:color="auto" w:fill="F2F2F2"/>
            <w:tcMar>
              <w:top w:w="160" w:type="dxa"/>
              <w:left w:w="200" w:type="dxa"/>
              <w:bottom w:w="160" w:type="dxa"/>
              <w:right w:w="200" w:type="dxa"/>
            </w:tcMar>
          </w:tcPr>
          <w:p w14:paraId="62257108" w14:textId="77777777" w:rsidR="00CE0758" w:rsidRDefault="00CE0758">
            <w:pPr>
              <w:spacing w:after="80"/>
            </w:pPr>
          </w:p>
          <w:p w14:paraId="62257109" w14:textId="77777777" w:rsidR="00CE0758" w:rsidRDefault="00CE0758">
            <w:pPr>
              <w:spacing w:after="80"/>
            </w:pPr>
          </w:p>
          <w:p w14:paraId="6225710A" w14:textId="77777777" w:rsidR="00CE0758" w:rsidRDefault="00CE0758"/>
        </w:tc>
      </w:tr>
    </w:tbl>
    <w:p w14:paraId="6225710C" w14:textId="77777777" w:rsidR="00CE0758" w:rsidRDefault="00CE0758">
      <w:pPr>
        <w:spacing w:after="80"/>
      </w:pPr>
    </w:p>
    <w:p w14:paraId="6225710D" w14:textId="77777777" w:rsidR="00CE0758" w:rsidRDefault="00000000">
      <w:pPr>
        <w:spacing w:before="200" w:after="80"/>
      </w:pPr>
      <w:r>
        <w:rPr>
          <w:rFonts w:ascii="Arial" w:eastAsia="Arial" w:hAnsi="Arial" w:cs="Arial"/>
          <w:b/>
          <w:bCs/>
          <w:color w:val="2E75B6"/>
          <w:sz w:val="22"/>
          <w:szCs w:val="22"/>
        </w:rPr>
        <w:t xml:space="preserve">4.  </w:t>
      </w:r>
      <w:r>
        <w:rPr>
          <w:rFonts w:ascii="Arial" w:eastAsia="Arial" w:hAnsi="Arial" w:cs="Arial"/>
          <w:color w:val="1A1A1A"/>
          <w:sz w:val="22"/>
          <w:szCs w:val="22"/>
        </w:rPr>
        <w:t xml:space="preserve">Briefly describe the cohort calibration methodology used in MPI impact </w:t>
      </w:r>
      <w:proofErr w:type="gramStart"/>
      <w:r>
        <w:rPr>
          <w:rFonts w:ascii="Arial" w:eastAsia="Arial" w:hAnsi="Arial" w:cs="Arial"/>
          <w:color w:val="1A1A1A"/>
          <w:sz w:val="22"/>
          <w:szCs w:val="22"/>
        </w:rPr>
        <w:t>analysis, and</w:t>
      </w:r>
      <w:proofErr w:type="gramEnd"/>
      <w:r>
        <w:rPr>
          <w:rFonts w:ascii="Arial" w:eastAsia="Arial" w:hAnsi="Arial" w:cs="Arial"/>
          <w:color w:val="1A1A1A"/>
          <w:sz w:val="22"/>
          <w:szCs w:val="22"/>
        </w:rPr>
        <w:t xml:space="preserve"> explain why it is necessary for producing accurate year-on-year comparisons of programme effectiveness.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111" w14:textId="77777777">
        <w:tblPrEx>
          <w:tblCellMar>
            <w:top w:w="0" w:type="dxa"/>
            <w:bottom w:w="0" w:type="dxa"/>
          </w:tblCellMar>
        </w:tblPrEx>
        <w:tc>
          <w:tcPr>
            <w:tcW w:w="9026" w:type="dxa"/>
            <w:tcBorders>
              <w:top w:val="single" w:sz="1" w:space="0" w:color="D9D9D9"/>
              <w:left w:val="single" w:sz="1" w:space="0" w:color="D9D9D9"/>
              <w:bottom w:val="single" w:sz="1" w:space="0" w:color="D9D9D9"/>
              <w:right w:val="single" w:sz="1" w:space="0" w:color="D9D9D9"/>
            </w:tcBorders>
            <w:shd w:val="clear" w:color="auto" w:fill="F2F2F2"/>
            <w:tcMar>
              <w:top w:w="160" w:type="dxa"/>
              <w:left w:w="200" w:type="dxa"/>
              <w:bottom w:w="160" w:type="dxa"/>
              <w:right w:w="200" w:type="dxa"/>
            </w:tcMar>
          </w:tcPr>
          <w:p w14:paraId="6225710E" w14:textId="77777777" w:rsidR="00CE0758" w:rsidRDefault="00CE0758">
            <w:pPr>
              <w:spacing w:after="80"/>
            </w:pPr>
          </w:p>
          <w:p w14:paraId="6225710F" w14:textId="77777777" w:rsidR="00CE0758" w:rsidRDefault="00CE0758">
            <w:pPr>
              <w:spacing w:after="80"/>
            </w:pPr>
          </w:p>
          <w:p w14:paraId="62257110" w14:textId="77777777" w:rsidR="00CE0758" w:rsidRDefault="00CE0758"/>
        </w:tc>
      </w:tr>
    </w:tbl>
    <w:p w14:paraId="62257112" w14:textId="77777777" w:rsidR="00CE0758" w:rsidRDefault="00CE0758">
      <w:pPr>
        <w:spacing w:after="80"/>
      </w:pPr>
    </w:p>
    <w:p w14:paraId="62257113" w14:textId="77777777" w:rsidR="00CE0758" w:rsidRDefault="00000000">
      <w:pPr>
        <w:spacing w:before="200" w:after="80"/>
      </w:pPr>
      <w:r>
        <w:rPr>
          <w:rFonts w:ascii="Arial" w:eastAsia="Arial" w:hAnsi="Arial" w:cs="Arial"/>
          <w:b/>
          <w:bCs/>
          <w:color w:val="2E75B6"/>
          <w:sz w:val="22"/>
          <w:szCs w:val="22"/>
        </w:rPr>
        <w:t xml:space="preserve">5.  </w:t>
      </w:r>
      <w:r>
        <w:rPr>
          <w:rFonts w:ascii="Arial" w:eastAsia="Arial" w:hAnsi="Arial" w:cs="Arial"/>
          <w:color w:val="1A1A1A"/>
          <w:sz w:val="22"/>
          <w:szCs w:val="22"/>
        </w:rPr>
        <w:t>What is a Progress Fidelity Score, what inputs contribute to its calculation, and at what threshold is a school considered to have demonstrated strong programme alignment?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117" w14:textId="77777777">
        <w:tblPrEx>
          <w:tblCellMar>
            <w:top w:w="0" w:type="dxa"/>
            <w:bottom w:w="0" w:type="dxa"/>
          </w:tblCellMar>
        </w:tblPrEx>
        <w:tc>
          <w:tcPr>
            <w:tcW w:w="9026" w:type="dxa"/>
            <w:tcBorders>
              <w:top w:val="single" w:sz="1" w:space="0" w:color="D9D9D9"/>
              <w:left w:val="single" w:sz="1" w:space="0" w:color="D9D9D9"/>
              <w:bottom w:val="single" w:sz="1" w:space="0" w:color="D9D9D9"/>
              <w:right w:val="single" w:sz="1" w:space="0" w:color="D9D9D9"/>
            </w:tcBorders>
            <w:shd w:val="clear" w:color="auto" w:fill="F2F2F2"/>
            <w:tcMar>
              <w:top w:w="160" w:type="dxa"/>
              <w:left w:w="200" w:type="dxa"/>
              <w:bottom w:w="160" w:type="dxa"/>
              <w:right w:w="200" w:type="dxa"/>
            </w:tcMar>
          </w:tcPr>
          <w:p w14:paraId="62257114" w14:textId="77777777" w:rsidR="00CE0758" w:rsidRDefault="00CE0758">
            <w:pPr>
              <w:spacing w:after="80"/>
            </w:pPr>
          </w:p>
          <w:p w14:paraId="62257115" w14:textId="77777777" w:rsidR="00CE0758" w:rsidRDefault="00CE0758">
            <w:pPr>
              <w:spacing w:after="80"/>
            </w:pPr>
          </w:p>
          <w:p w14:paraId="62257116" w14:textId="77777777" w:rsidR="00CE0758" w:rsidRDefault="00CE0758"/>
        </w:tc>
      </w:tr>
    </w:tbl>
    <w:p w14:paraId="62257118" w14:textId="77777777" w:rsidR="00CE0758" w:rsidRDefault="00CE0758">
      <w:pPr>
        <w:spacing w:after="2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0758" w14:paraId="6225711B" w14:textId="77777777">
        <w:tblPrEx>
          <w:tblCellMar>
            <w:top w:w="0" w:type="dxa"/>
            <w:bottom w:w="0" w:type="dxa"/>
          </w:tblCellMar>
        </w:tblPrEx>
        <w:tc>
          <w:tcPr>
            <w:tcW w:w="9026" w:type="dxa"/>
            <w:tcBorders>
              <w:top w:val="single" w:sz="1" w:space="0" w:color="D9D9D9"/>
              <w:left w:val="single" w:sz="1" w:space="0" w:color="D9D9D9"/>
              <w:bottom w:val="single" w:sz="1" w:space="0" w:color="D9D9D9"/>
              <w:right w:val="single" w:sz="1" w:space="0" w:color="D9D9D9"/>
            </w:tcBorders>
            <w:shd w:val="clear" w:color="auto" w:fill="F2F2F2"/>
            <w:tcMar>
              <w:top w:w="160" w:type="dxa"/>
              <w:left w:w="280" w:type="dxa"/>
              <w:bottom w:w="160" w:type="dxa"/>
              <w:right w:w="280" w:type="dxa"/>
            </w:tcMar>
          </w:tcPr>
          <w:p w14:paraId="62257119" w14:textId="77777777" w:rsidR="00CE0758" w:rsidRDefault="00000000">
            <w:pPr>
              <w:spacing w:after="80"/>
            </w:pPr>
            <w:r>
              <w:rPr>
                <w:rFonts w:ascii="Arial" w:eastAsia="Arial" w:hAnsi="Arial" w:cs="Arial"/>
                <w:b/>
                <w:bCs/>
                <w:color w:val="1A1A1A"/>
              </w:rPr>
              <w:lastRenderedPageBreak/>
              <w:t>Note on Questions 4 and 5</w:t>
            </w:r>
          </w:p>
          <w:p w14:paraId="6225711A" w14:textId="77777777" w:rsidR="00CE0758" w:rsidRDefault="00000000">
            <w:r>
              <w:rPr>
                <w:rFonts w:ascii="Arial" w:eastAsia="Arial" w:hAnsi="Arial" w:cs="Arial"/>
                <w:i/>
                <w:iCs/>
                <w:color w:val="404040"/>
              </w:rPr>
              <w:t>These questions draw on content covered in the MPI Technical Handbook, which you have been asked to read prior to Thursday's induction session. If you find you are unable to answer them from this overview document alone, that is expected and not a concern. It simply indicates that the pre-reading is worth completing before the session. Dr Hart will address both topics in detail during the induction.</w:t>
            </w:r>
          </w:p>
        </w:tc>
      </w:tr>
    </w:tbl>
    <w:p w14:paraId="6225711C" w14:textId="77777777" w:rsidR="00CE0758" w:rsidRDefault="00CE0758">
      <w:pPr>
        <w:spacing w:after="200"/>
      </w:pPr>
    </w:p>
    <w:p w14:paraId="6225711D" w14:textId="77777777" w:rsidR="00CE0758" w:rsidRDefault="00000000">
      <w:pPr>
        <w:jc w:val="center"/>
      </w:pPr>
      <w:r>
        <w:rPr>
          <w:rFonts w:ascii="Arial" w:eastAsia="Arial" w:hAnsi="Arial" w:cs="Arial"/>
          <w:i/>
          <w:iCs/>
          <w:color w:val="999999"/>
          <w:sz w:val="16"/>
          <w:szCs w:val="16"/>
        </w:rPr>
        <w:t xml:space="preserve">Meridian Education </w:t>
      </w:r>
      <w:proofErr w:type="gramStart"/>
      <w:r>
        <w:rPr>
          <w:rFonts w:ascii="Arial" w:eastAsia="Arial" w:hAnsi="Arial" w:cs="Arial"/>
          <w:i/>
          <w:iCs/>
          <w:color w:val="999999"/>
          <w:sz w:val="16"/>
          <w:szCs w:val="16"/>
        </w:rPr>
        <w:t>Group  |</w:t>
      </w:r>
      <w:proofErr w:type="gramEnd"/>
      <w:r>
        <w:rPr>
          <w:rFonts w:ascii="Arial" w:eastAsia="Arial" w:hAnsi="Arial" w:cs="Arial"/>
          <w:i/>
          <w:iCs/>
          <w:color w:val="999999"/>
          <w:sz w:val="16"/>
          <w:szCs w:val="16"/>
        </w:rPr>
        <w:t xml:space="preserve">  MPI Programme </w:t>
      </w:r>
      <w:proofErr w:type="gramStart"/>
      <w:r>
        <w:rPr>
          <w:rFonts w:ascii="Arial" w:eastAsia="Arial" w:hAnsi="Arial" w:cs="Arial"/>
          <w:i/>
          <w:iCs/>
          <w:color w:val="999999"/>
          <w:sz w:val="16"/>
          <w:szCs w:val="16"/>
        </w:rPr>
        <w:t>Overview  |</w:t>
      </w:r>
      <w:proofErr w:type="gramEnd"/>
      <w:r>
        <w:rPr>
          <w:rFonts w:ascii="Arial" w:eastAsia="Arial" w:hAnsi="Arial" w:cs="Arial"/>
          <w:i/>
          <w:iCs/>
          <w:color w:val="999999"/>
          <w:sz w:val="16"/>
          <w:szCs w:val="16"/>
        </w:rPr>
        <w:t xml:space="preserve">  Not for External </w:t>
      </w:r>
      <w:proofErr w:type="gramStart"/>
      <w:r>
        <w:rPr>
          <w:rFonts w:ascii="Arial" w:eastAsia="Arial" w:hAnsi="Arial" w:cs="Arial"/>
          <w:i/>
          <w:iCs/>
          <w:color w:val="999999"/>
          <w:sz w:val="16"/>
          <w:szCs w:val="16"/>
        </w:rPr>
        <w:t>Distribution  |</w:t>
      </w:r>
      <w:proofErr w:type="gramEnd"/>
      <w:r>
        <w:rPr>
          <w:rFonts w:ascii="Arial" w:eastAsia="Arial" w:hAnsi="Arial" w:cs="Arial"/>
          <w:i/>
          <w:iCs/>
          <w:color w:val="999999"/>
          <w:sz w:val="16"/>
          <w:szCs w:val="16"/>
        </w:rPr>
        <w:t xml:space="preserve">  Internal Use Only</w:t>
      </w:r>
    </w:p>
    <w:sectPr w:rsidR="00CE075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F7DB7"/>
    <w:multiLevelType w:val="hybridMultilevel"/>
    <w:tmpl w:val="68840B5A"/>
    <w:lvl w:ilvl="0" w:tplc="C4C69158">
      <w:start w:val="1"/>
      <w:numFmt w:val="bullet"/>
      <w:lvlText w:val="●"/>
      <w:lvlJc w:val="left"/>
      <w:pPr>
        <w:ind w:left="720" w:hanging="360"/>
      </w:pPr>
    </w:lvl>
    <w:lvl w:ilvl="1" w:tplc="616A7B3A">
      <w:start w:val="1"/>
      <w:numFmt w:val="bullet"/>
      <w:lvlText w:val="○"/>
      <w:lvlJc w:val="left"/>
      <w:pPr>
        <w:ind w:left="1440" w:hanging="360"/>
      </w:pPr>
    </w:lvl>
    <w:lvl w:ilvl="2" w:tplc="D8302936">
      <w:start w:val="1"/>
      <w:numFmt w:val="bullet"/>
      <w:lvlText w:val="■"/>
      <w:lvlJc w:val="left"/>
      <w:pPr>
        <w:ind w:left="2160" w:hanging="360"/>
      </w:pPr>
    </w:lvl>
    <w:lvl w:ilvl="3" w:tplc="52F290E8">
      <w:start w:val="1"/>
      <w:numFmt w:val="bullet"/>
      <w:lvlText w:val="●"/>
      <w:lvlJc w:val="left"/>
      <w:pPr>
        <w:ind w:left="2880" w:hanging="360"/>
      </w:pPr>
    </w:lvl>
    <w:lvl w:ilvl="4" w:tplc="8F9CE4A6">
      <w:start w:val="1"/>
      <w:numFmt w:val="bullet"/>
      <w:lvlText w:val="○"/>
      <w:lvlJc w:val="left"/>
      <w:pPr>
        <w:ind w:left="3600" w:hanging="360"/>
      </w:pPr>
    </w:lvl>
    <w:lvl w:ilvl="5" w:tplc="38F6C700">
      <w:start w:val="1"/>
      <w:numFmt w:val="bullet"/>
      <w:lvlText w:val="■"/>
      <w:lvlJc w:val="left"/>
      <w:pPr>
        <w:ind w:left="4320" w:hanging="360"/>
      </w:pPr>
    </w:lvl>
    <w:lvl w:ilvl="6" w:tplc="C7C42DF2">
      <w:start w:val="1"/>
      <w:numFmt w:val="bullet"/>
      <w:lvlText w:val="●"/>
      <w:lvlJc w:val="left"/>
      <w:pPr>
        <w:ind w:left="5040" w:hanging="360"/>
      </w:pPr>
    </w:lvl>
    <w:lvl w:ilvl="7" w:tplc="02189170">
      <w:start w:val="1"/>
      <w:numFmt w:val="bullet"/>
      <w:lvlText w:val="●"/>
      <w:lvlJc w:val="left"/>
      <w:pPr>
        <w:ind w:left="5760" w:hanging="360"/>
      </w:pPr>
    </w:lvl>
    <w:lvl w:ilvl="8" w:tplc="E132B56E">
      <w:start w:val="1"/>
      <w:numFmt w:val="bullet"/>
      <w:lvlText w:val="●"/>
      <w:lvlJc w:val="left"/>
      <w:pPr>
        <w:ind w:left="6480" w:hanging="360"/>
      </w:pPr>
    </w:lvl>
  </w:abstractNum>
  <w:abstractNum w:abstractNumId="1" w15:restartNumberingAfterBreak="0">
    <w:nsid w:val="56CC0642"/>
    <w:multiLevelType w:val="hybridMultilevel"/>
    <w:tmpl w:val="8DE0710E"/>
    <w:lvl w:ilvl="0" w:tplc="C9C2C4E6">
      <w:start w:val="1"/>
      <w:numFmt w:val="bullet"/>
      <w:lvlText w:val="–"/>
      <w:lvlJc w:val="left"/>
      <w:pPr>
        <w:ind w:left="560" w:hanging="280"/>
      </w:pPr>
      <w:rPr>
        <w:rFonts w:ascii="Arial" w:eastAsia="Arial" w:hAnsi="Arial" w:cs="Arial"/>
        <w:color w:val="2E75B6"/>
      </w:rPr>
    </w:lvl>
    <w:lvl w:ilvl="1" w:tplc="526098BA">
      <w:numFmt w:val="decimal"/>
      <w:lvlText w:val=""/>
      <w:lvlJc w:val="left"/>
    </w:lvl>
    <w:lvl w:ilvl="2" w:tplc="A37435AE">
      <w:numFmt w:val="decimal"/>
      <w:lvlText w:val=""/>
      <w:lvlJc w:val="left"/>
    </w:lvl>
    <w:lvl w:ilvl="3" w:tplc="D766DD84">
      <w:numFmt w:val="decimal"/>
      <w:lvlText w:val=""/>
      <w:lvlJc w:val="left"/>
    </w:lvl>
    <w:lvl w:ilvl="4" w:tplc="C002AB34">
      <w:numFmt w:val="decimal"/>
      <w:lvlText w:val=""/>
      <w:lvlJc w:val="left"/>
    </w:lvl>
    <w:lvl w:ilvl="5" w:tplc="65781C6C">
      <w:numFmt w:val="decimal"/>
      <w:lvlText w:val=""/>
      <w:lvlJc w:val="left"/>
    </w:lvl>
    <w:lvl w:ilvl="6" w:tplc="C430DBF0">
      <w:numFmt w:val="decimal"/>
      <w:lvlText w:val=""/>
      <w:lvlJc w:val="left"/>
    </w:lvl>
    <w:lvl w:ilvl="7" w:tplc="0BBCA9FC">
      <w:numFmt w:val="decimal"/>
      <w:lvlText w:val=""/>
      <w:lvlJc w:val="left"/>
    </w:lvl>
    <w:lvl w:ilvl="8" w:tplc="CE96C980">
      <w:numFmt w:val="decimal"/>
      <w:lvlText w:val=""/>
      <w:lvlJc w:val="left"/>
    </w:lvl>
  </w:abstractNum>
  <w:num w:numId="1" w16cid:durableId="172378488">
    <w:abstractNumId w:val="0"/>
    <w:lvlOverride w:ilvl="0">
      <w:startOverride w:val="1"/>
    </w:lvlOverride>
  </w:num>
  <w:num w:numId="2" w16cid:durableId="450049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758"/>
    <w:rsid w:val="003623CC"/>
    <w:rsid w:val="00CE0758"/>
    <w:rsid w:val="00D939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70AD"/>
  <w15:docId w15:val="{17094357-8C99-4D12-AB33-3F9D188D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efd2e8e-492d-42d4-90fb-d08326d3ddca}" enabled="0" method="" siteId="{aefd2e8e-492d-42d4-90fb-d08326d3ddc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1557</Words>
  <Characters>8877</Characters>
  <Application>Microsoft Office Word</Application>
  <DocSecurity>0</DocSecurity>
  <Lines>73</Lines>
  <Paragraphs>20</Paragraphs>
  <ScaleCrop>false</ScaleCrop>
  <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Jiang, Tom</cp:lastModifiedBy>
  <cp:revision>2</cp:revision>
  <dcterms:created xsi:type="dcterms:W3CDTF">2026-04-20T06:36:00Z</dcterms:created>
  <dcterms:modified xsi:type="dcterms:W3CDTF">2026-04-20T06:46:00Z</dcterms:modified>
</cp:coreProperties>
</file>