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8AE3" w14:textId="161A12C6" w:rsidR="00F21BF1" w:rsidRPr="0001424C" w:rsidRDefault="00F21BF1" w:rsidP="005B5032">
      <w:pPr>
        <w:pStyle w:val="Heading1"/>
        <w:rPr>
          <w:sz w:val="22"/>
          <w:szCs w:val="22"/>
        </w:rPr>
      </w:pPr>
      <w:r w:rsidRPr="005B5032">
        <w:t xml:space="preserve">HR Forms in </w:t>
      </w:r>
      <w:proofErr w:type="spellStart"/>
      <w:r w:rsidRPr="005B5032">
        <w:t>SynergyDrive</w:t>
      </w:r>
      <w:proofErr w:type="spellEnd"/>
      <w:r w:rsidRPr="005B5032">
        <w:t>:</w:t>
      </w:r>
      <w:r w:rsidRPr="00F21BF1">
        <w:rPr>
          <w:sz w:val="22"/>
          <w:szCs w:val="22"/>
        </w:rPr>
        <w:br/>
      </w:r>
      <w:r w:rsidRPr="0001424C">
        <w:rPr>
          <w:rStyle w:val="Heading2Char"/>
        </w:rPr>
        <w:t>Section 1: Personal Details</w:t>
      </w:r>
    </w:p>
    <w:p w14:paraId="50DB17D5" w14:textId="6DA88961" w:rsidR="00F21BF1" w:rsidRPr="0001424C" w:rsidRDefault="00F21BF1" w:rsidP="00F21BF1">
      <w:pPr>
        <w:numPr>
          <w:ilvl w:val="0"/>
          <w:numId w:val="1"/>
        </w:numPr>
        <w:spacing w:before="80" w:after="80"/>
        <w:rPr>
          <w:sz w:val="22"/>
          <w:szCs w:val="22"/>
        </w:rPr>
      </w:pPr>
      <w:r w:rsidRPr="0001424C">
        <w:rPr>
          <w:sz w:val="22"/>
          <w:szCs w:val="22"/>
        </w:rPr>
        <w:t>Full legal name (pre-filled with a ChatGPT-style placeholder like “New Team Member”)</w:t>
      </w:r>
    </w:p>
    <w:p w14:paraId="002E1967" w14:textId="77777777" w:rsidR="00F21BF1" w:rsidRPr="0001424C" w:rsidRDefault="00F21BF1" w:rsidP="00F21BF1">
      <w:pPr>
        <w:numPr>
          <w:ilvl w:val="0"/>
          <w:numId w:val="1"/>
        </w:numPr>
        <w:spacing w:before="80" w:after="80"/>
        <w:rPr>
          <w:sz w:val="22"/>
          <w:szCs w:val="22"/>
        </w:rPr>
      </w:pPr>
      <w:r w:rsidRPr="0001424C">
        <w:rPr>
          <w:sz w:val="22"/>
          <w:szCs w:val="22"/>
        </w:rPr>
        <w:t xml:space="preserve">Preferred name / “How would you like to be addressed in Flack and team communications?” (dropdown includes “Thriving Colleague </w:t>
      </w:r>
      <w:r w:rsidRPr="0001424C">
        <w:rPr>
          <w:rFonts w:ascii="Segoe UI Emoji" w:hAnsi="Segoe UI Emoji" w:cs="Segoe UI Emoji"/>
          <w:sz w:val="22"/>
          <w:szCs w:val="22"/>
        </w:rPr>
        <w:t>🚀</w:t>
      </w:r>
      <w:r w:rsidRPr="0001424C">
        <w:rPr>
          <w:sz w:val="22"/>
          <w:szCs w:val="22"/>
        </w:rPr>
        <w:t>” and “Valued Contributor”)</w:t>
      </w:r>
    </w:p>
    <w:p w14:paraId="039141CA" w14:textId="77777777" w:rsidR="00F21BF1" w:rsidRPr="0001424C" w:rsidRDefault="00F21BF1" w:rsidP="00F21BF1">
      <w:pPr>
        <w:numPr>
          <w:ilvl w:val="0"/>
          <w:numId w:val="1"/>
        </w:numPr>
        <w:spacing w:before="80" w:after="80"/>
        <w:rPr>
          <w:sz w:val="22"/>
          <w:szCs w:val="22"/>
        </w:rPr>
      </w:pPr>
      <w:r w:rsidRPr="0001424C">
        <w:rPr>
          <w:sz w:val="22"/>
          <w:szCs w:val="22"/>
        </w:rPr>
        <w:t>Date of birth, home address, postcode, phone, personal email</w:t>
      </w:r>
    </w:p>
    <w:p w14:paraId="76958CCA" w14:textId="77777777" w:rsidR="00F21BF1" w:rsidRPr="0001424C" w:rsidRDefault="00F21BF1" w:rsidP="00F21BF1">
      <w:pPr>
        <w:numPr>
          <w:ilvl w:val="0"/>
          <w:numId w:val="1"/>
        </w:numPr>
        <w:spacing w:before="80" w:after="80"/>
        <w:rPr>
          <w:sz w:val="22"/>
          <w:szCs w:val="22"/>
        </w:rPr>
      </w:pPr>
      <w:r w:rsidRPr="0001424C">
        <w:rPr>
          <w:sz w:val="22"/>
          <w:szCs w:val="22"/>
        </w:rPr>
        <w:t>National Insurance number (field accepts anything but Nathaniel may later chase if left blank)</w:t>
      </w:r>
    </w:p>
    <w:p w14:paraId="0EF9F7E0" w14:textId="77777777" w:rsidR="00EE5570" w:rsidRDefault="00F21BF1" w:rsidP="00EE5570">
      <w:pPr>
        <w:pStyle w:val="Heading2"/>
      </w:pPr>
      <w:r w:rsidRPr="0001424C">
        <w:t>Section 2: Payroll &amp; Tax (HMRC Starter Checklist elements, Meridian-flavoured)</w:t>
      </w:r>
    </w:p>
    <w:p w14:paraId="6247289D" w14:textId="367EAC90" w:rsidR="00F21BF1" w:rsidRPr="0001424C" w:rsidRDefault="00F21BF1" w:rsidP="00F21BF1">
      <w:pPr>
        <w:spacing w:before="80" w:after="80"/>
        <w:rPr>
          <w:sz w:val="22"/>
          <w:szCs w:val="22"/>
        </w:rPr>
      </w:pPr>
      <w:r w:rsidRPr="0001424C">
        <w:rPr>
          <w:sz w:val="22"/>
          <w:szCs w:val="22"/>
        </w:rPr>
        <w:t>The form includes the three classic statements</w:t>
      </w:r>
      <w:r w:rsidR="00EE5570">
        <w:rPr>
          <w:sz w:val="22"/>
          <w:szCs w:val="22"/>
        </w:rPr>
        <w:t xml:space="preserve"> that the user can choose from</w:t>
      </w:r>
      <w:r w:rsidRPr="0001424C">
        <w:rPr>
          <w:sz w:val="22"/>
          <w:szCs w:val="22"/>
        </w:rPr>
        <w:t>, but with slightly reworded, over-enthusiastic explanations:</w:t>
      </w:r>
    </w:p>
    <w:p w14:paraId="5EEDF310" w14:textId="77777777" w:rsidR="00F21BF1" w:rsidRPr="0001424C" w:rsidRDefault="00F21BF1" w:rsidP="00F21BF1">
      <w:pPr>
        <w:numPr>
          <w:ilvl w:val="0"/>
          <w:numId w:val="2"/>
        </w:numPr>
        <w:spacing w:before="80" w:after="80"/>
        <w:rPr>
          <w:sz w:val="22"/>
          <w:szCs w:val="22"/>
        </w:rPr>
      </w:pPr>
      <w:r w:rsidRPr="0001424C">
        <w:rPr>
          <w:b/>
          <w:bCs/>
          <w:sz w:val="22"/>
          <w:szCs w:val="22"/>
        </w:rPr>
        <w:t>Statement A</w:t>
      </w:r>
      <w:r w:rsidRPr="0001424C">
        <w:rPr>
          <w:sz w:val="22"/>
          <w:szCs w:val="22"/>
        </w:rPr>
        <w:t>: “This is my first job since 6 April and I have not received any of the following: Jobseeker’s Allowance, Employment and Support Allowance, Incapacity Benefit, or any other payments that might complicate our evidence-led approach.”</w:t>
      </w:r>
    </w:p>
    <w:p w14:paraId="69929975" w14:textId="77777777" w:rsidR="00F21BF1" w:rsidRPr="0001424C" w:rsidRDefault="00F21BF1" w:rsidP="00F21BF1">
      <w:pPr>
        <w:numPr>
          <w:ilvl w:val="0"/>
          <w:numId w:val="2"/>
        </w:numPr>
        <w:spacing w:before="80" w:after="80"/>
        <w:rPr>
          <w:sz w:val="22"/>
          <w:szCs w:val="22"/>
        </w:rPr>
      </w:pPr>
      <w:r w:rsidRPr="0001424C">
        <w:rPr>
          <w:b/>
          <w:bCs/>
          <w:sz w:val="22"/>
          <w:szCs w:val="22"/>
        </w:rPr>
        <w:t>Statement B</w:t>
      </w:r>
      <w:r w:rsidRPr="0001424C">
        <w:rPr>
          <w:sz w:val="22"/>
          <w:szCs w:val="22"/>
        </w:rPr>
        <w:t>: “I have had another job or received benefits since 6 April but do not have a P45. I understand Meridian will apply the appropriate tax code while we optimise my contribution.”</w:t>
      </w:r>
    </w:p>
    <w:p w14:paraId="381605E1" w14:textId="77777777" w:rsidR="00F21BF1" w:rsidRPr="0001424C" w:rsidRDefault="00F21BF1" w:rsidP="00F21BF1">
      <w:pPr>
        <w:numPr>
          <w:ilvl w:val="0"/>
          <w:numId w:val="2"/>
        </w:numPr>
        <w:spacing w:before="80" w:after="80"/>
        <w:rPr>
          <w:sz w:val="22"/>
          <w:szCs w:val="22"/>
        </w:rPr>
      </w:pPr>
      <w:r w:rsidRPr="0001424C">
        <w:rPr>
          <w:b/>
          <w:bCs/>
          <w:sz w:val="22"/>
          <w:szCs w:val="22"/>
        </w:rPr>
        <w:t>Statement C</w:t>
      </w:r>
      <w:r w:rsidRPr="0001424C">
        <w:rPr>
          <w:sz w:val="22"/>
          <w:szCs w:val="22"/>
        </w:rPr>
        <w:t>: “I have another job and/or receive a state, workplace or private pension. Please apply tax code BR so we can maintain forward momentum on payroll.”</w:t>
      </w:r>
    </w:p>
    <w:p w14:paraId="3FEC638D" w14:textId="77777777" w:rsidR="00F21BF1" w:rsidRPr="0001424C" w:rsidRDefault="00F21BF1" w:rsidP="00F21BF1">
      <w:pPr>
        <w:spacing w:before="80" w:after="80"/>
        <w:rPr>
          <w:sz w:val="22"/>
          <w:szCs w:val="22"/>
        </w:rPr>
      </w:pPr>
      <w:r w:rsidRPr="0001424C">
        <w:rPr>
          <w:sz w:val="22"/>
          <w:szCs w:val="22"/>
        </w:rPr>
        <w:t>Student / postgraduate loan questions follow, with an extra checkbox: “I confirm I am not receiving any surfing-related sponsorship income this tax year” (harmless Nathaniel Easter egg — ticks by default).</w:t>
      </w:r>
    </w:p>
    <w:p w14:paraId="6AB3F7C1" w14:textId="77777777" w:rsidR="00F21BF1" w:rsidRPr="0001424C" w:rsidRDefault="00F21BF1" w:rsidP="00EE5570">
      <w:pPr>
        <w:pStyle w:val="Heading2"/>
      </w:pPr>
      <w:r w:rsidRPr="0001424C">
        <w:t>Section 3: Bank Details</w:t>
      </w:r>
    </w:p>
    <w:p w14:paraId="153497A9" w14:textId="77777777" w:rsidR="00F21BF1" w:rsidRDefault="00F21BF1" w:rsidP="00F21BF1">
      <w:pPr>
        <w:numPr>
          <w:ilvl w:val="0"/>
          <w:numId w:val="3"/>
        </w:numPr>
        <w:spacing w:before="80" w:after="80"/>
        <w:rPr>
          <w:sz w:val="22"/>
          <w:szCs w:val="22"/>
        </w:rPr>
      </w:pPr>
      <w:r w:rsidRPr="0001424C">
        <w:rPr>
          <w:sz w:val="22"/>
          <w:szCs w:val="22"/>
        </w:rPr>
        <w:t>Bank name, sort code (must be exactly 6 digits, no dashes), account number, account holder name</w:t>
      </w:r>
    </w:p>
    <w:p w14:paraId="3136C3C9" w14:textId="3F0F0046" w:rsidR="00EE5570" w:rsidRPr="0001424C" w:rsidRDefault="00EE5570" w:rsidP="00F21BF1">
      <w:pPr>
        <w:numPr>
          <w:ilvl w:val="0"/>
          <w:numId w:val="3"/>
        </w:numPr>
        <w:spacing w:before="80" w:after="80"/>
        <w:rPr>
          <w:sz w:val="22"/>
          <w:szCs w:val="22"/>
        </w:rPr>
      </w:pPr>
      <w:r>
        <w:rPr>
          <w:sz w:val="22"/>
          <w:szCs w:val="22"/>
        </w:rPr>
        <w:t>The Bank account number must be validated to be a real account number using the real mathematical procedures actual bank account numbers use.</w:t>
      </w:r>
    </w:p>
    <w:p w14:paraId="1DAADB21" w14:textId="77777777" w:rsidR="00F21BF1" w:rsidRPr="0001424C" w:rsidRDefault="00F21BF1" w:rsidP="00F21BF1">
      <w:pPr>
        <w:numPr>
          <w:ilvl w:val="0"/>
          <w:numId w:val="3"/>
        </w:numPr>
        <w:spacing w:before="80" w:after="80"/>
        <w:rPr>
          <w:sz w:val="22"/>
          <w:szCs w:val="22"/>
        </w:rPr>
      </w:pPr>
      <w:r w:rsidRPr="0001424C">
        <w:rPr>
          <w:sz w:val="22"/>
          <w:szCs w:val="22"/>
        </w:rPr>
        <w:t xml:space="preserve">One field has a red asterisk but no explanation; entering anything triggers a brief “Validating with </w:t>
      </w:r>
      <w:proofErr w:type="spellStart"/>
      <w:r w:rsidRPr="0001424C">
        <w:rPr>
          <w:sz w:val="22"/>
          <w:szCs w:val="22"/>
        </w:rPr>
        <w:t>SynergyDrive</w:t>
      </w:r>
      <w:proofErr w:type="spellEnd"/>
      <w:r w:rsidRPr="0001424C">
        <w:rPr>
          <w:sz w:val="22"/>
          <w:szCs w:val="22"/>
        </w:rPr>
        <w:t>…” spinner that does nothing.</w:t>
      </w:r>
    </w:p>
    <w:p w14:paraId="3EA54553" w14:textId="77777777" w:rsidR="00F21BF1" w:rsidRPr="0001424C" w:rsidRDefault="00F21BF1" w:rsidP="00EE5570">
      <w:pPr>
        <w:pStyle w:val="Heading2"/>
      </w:pPr>
      <w:r w:rsidRPr="0001424C">
        <w:t>Section 4: Emergency Contact &amp; Meridian Wellness</w:t>
      </w:r>
    </w:p>
    <w:p w14:paraId="65614DCD" w14:textId="77777777" w:rsidR="00F21BF1" w:rsidRDefault="00F21BF1" w:rsidP="00F21BF1">
      <w:pPr>
        <w:numPr>
          <w:ilvl w:val="0"/>
          <w:numId w:val="4"/>
        </w:numPr>
        <w:spacing w:before="80" w:after="80"/>
        <w:rPr>
          <w:sz w:val="22"/>
          <w:szCs w:val="22"/>
        </w:rPr>
      </w:pPr>
      <w:r w:rsidRPr="0001424C">
        <w:rPr>
          <w:sz w:val="22"/>
          <w:szCs w:val="22"/>
        </w:rPr>
        <w:t>Name, relationship, phone, address of next of kin</w:t>
      </w:r>
    </w:p>
    <w:p w14:paraId="20C5030B" w14:textId="1434E46F" w:rsidR="00EE5570" w:rsidRPr="0001424C" w:rsidRDefault="00EE5570" w:rsidP="00F21BF1">
      <w:pPr>
        <w:numPr>
          <w:ilvl w:val="0"/>
          <w:numId w:val="4"/>
        </w:numPr>
        <w:spacing w:before="80" w:after="80"/>
        <w:rPr>
          <w:sz w:val="22"/>
          <w:szCs w:val="22"/>
        </w:rPr>
      </w:pPr>
      <w:r>
        <w:rPr>
          <w:sz w:val="22"/>
          <w:szCs w:val="22"/>
        </w:rPr>
        <w:t>Again, phone numbers must be validated to be a valid phone number style.</w:t>
      </w:r>
    </w:p>
    <w:p w14:paraId="60F2AAB4" w14:textId="2A04BDFA" w:rsidR="00F21BF1" w:rsidRPr="0001424C" w:rsidRDefault="00F21BF1" w:rsidP="00F21BF1">
      <w:pPr>
        <w:numPr>
          <w:ilvl w:val="0"/>
          <w:numId w:val="4"/>
        </w:numPr>
        <w:spacing w:before="80" w:after="80"/>
        <w:rPr>
          <w:sz w:val="22"/>
          <w:szCs w:val="22"/>
        </w:rPr>
      </w:pPr>
      <w:r w:rsidRPr="0001424C">
        <w:rPr>
          <w:sz w:val="22"/>
          <w:szCs w:val="22"/>
        </w:rPr>
        <w:t>Additional field: “Is this person also aware of your sustainability commitments?” (mandatory checkbox</w:t>
      </w:r>
      <w:r w:rsidR="00EE5570">
        <w:rPr>
          <w:sz w:val="22"/>
          <w:szCs w:val="22"/>
        </w:rPr>
        <w:t xml:space="preserve"> – fails if </w:t>
      </w:r>
      <w:r w:rsidR="004A7873">
        <w:rPr>
          <w:sz w:val="22"/>
          <w:szCs w:val="22"/>
        </w:rPr>
        <w:t>not checked, and starts unchecked</w:t>
      </w:r>
      <w:r w:rsidRPr="0001424C">
        <w:rPr>
          <w:sz w:val="22"/>
          <w:szCs w:val="22"/>
        </w:rPr>
        <w:t>)</w:t>
      </w:r>
    </w:p>
    <w:p w14:paraId="588BB78C" w14:textId="77777777" w:rsidR="00F21BF1" w:rsidRPr="0001424C" w:rsidRDefault="00F21BF1" w:rsidP="004A7873">
      <w:pPr>
        <w:pStyle w:val="Heading2"/>
      </w:pPr>
      <w:r w:rsidRPr="0001424C">
        <w:lastRenderedPageBreak/>
        <w:t>Section 5: Meridian-Specific Acknowledgements (the fun part)</w:t>
      </w:r>
    </w:p>
    <w:p w14:paraId="030D4EE1" w14:textId="03DB70E4" w:rsidR="00F21BF1" w:rsidRPr="0001424C" w:rsidRDefault="00F21BF1" w:rsidP="00F21BF1">
      <w:pPr>
        <w:numPr>
          <w:ilvl w:val="0"/>
          <w:numId w:val="5"/>
        </w:numPr>
        <w:spacing w:before="80" w:after="80"/>
        <w:rPr>
          <w:sz w:val="22"/>
          <w:szCs w:val="22"/>
        </w:rPr>
      </w:pPr>
      <w:r w:rsidRPr="0001424C">
        <w:rPr>
          <w:sz w:val="22"/>
          <w:szCs w:val="22"/>
        </w:rPr>
        <w:t>“I agree to factor climate and sustainability considerations into all deliverables where practical.” (checkbox — ties into Nathaniel’s later “climate related bombshell” messages</w:t>
      </w:r>
      <w:r w:rsidR="004A7873">
        <w:rPr>
          <w:sz w:val="22"/>
          <w:szCs w:val="22"/>
        </w:rPr>
        <w:t>, again fails if not checked and beings unchecked as default</w:t>
      </w:r>
      <w:r w:rsidRPr="0001424C">
        <w:rPr>
          <w:sz w:val="22"/>
          <w:szCs w:val="22"/>
        </w:rPr>
        <w:t>)</w:t>
      </w:r>
    </w:p>
    <w:p w14:paraId="3097B91F" w14:textId="77777777" w:rsidR="00F21BF1" w:rsidRPr="0001424C" w:rsidRDefault="00F21BF1" w:rsidP="00F21BF1">
      <w:pPr>
        <w:numPr>
          <w:ilvl w:val="0"/>
          <w:numId w:val="5"/>
        </w:numPr>
        <w:spacing w:before="80" w:after="80"/>
        <w:rPr>
          <w:sz w:val="22"/>
          <w:szCs w:val="22"/>
        </w:rPr>
      </w:pPr>
      <w:r w:rsidRPr="0001424C">
        <w:rPr>
          <w:sz w:val="22"/>
          <w:szCs w:val="22"/>
        </w:rPr>
        <w:t>“I have read and understood the company values: Transforming Outcomes Through Evidence-Led Practice” (links to a 404 page)</w:t>
      </w:r>
    </w:p>
    <w:p w14:paraId="47A5BA9F" w14:textId="77777777" w:rsidR="00F21BF1" w:rsidRPr="0001424C" w:rsidRDefault="00F21BF1" w:rsidP="00F21BF1">
      <w:pPr>
        <w:numPr>
          <w:ilvl w:val="0"/>
          <w:numId w:val="5"/>
        </w:numPr>
        <w:spacing w:before="80" w:after="80"/>
        <w:rPr>
          <w:sz w:val="22"/>
          <w:szCs w:val="22"/>
        </w:rPr>
      </w:pPr>
      <w:r w:rsidRPr="0001424C">
        <w:rPr>
          <w:sz w:val="22"/>
          <w:szCs w:val="22"/>
        </w:rPr>
        <w:t>“Preferred pronouns / communication style” (open text field — leaving it blank is accepted but Harry may comment with a GIF)</w:t>
      </w:r>
    </w:p>
    <w:p w14:paraId="3BF546DF" w14:textId="77777777" w:rsidR="00F21BF1" w:rsidRPr="0001424C" w:rsidRDefault="00F21BF1" w:rsidP="00F21BF1">
      <w:pPr>
        <w:numPr>
          <w:ilvl w:val="0"/>
          <w:numId w:val="5"/>
        </w:numPr>
        <w:spacing w:before="80" w:after="80"/>
        <w:rPr>
          <w:sz w:val="22"/>
          <w:szCs w:val="22"/>
        </w:rPr>
      </w:pPr>
      <w:r w:rsidRPr="0001424C">
        <w:rPr>
          <w:sz w:val="22"/>
          <w:szCs w:val="22"/>
        </w:rPr>
        <w:t>“I confirm I will engage positively with Paul’s induction reading list” (checkbox — appears even though the player hasn’t seen it yet)</w:t>
      </w:r>
    </w:p>
    <w:p w14:paraId="4BAC9C12" w14:textId="77777777" w:rsidR="00F21BF1" w:rsidRPr="0001424C" w:rsidRDefault="00F21BF1" w:rsidP="004A7873">
      <w:pPr>
        <w:pStyle w:val="Heading2"/>
      </w:pPr>
      <w:r w:rsidRPr="0001424C">
        <w:t>Section 6: Declaration &amp; Signature</w:t>
      </w:r>
    </w:p>
    <w:p w14:paraId="37EC4E2F" w14:textId="77777777" w:rsidR="00F21BF1" w:rsidRPr="0001424C" w:rsidRDefault="00F21BF1" w:rsidP="00F21BF1">
      <w:pPr>
        <w:numPr>
          <w:ilvl w:val="0"/>
          <w:numId w:val="6"/>
        </w:numPr>
        <w:spacing w:before="80" w:after="80"/>
        <w:rPr>
          <w:sz w:val="22"/>
          <w:szCs w:val="22"/>
        </w:rPr>
      </w:pPr>
      <w:r w:rsidRPr="0001424C">
        <w:rPr>
          <w:sz w:val="22"/>
          <w:szCs w:val="22"/>
        </w:rPr>
        <w:t>Checkbox: “I declare that the above information is accurate to the best of my knowledge and will support Meridian in delivering impactful outcomes.”</w:t>
      </w:r>
    </w:p>
    <w:p w14:paraId="7F802D46" w14:textId="2C760AC5" w:rsidR="00F21BF1" w:rsidRPr="0001424C" w:rsidRDefault="00F21BF1" w:rsidP="00F21BF1">
      <w:pPr>
        <w:numPr>
          <w:ilvl w:val="0"/>
          <w:numId w:val="6"/>
        </w:numPr>
        <w:spacing w:before="80" w:after="80"/>
        <w:rPr>
          <w:sz w:val="22"/>
          <w:szCs w:val="22"/>
        </w:rPr>
      </w:pPr>
      <w:r w:rsidRPr="0001424C">
        <w:rPr>
          <w:sz w:val="22"/>
          <w:szCs w:val="22"/>
        </w:rPr>
        <w:t>Mouse-drawn signature box (the line occasionally disappears mid-draw; the form complains “Signature too faint — please try again” twice before accepting any squiggle</w:t>
      </w:r>
      <w:r w:rsidR="00F3074C">
        <w:rPr>
          <w:sz w:val="22"/>
          <w:szCs w:val="22"/>
        </w:rPr>
        <w:t>. This is predictable – no actual too faint system will be implemented, it just needs the reset button to be pressed twice, for the signature to pass</w:t>
      </w:r>
      <w:r w:rsidRPr="0001424C">
        <w:rPr>
          <w:sz w:val="22"/>
          <w:szCs w:val="22"/>
        </w:rPr>
        <w:t>)</w:t>
      </w:r>
    </w:p>
    <w:p w14:paraId="7355CC37" w14:textId="77FEBFAA" w:rsidR="00F21BF1" w:rsidRPr="0001424C" w:rsidRDefault="00F3074C" w:rsidP="00F21BF1">
      <w:pPr>
        <w:numPr>
          <w:ilvl w:val="0"/>
          <w:numId w:val="6"/>
        </w:numPr>
        <w:spacing w:before="80" w:after="80"/>
        <w:rPr>
          <w:sz w:val="22"/>
          <w:szCs w:val="22"/>
        </w:rPr>
      </w:pPr>
      <w:r>
        <w:rPr>
          <w:sz w:val="22"/>
          <w:szCs w:val="22"/>
        </w:rPr>
        <w:t>Manual</w:t>
      </w:r>
      <w:r w:rsidR="00F21BF1" w:rsidRPr="0001424C">
        <w:rPr>
          <w:sz w:val="22"/>
          <w:szCs w:val="22"/>
        </w:rPr>
        <w:t xml:space="preserve"> date/time stamp (in American format </w:t>
      </w:r>
      <w:r>
        <w:rPr>
          <w:sz w:val="22"/>
          <w:szCs w:val="22"/>
        </w:rPr>
        <w:t>so it’ll auto-decline until formatted properly in the American way</w:t>
      </w:r>
      <w:r w:rsidR="00F21BF1" w:rsidRPr="0001424C">
        <w:rPr>
          <w:sz w:val="22"/>
          <w:szCs w:val="22"/>
        </w:rPr>
        <w:t>)</w:t>
      </w:r>
    </w:p>
    <w:p w14:paraId="3D884880" w14:textId="48574170" w:rsidR="00F21BF1" w:rsidRDefault="00F21BF1" w:rsidP="00F21BF1">
      <w:pPr>
        <w:spacing w:before="80" w:after="80"/>
        <w:rPr>
          <w:sz w:val="22"/>
          <w:szCs w:val="22"/>
        </w:rPr>
      </w:pPr>
      <w:r w:rsidRPr="0001424C">
        <w:rPr>
          <w:b/>
          <w:bCs/>
          <w:sz w:val="22"/>
          <w:szCs w:val="22"/>
        </w:rPr>
        <w:t>Submission</w:t>
      </w:r>
      <w:r w:rsidRPr="0001424C">
        <w:rPr>
          <w:sz w:val="22"/>
          <w:szCs w:val="22"/>
        </w:rPr>
        <w:t xml:space="preserve"> Clicking “Submit to HR” produces: “Form received. Thank you! Cascading upwards for approval </w:t>
      </w:r>
      <w:r w:rsidRPr="0001424C">
        <w:rPr>
          <w:rFonts w:ascii="Segoe UI Emoji" w:hAnsi="Segoe UI Emoji" w:cs="Segoe UI Emoji"/>
          <w:sz w:val="22"/>
          <w:szCs w:val="22"/>
        </w:rPr>
        <w:t>🌱📈</w:t>
      </w:r>
      <w:r w:rsidRPr="0001424C">
        <w:rPr>
          <w:sz w:val="22"/>
          <w:szCs w:val="22"/>
        </w:rPr>
        <w:t>”</w:t>
      </w:r>
    </w:p>
    <w:p w14:paraId="775CBB58" w14:textId="26CF1677" w:rsidR="00F3074C" w:rsidRPr="0001424C" w:rsidRDefault="00F3074C" w:rsidP="00F21BF1">
      <w:pPr>
        <w:spacing w:before="80" w:after="80"/>
        <w:rPr>
          <w:sz w:val="22"/>
          <w:szCs w:val="22"/>
        </w:rPr>
      </w:pPr>
      <w:r>
        <w:rPr>
          <w:sz w:val="22"/>
          <w:szCs w:val="22"/>
        </w:rPr>
        <w:t>If any of these checkboxes or textboxes are not filled in, Nathaniel replies with an angry text message, and the already mostly completed form is NOT saved, and the user must restart.</w:t>
      </w:r>
    </w:p>
    <w:p w14:paraId="64BE1F92" w14:textId="0A556F5B" w:rsidR="002D5D76" w:rsidRDefault="002D5D76">
      <w:pPr>
        <w:spacing w:after="160" w:line="278" w:lineRule="auto"/>
      </w:pPr>
      <w:r>
        <w:br w:type="page"/>
      </w:r>
    </w:p>
    <w:p w14:paraId="0A9DB3CE" w14:textId="77777777" w:rsidR="002D5D76" w:rsidRDefault="002D5D76" w:rsidP="002D5D76">
      <w:pPr>
        <w:spacing w:before="40" w:after="40"/>
      </w:pPr>
    </w:p>
    <w:p w14:paraId="6CCE06CB" w14:textId="77777777" w:rsidR="002D5D76" w:rsidRDefault="002D5D76" w:rsidP="002D5D76">
      <w:pPr>
        <w:spacing w:before="40" w:after="40"/>
      </w:pPr>
    </w:p>
    <w:p w14:paraId="13F5181A" w14:textId="77777777" w:rsidR="002D5D76" w:rsidRDefault="002D5D76" w:rsidP="002D5D76">
      <w:pPr>
        <w:spacing w:before="40" w:after="40"/>
      </w:pPr>
    </w:p>
    <w:p w14:paraId="2136CCCA" w14:textId="77777777" w:rsidR="002D5D76" w:rsidRDefault="002D5D76" w:rsidP="002D5D76">
      <w:pPr>
        <w:spacing w:before="40" w:after="40"/>
      </w:pPr>
    </w:p>
    <w:p w14:paraId="6D3FBBC8" w14:textId="77777777" w:rsidR="002D5D76" w:rsidRDefault="002D5D76" w:rsidP="002D5D76">
      <w:pPr>
        <w:spacing w:before="40" w:after="40"/>
      </w:pPr>
    </w:p>
    <w:p w14:paraId="3395F5F7" w14:textId="77777777" w:rsidR="002D5D76" w:rsidRDefault="002D5D76" w:rsidP="002D5D76">
      <w:pPr>
        <w:spacing w:before="40" w:after="40"/>
      </w:pPr>
    </w:p>
    <w:p w14:paraId="6053EAC2" w14:textId="77777777" w:rsidR="002D5D76" w:rsidRDefault="002D5D76" w:rsidP="002D5D76">
      <w:pPr>
        <w:spacing w:before="40" w:after="40"/>
      </w:pPr>
    </w:p>
    <w:p w14:paraId="613965FB" w14:textId="77777777" w:rsidR="002D5D76" w:rsidRDefault="002D5D76" w:rsidP="002D5D76">
      <w:pPr>
        <w:spacing w:before="40" w:after="40"/>
      </w:pPr>
    </w:p>
    <w:p w14:paraId="0B971561" w14:textId="77777777" w:rsidR="002D5D76" w:rsidRDefault="002D5D76" w:rsidP="002D5D76">
      <w:pPr>
        <w:spacing w:before="40" w:after="40"/>
      </w:pPr>
    </w:p>
    <w:p w14:paraId="4FBEF403" w14:textId="77777777" w:rsidR="002D5D76" w:rsidRDefault="002D5D76" w:rsidP="002D5D76">
      <w:pPr>
        <w:spacing w:before="40" w:after="40"/>
      </w:pPr>
    </w:p>
    <w:p w14:paraId="6A9A3898" w14:textId="77777777" w:rsidR="002D5D76" w:rsidRDefault="002D5D76" w:rsidP="002D5D76">
      <w:pPr>
        <w:spacing w:after="80"/>
        <w:jc w:val="center"/>
      </w:pPr>
      <w:r>
        <w:rPr>
          <w:b/>
          <w:bCs/>
          <w:color w:val="1B2631"/>
          <w:sz w:val="28"/>
          <w:szCs w:val="28"/>
        </w:rPr>
        <w:t>MERIDIAN EDUCATION GROUP</w:t>
      </w:r>
    </w:p>
    <w:p w14:paraId="397A20FF" w14:textId="77777777" w:rsidR="002D5D76" w:rsidRDefault="002D5D76" w:rsidP="002D5D76">
      <w:pPr>
        <w:spacing w:after="200"/>
        <w:jc w:val="center"/>
      </w:pPr>
      <w:r>
        <w:rPr>
          <w:b/>
          <w:bCs/>
          <w:color w:val="1B2631"/>
          <w:sz w:val="48"/>
          <w:szCs w:val="48"/>
        </w:rPr>
        <w:t>MPI Technical Handbook</w:t>
      </w:r>
    </w:p>
    <w:p w14:paraId="1D50A131" w14:textId="77777777" w:rsidR="002D5D76" w:rsidRDefault="002D5D76" w:rsidP="002D5D76">
      <w:pPr>
        <w:spacing w:after="80"/>
        <w:jc w:val="center"/>
      </w:pPr>
      <w:r>
        <w:rPr>
          <w:i/>
          <w:iCs/>
          <w:color w:val="555555"/>
          <w:sz w:val="22"/>
          <w:szCs w:val="22"/>
        </w:rPr>
        <w:t>Meridian Progress Index — Methodology, Evidence &amp; Implementation</w:t>
      </w:r>
    </w:p>
    <w:p w14:paraId="3944A460" w14:textId="77777777" w:rsidR="002D5D76" w:rsidRDefault="002D5D76" w:rsidP="002D5D76">
      <w:pPr>
        <w:spacing w:before="40" w:after="40"/>
      </w:pPr>
    </w:p>
    <w:p w14:paraId="1962CCF8" w14:textId="77777777" w:rsidR="002D5D76" w:rsidRDefault="002D5D76" w:rsidP="002D5D76">
      <w:pPr>
        <w:spacing w:before="40" w:after="40"/>
      </w:pPr>
    </w:p>
    <w:p w14:paraId="7E5E149D" w14:textId="77777777" w:rsidR="002D5D76" w:rsidRDefault="002D5D76" w:rsidP="002D5D76">
      <w:pPr>
        <w:spacing w:after="60"/>
        <w:jc w:val="center"/>
      </w:pPr>
      <w:r>
        <w:rPr>
          <w:color w:val="888888"/>
        </w:rPr>
        <w:t xml:space="preserve">Edition </w:t>
      </w:r>
      <w:proofErr w:type="gramStart"/>
      <w:r>
        <w:rPr>
          <w:color w:val="888888"/>
        </w:rPr>
        <w:t>4.2  |</w:t>
      </w:r>
      <w:proofErr w:type="gramEnd"/>
      <w:r>
        <w:rPr>
          <w:color w:val="888888"/>
        </w:rPr>
        <w:t xml:space="preserve">  Internal Reference Document</w:t>
      </w:r>
    </w:p>
    <w:p w14:paraId="7A49D905" w14:textId="77777777" w:rsidR="002D5D76" w:rsidRDefault="002D5D76" w:rsidP="002D5D76">
      <w:pPr>
        <w:spacing w:after="60"/>
        <w:jc w:val="center"/>
      </w:pPr>
      <w:r>
        <w:rPr>
          <w:color w:val="888888"/>
        </w:rPr>
        <w:t>Outcomes &amp; Impact Division</w:t>
      </w:r>
    </w:p>
    <w:p w14:paraId="7E179D1C" w14:textId="77777777" w:rsidR="002D5D76" w:rsidRDefault="002D5D76" w:rsidP="002D5D76">
      <w:pPr>
        <w:spacing w:after="60"/>
        <w:jc w:val="center"/>
      </w:pPr>
      <w:r>
        <w:rPr>
          <w:b/>
          <w:bCs/>
          <w:color w:val="922B21"/>
        </w:rPr>
        <w:t>Not for External Distribution</w:t>
      </w:r>
    </w:p>
    <w:p w14:paraId="6AF32498" w14:textId="77777777" w:rsidR="002D5D76" w:rsidRDefault="002D5D76" w:rsidP="002D5D76">
      <w:pPr>
        <w:spacing w:before="40" w:after="40"/>
      </w:pPr>
    </w:p>
    <w:p w14:paraId="0CCFCAF1" w14:textId="77777777" w:rsidR="002D5D76" w:rsidRDefault="002D5D76" w:rsidP="002D5D76">
      <w:pPr>
        <w:spacing w:before="40" w:after="40"/>
      </w:pPr>
    </w:p>
    <w:p w14:paraId="1AA92C6F" w14:textId="77777777" w:rsidR="002D5D76" w:rsidRDefault="002D5D76" w:rsidP="002D5D76">
      <w:pPr>
        <w:spacing w:before="40" w:after="40"/>
      </w:pPr>
    </w:p>
    <w:p w14:paraId="671A7098" w14:textId="77777777" w:rsidR="002D5D76" w:rsidRDefault="002D5D76" w:rsidP="002D5D76">
      <w:pPr>
        <w:spacing w:after="40"/>
        <w:jc w:val="center"/>
        <w:rPr>
          <w:i/>
          <w:iCs/>
          <w:color w:val="555555"/>
        </w:rPr>
      </w:pPr>
      <w:r>
        <w:rPr>
          <w:i/>
          <w:iCs/>
          <w:color w:val="555555"/>
        </w:rPr>
        <w:t>"Transforming Outcomes Through Evidence-Led Practice"</w:t>
      </w:r>
    </w:p>
    <w:p w14:paraId="1B15A543" w14:textId="77777777" w:rsidR="002D5D76" w:rsidRDefault="002D5D76" w:rsidP="002D5D76">
      <w:pPr>
        <w:spacing w:after="40"/>
        <w:jc w:val="center"/>
        <w:rPr>
          <w:i/>
          <w:iCs/>
          <w:color w:val="555555"/>
        </w:rPr>
      </w:pPr>
    </w:p>
    <w:p w14:paraId="3031CCB9" w14:textId="77777777" w:rsidR="002D5D76" w:rsidRDefault="002D5D76" w:rsidP="002D5D76">
      <w:pPr>
        <w:spacing w:after="40"/>
        <w:jc w:val="center"/>
        <w:rPr>
          <w:i/>
          <w:iCs/>
          <w:color w:val="555555"/>
        </w:rPr>
      </w:pPr>
    </w:p>
    <w:p w14:paraId="4BACA40B" w14:textId="77777777" w:rsidR="002D5D76" w:rsidRDefault="002D5D76" w:rsidP="002D5D76">
      <w:pPr>
        <w:spacing w:after="40"/>
        <w:jc w:val="center"/>
        <w:rPr>
          <w:i/>
          <w:iCs/>
          <w:color w:val="555555"/>
        </w:rPr>
      </w:pPr>
    </w:p>
    <w:p w14:paraId="50A7047E" w14:textId="77777777" w:rsidR="002D5D76" w:rsidRDefault="002D5D76" w:rsidP="002D5D76">
      <w:pPr>
        <w:spacing w:after="40"/>
        <w:jc w:val="center"/>
        <w:rPr>
          <w:i/>
          <w:iCs/>
          <w:color w:val="555555"/>
        </w:rPr>
      </w:pPr>
    </w:p>
    <w:p w14:paraId="480AB123" w14:textId="77777777" w:rsidR="002D5D76" w:rsidRDefault="002D5D76" w:rsidP="002D5D76">
      <w:pPr>
        <w:spacing w:after="40"/>
        <w:jc w:val="center"/>
        <w:rPr>
          <w:i/>
          <w:iCs/>
          <w:color w:val="555555"/>
        </w:rPr>
      </w:pPr>
    </w:p>
    <w:p w14:paraId="2736A927" w14:textId="77777777" w:rsidR="002D5D76" w:rsidRDefault="002D5D76" w:rsidP="002D5D76">
      <w:pPr>
        <w:spacing w:after="40"/>
        <w:jc w:val="center"/>
        <w:rPr>
          <w:i/>
          <w:iCs/>
          <w:color w:val="555555"/>
        </w:rPr>
      </w:pPr>
    </w:p>
    <w:p w14:paraId="70025B47" w14:textId="77777777" w:rsidR="002D5D76" w:rsidRDefault="002D5D76" w:rsidP="002D5D76">
      <w:pPr>
        <w:spacing w:after="40"/>
        <w:jc w:val="center"/>
        <w:rPr>
          <w:i/>
          <w:iCs/>
          <w:color w:val="555555"/>
        </w:rPr>
      </w:pPr>
    </w:p>
    <w:p w14:paraId="09C72998" w14:textId="77777777" w:rsidR="002D5D76" w:rsidRDefault="002D5D76" w:rsidP="002D5D76">
      <w:pPr>
        <w:spacing w:after="40"/>
        <w:jc w:val="center"/>
        <w:rPr>
          <w:i/>
          <w:iCs/>
          <w:color w:val="555555"/>
        </w:rPr>
      </w:pPr>
    </w:p>
    <w:p w14:paraId="0804AA43" w14:textId="77777777" w:rsidR="002D5D76" w:rsidRDefault="002D5D76" w:rsidP="002D5D76">
      <w:pPr>
        <w:spacing w:after="40"/>
        <w:jc w:val="center"/>
        <w:rPr>
          <w:i/>
          <w:iCs/>
          <w:color w:val="555555"/>
        </w:rPr>
      </w:pPr>
    </w:p>
    <w:p w14:paraId="67F58C15" w14:textId="77777777" w:rsidR="002D5D76" w:rsidRDefault="002D5D76" w:rsidP="002D5D76">
      <w:pPr>
        <w:spacing w:after="40"/>
        <w:jc w:val="center"/>
        <w:rPr>
          <w:i/>
          <w:iCs/>
          <w:color w:val="555555"/>
        </w:rPr>
      </w:pPr>
    </w:p>
    <w:p w14:paraId="317E3C40" w14:textId="77777777" w:rsidR="002D5D76" w:rsidRDefault="002D5D76" w:rsidP="002D5D76">
      <w:pPr>
        <w:spacing w:after="40"/>
        <w:jc w:val="center"/>
        <w:rPr>
          <w:i/>
          <w:iCs/>
          <w:color w:val="555555"/>
        </w:rPr>
      </w:pPr>
    </w:p>
    <w:p w14:paraId="18555951" w14:textId="77777777" w:rsidR="002D5D76" w:rsidRDefault="002D5D76" w:rsidP="002D5D76">
      <w:pPr>
        <w:spacing w:after="40"/>
        <w:jc w:val="center"/>
        <w:rPr>
          <w:i/>
          <w:iCs/>
          <w:color w:val="555555"/>
        </w:rPr>
      </w:pPr>
    </w:p>
    <w:p w14:paraId="28CDA1CA" w14:textId="77777777" w:rsidR="002D5D76" w:rsidRDefault="002D5D76" w:rsidP="002D5D76">
      <w:pPr>
        <w:spacing w:after="40"/>
        <w:jc w:val="center"/>
        <w:rPr>
          <w:i/>
          <w:iCs/>
          <w:color w:val="555555"/>
        </w:rPr>
      </w:pPr>
    </w:p>
    <w:p w14:paraId="54F2932F" w14:textId="77777777" w:rsidR="002D5D76" w:rsidRDefault="002D5D76" w:rsidP="002D5D76">
      <w:pPr>
        <w:spacing w:after="40"/>
        <w:jc w:val="center"/>
        <w:rPr>
          <w:i/>
          <w:iCs/>
          <w:color w:val="555555"/>
        </w:rPr>
      </w:pPr>
    </w:p>
    <w:p w14:paraId="5E62FD78" w14:textId="77777777" w:rsidR="002D5D76" w:rsidRDefault="002D5D76" w:rsidP="002D5D76">
      <w:pPr>
        <w:spacing w:after="40"/>
        <w:jc w:val="center"/>
        <w:rPr>
          <w:i/>
          <w:iCs/>
          <w:color w:val="555555"/>
        </w:rPr>
      </w:pPr>
    </w:p>
    <w:p w14:paraId="7BF1FFAF" w14:textId="77777777" w:rsidR="002D5D76" w:rsidRDefault="002D5D76" w:rsidP="002D5D76">
      <w:pPr>
        <w:spacing w:after="40"/>
        <w:jc w:val="center"/>
        <w:rPr>
          <w:i/>
          <w:iCs/>
          <w:color w:val="555555"/>
        </w:rPr>
      </w:pPr>
    </w:p>
    <w:p w14:paraId="0480E2ED" w14:textId="77777777" w:rsidR="002D5D76" w:rsidRDefault="002D5D76" w:rsidP="002D5D76">
      <w:pPr>
        <w:spacing w:after="40"/>
        <w:jc w:val="center"/>
        <w:rPr>
          <w:i/>
          <w:iCs/>
          <w:color w:val="555555"/>
        </w:rPr>
      </w:pPr>
    </w:p>
    <w:p w14:paraId="7104AFC5" w14:textId="77777777" w:rsidR="002D5D76" w:rsidRDefault="002D5D76" w:rsidP="002D5D76">
      <w:pPr>
        <w:spacing w:after="40"/>
        <w:jc w:val="center"/>
        <w:rPr>
          <w:i/>
          <w:iCs/>
          <w:color w:val="555555"/>
        </w:rPr>
      </w:pPr>
    </w:p>
    <w:p w14:paraId="0C7D2C6B" w14:textId="77777777" w:rsidR="002D5D76" w:rsidRDefault="002D5D76" w:rsidP="002D5D76">
      <w:pPr>
        <w:spacing w:after="40"/>
        <w:jc w:val="center"/>
        <w:rPr>
          <w:i/>
          <w:iCs/>
          <w:color w:val="555555"/>
        </w:rPr>
      </w:pPr>
    </w:p>
    <w:p w14:paraId="4386A7E5" w14:textId="77777777" w:rsidR="002D5D76" w:rsidRDefault="002D5D76" w:rsidP="002D5D76">
      <w:pPr>
        <w:spacing w:after="40"/>
        <w:jc w:val="center"/>
        <w:rPr>
          <w:i/>
          <w:iCs/>
          <w:color w:val="555555"/>
        </w:rPr>
      </w:pPr>
    </w:p>
    <w:p w14:paraId="7FF340F7" w14:textId="77777777" w:rsidR="002D5D76" w:rsidRDefault="002D5D76" w:rsidP="002D5D76">
      <w:pPr>
        <w:spacing w:after="40"/>
        <w:jc w:val="center"/>
        <w:rPr>
          <w:i/>
          <w:iCs/>
          <w:color w:val="555555"/>
        </w:rPr>
      </w:pPr>
    </w:p>
    <w:p w14:paraId="36610A42" w14:textId="77777777" w:rsidR="002D5D76" w:rsidRDefault="002D5D76" w:rsidP="002D5D76">
      <w:pPr>
        <w:spacing w:after="40"/>
        <w:jc w:val="center"/>
        <w:rPr>
          <w:i/>
          <w:iCs/>
          <w:color w:val="555555"/>
        </w:rPr>
      </w:pPr>
    </w:p>
    <w:p w14:paraId="1C94632E" w14:textId="77777777" w:rsidR="002D5D76" w:rsidRDefault="002D5D76" w:rsidP="002D5D76">
      <w:pPr>
        <w:spacing w:after="40"/>
        <w:jc w:val="center"/>
        <w:rPr>
          <w:i/>
          <w:iCs/>
          <w:color w:val="555555"/>
        </w:rPr>
      </w:pPr>
    </w:p>
    <w:p w14:paraId="388B25DF" w14:textId="77777777" w:rsidR="002D5D76" w:rsidRDefault="002D5D76" w:rsidP="002D5D76">
      <w:pPr>
        <w:spacing w:after="40"/>
        <w:jc w:val="center"/>
      </w:pPr>
    </w:p>
    <w:p w14:paraId="7C5E61FD" w14:textId="77777777" w:rsidR="002D5D76" w:rsidRDefault="002D5D76" w:rsidP="002D5D76">
      <w:pPr>
        <w:pStyle w:val="Heading1"/>
      </w:pPr>
      <w:r>
        <w:rPr>
          <w:rFonts w:ascii="Arial" w:eastAsia="Arial" w:hAnsi="Arial" w:cs="Arial"/>
          <w:b/>
          <w:bCs/>
          <w:color w:val="1B2631"/>
          <w:sz w:val="36"/>
          <w:szCs w:val="36"/>
        </w:rPr>
        <w:lastRenderedPageBreak/>
        <w:t>Contents</w:t>
      </w:r>
    </w:p>
    <w:p w14:paraId="4BE220E5" w14:textId="77777777" w:rsidR="002D5D76" w:rsidRDefault="002D5D76" w:rsidP="002D5D76">
      <w:pPr>
        <w:spacing w:before="60" w:after="40"/>
      </w:pPr>
      <w:r>
        <w:rPr>
          <w:color w:val="000000"/>
        </w:rPr>
        <w:t>Chapter 1 — Introduction to the Meridian Progress Index</w:t>
      </w:r>
    </w:p>
    <w:p w14:paraId="3D14BFF1" w14:textId="77777777" w:rsidR="002D5D76" w:rsidRDefault="002D5D76" w:rsidP="002D5D76">
      <w:pPr>
        <w:spacing w:before="40" w:after="40"/>
      </w:pPr>
      <w:r>
        <w:rPr>
          <w:color w:val="000000"/>
        </w:rPr>
        <w:t>Chapter 2 — Theoretical Foundations of Educational Measurement</w:t>
      </w:r>
    </w:p>
    <w:p w14:paraId="601456B7" w14:textId="77777777" w:rsidR="002D5D76" w:rsidRDefault="002D5D76" w:rsidP="002D5D76">
      <w:pPr>
        <w:spacing w:before="40" w:after="40"/>
      </w:pPr>
      <w:r>
        <w:rPr>
          <w:color w:val="000000"/>
        </w:rPr>
        <w:t>Chapter 3 — The MPI Measurement Framework</w:t>
      </w:r>
    </w:p>
    <w:p w14:paraId="074FA657" w14:textId="77777777" w:rsidR="002D5D76" w:rsidRDefault="002D5D76" w:rsidP="002D5D76">
      <w:pPr>
        <w:spacing w:before="40" w:after="40"/>
      </w:pPr>
      <w:r>
        <w:rPr>
          <w:color w:val="000000"/>
        </w:rPr>
        <w:t>Chapter 4 — Implementation Standards and Partnership Criteria</w:t>
      </w:r>
    </w:p>
    <w:p w14:paraId="15AD14C0" w14:textId="77777777" w:rsidR="002D5D76" w:rsidRDefault="002D5D76" w:rsidP="002D5D76">
      <w:pPr>
        <w:spacing w:before="40" w:after="40"/>
      </w:pPr>
      <w:r>
        <w:rPr>
          <w:color w:val="000000"/>
        </w:rPr>
        <w:t>Chapter 5 — Data Collection Protocols</w:t>
      </w:r>
    </w:p>
    <w:p w14:paraId="2C01C59F" w14:textId="77777777" w:rsidR="002D5D76" w:rsidRDefault="002D5D76" w:rsidP="002D5D76">
      <w:pPr>
        <w:spacing w:before="40" w:after="40"/>
      </w:pPr>
      <w:r>
        <w:rPr>
          <w:color w:val="000000"/>
        </w:rPr>
        <w:t>Chapter 6 — Evidence Base and Outcome Data</w:t>
      </w:r>
    </w:p>
    <w:p w14:paraId="5B071D42" w14:textId="77777777" w:rsidR="002D5D76" w:rsidRDefault="002D5D76" w:rsidP="002D5D76">
      <w:pPr>
        <w:spacing w:before="40" w:after="40"/>
      </w:pPr>
      <w:r>
        <w:rPr>
          <w:color w:val="000000"/>
        </w:rPr>
        <w:t>Chapter 7 — Reporting and Analysis Guidelines</w:t>
      </w:r>
    </w:p>
    <w:p w14:paraId="3AFA452B" w14:textId="77777777" w:rsidR="002D5D76" w:rsidRDefault="002D5D76" w:rsidP="002D5D76">
      <w:pPr>
        <w:spacing w:before="40" w:after="40"/>
      </w:pPr>
      <w:r>
        <w:rPr>
          <w:color w:val="000000"/>
        </w:rPr>
        <w:t>Chapter 8 — Quality Assurance Procedures</w:t>
      </w:r>
    </w:p>
    <w:p w14:paraId="2E3C5472" w14:textId="77777777" w:rsidR="002D5D76" w:rsidRDefault="002D5D76" w:rsidP="002D5D76">
      <w:pPr>
        <w:spacing w:before="40" w:after="40"/>
      </w:pPr>
      <w:r>
        <w:rPr>
          <w:color w:val="000000"/>
        </w:rPr>
        <w:t>Chapter 9 — School Partnership Requirements</w:t>
      </w:r>
    </w:p>
    <w:p w14:paraId="5B805A60" w14:textId="77777777" w:rsidR="002D5D76" w:rsidRDefault="002D5D76" w:rsidP="002D5D76">
      <w:pPr>
        <w:spacing w:before="40" w:after="40"/>
      </w:pPr>
      <w:r>
        <w:rPr>
          <w:color w:val="000000"/>
        </w:rPr>
        <w:t>Chapter 10 — Programme Evaluation Cycles</w:t>
      </w:r>
    </w:p>
    <w:p w14:paraId="66180138" w14:textId="77777777" w:rsidR="002D5D76" w:rsidRDefault="002D5D76" w:rsidP="002D5D76">
      <w:pPr>
        <w:spacing w:before="40" w:after="40"/>
      </w:pPr>
      <w:r>
        <w:rPr>
          <w:color w:val="000000"/>
        </w:rPr>
        <w:t>Chapter 11 — Compliance and Fidelity Standards</w:t>
      </w:r>
    </w:p>
    <w:p w14:paraId="41F3B436" w14:textId="77777777" w:rsidR="002D5D76" w:rsidRDefault="002D5D76" w:rsidP="002D5D76">
      <w:pPr>
        <w:spacing w:before="40" w:after="40"/>
      </w:pPr>
      <w:r>
        <w:rPr>
          <w:color w:val="000000"/>
        </w:rPr>
        <w:t>Appendix A — Glossary of Terms</w:t>
      </w:r>
    </w:p>
    <w:p w14:paraId="3D55408D" w14:textId="77777777" w:rsidR="002D5D76" w:rsidRDefault="002D5D76" w:rsidP="002D5D76">
      <w:pPr>
        <w:spacing w:before="40" w:after="40"/>
      </w:pPr>
      <w:r>
        <w:rPr>
          <w:color w:val="000000"/>
        </w:rPr>
        <w:t>Appendix B — MPI Effect Size Summary</w:t>
      </w:r>
    </w:p>
    <w:p w14:paraId="0A9A3F43" w14:textId="77777777" w:rsidR="002D5D76" w:rsidRDefault="002D5D76" w:rsidP="002D5D76">
      <w:pPr>
        <w:spacing w:before="40" w:after="40"/>
      </w:pPr>
      <w:r>
        <w:rPr>
          <w:color w:val="000000"/>
        </w:rPr>
        <w:t>Appendix C — Methodology Statement Template</w:t>
      </w:r>
    </w:p>
    <w:p w14:paraId="5A799F3E" w14:textId="77777777" w:rsidR="002D5D76" w:rsidRDefault="002D5D76" w:rsidP="002D5D76">
      <w:pPr>
        <w:spacing w:before="40" w:after="40"/>
      </w:pPr>
      <w:r>
        <w:rPr>
          <w:color w:val="000000"/>
        </w:rPr>
        <w:t>Appendix D — Data Submission Forms</w:t>
      </w:r>
    </w:p>
    <w:p w14:paraId="06DEE651" w14:textId="77777777" w:rsidR="002D5D76" w:rsidRDefault="002D5D76" w:rsidP="002D5D76">
      <w:pPr>
        <w:spacing w:before="40" w:after="40"/>
      </w:pPr>
    </w:p>
    <w:p w14:paraId="30366E45" w14:textId="77777777" w:rsidR="002D5D76" w:rsidRDefault="002D5D76" w:rsidP="002D5D76">
      <w:pPr>
        <w:spacing w:before="80" w:after="80"/>
      </w:pPr>
      <w:r>
        <w:rPr>
          <w:i/>
          <w:iCs/>
          <w:color w:val="555555"/>
          <w:sz w:val="18"/>
          <w:szCs w:val="18"/>
        </w:rPr>
        <w:t>Footnotes appear at the close of relevant sections. Staff are encouraged to read footnotes carefully, as they contain methodological clarifications not addressed in the main text.</w:t>
      </w:r>
    </w:p>
    <w:p w14:paraId="3331136D" w14:textId="77777777" w:rsidR="002D5D76" w:rsidRDefault="002D5D76" w:rsidP="002D5D76">
      <w:pPr>
        <w:pStyle w:val="Heading1"/>
      </w:pPr>
      <w:r>
        <w:rPr>
          <w:rFonts w:ascii="Arial" w:eastAsia="Arial" w:hAnsi="Arial" w:cs="Arial"/>
          <w:b/>
          <w:bCs/>
          <w:color w:val="1B2631"/>
          <w:sz w:val="36"/>
          <w:szCs w:val="36"/>
        </w:rPr>
        <w:t>Chapter 1 — Introduction to the Meridian Progress Index</w:t>
      </w:r>
    </w:p>
    <w:p w14:paraId="7CC30593" w14:textId="77777777" w:rsidR="002D5D76" w:rsidRDefault="002D5D76" w:rsidP="002D5D76">
      <w:pPr>
        <w:spacing w:before="80" w:after="80"/>
      </w:pPr>
      <w:r>
        <w:rPr>
          <w:color w:val="000000"/>
        </w:rPr>
        <w:t>The Meridian Progress Index (MPI) is a curriculum framework and staff development programme designed for deployment in secondary schools and local authority partnerships across England. First piloted in 2014 and formally launched in 2016, the MPI represents Meridian Education Group's primary evidence-based product offering. It is currently contracted to thirty-one partner schools across eleven local authority areas.</w:t>
      </w:r>
    </w:p>
    <w:p w14:paraId="60B9D575" w14:textId="77777777" w:rsidR="002D5D76" w:rsidRDefault="002D5D76" w:rsidP="002D5D76">
      <w:pPr>
        <w:spacing w:before="80" w:after="80"/>
      </w:pPr>
      <w:r>
        <w:rPr>
          <w:color w:val="000000"/>
        </w:rPr>
        <w:t>The MPI operates on a three-strand model: structured curriculum sequencing, formative assessment integration, and professional development for subject leads. These strands are not independent; the framework explicitly models their interaction as the primary mechanism through which measurable progress is achieved. Schools implementing only one or two strands are not, in the MPI's own terms, implementing the programme.</w:t>
      </w:r>
    </w:p>
    <w:p w14:paraId="543EC97C" w14:textId="77777777" w:rsidR="002D5D76" w:rsidRDefault="002D5D76" w:rsidP="002D5D76">
      <w:pPr>
        <w:spacing w:before="80" w:after="80"/>
      </w:pPr>
      <w:r>
        <w:rPr>
          <w:color w:val="000000"/>
        </w:rPr>
        <w:t>This handbook sets out the methodology, evidence base, implementation standards, and reporting requirements associated with full MPI deployment. It is the authoritative internal reference for all staff involved in MPI-related client work, data analysis, or renewal reporting. Where this document conflicts with earlier editions, this edition supersedes them. Where it conflicts with verbal briefings, staff are advised to seek written clarification.</w:t>
      </w:r>
    </w:p>
    <w:p w14:paraId="07C48E0A" w14:textId="77777777" w:rsidR="002D5D76" w:rsidRDefault="002D5D76" w:rsidP="002D5D76">
      <w:pPr>
        <w:spacing w:before="40" w:after="40"/>
      </w:pPr>
    </w:p>
    <w:p w14:paraId="1A89D001" w14:textId="77777777" w:rsidR="002D5D76" w:rsidRDefault="002D5D76" w:rsidP="002D5D76">
      <w:pPr>
        <w:pStyle w:val="Heading2"/>
      </w:pPr>
      <w:r>
        <w:rPr>
          <w:rFonts w:ascii="Arial" w:eastAsia="Arial" w:hAnsi="Arial" w:cs="Arial"/>
          <w:b/>
          <w:bCs/>
          <w:color w:val="1B2631"/>
          <w:sz w:val="28"/>
          <w:szCs w:val="28"/>
        </w:rPr>
        <w:t>1.1 — Programme History</w:t>
      </w:r>
    </w:p>
    <w:p w14:paraId="33FD7CF2" w14:textId="77777777" w:rsidR="002D5D76" w:rsidRDefault="002D5D76" w:rsidP="002D5D76">
      <w:pPr>
        <w:spacing w:before="80" w:after="80"/>
      </w:pPr>
      <w:r>
        <w:rPr>
          <w:color w:val="000000"/>
        </w:rPr>
        <w:t>The MPI emerged from an internal review of Meridian's earlier Structured Learning Pathways product, which was discontinued in 2013 following inconclusive outcome data from its three pilot authorities. The review identified two primary weaknesses in the SLP model: insufficient emphasis on formative feedback loops, and an implementation architecture that permitted excessive local variation. Both weaknesses are addressed in the MPI design.</w:t>
      </w:r>
    </w:p>
    <w:p w14:paraId="1EAF2DCD" w14:textId="77777777" w:rsidR="002D5D76" w:rsidRDefault="002D5D76" w:rsidP="002D5D76">
      <w:pPr>
        <w:spacing w:before="80" w:after="80"/>
      </w:pPr>
      <w:r>
        <w:rPr>
          <w:color w:val="000000"/>
        </w:rPr>
        <w:t>The MPI was developed between 2013 and 2015 by Meridian's then-Outcomes team, in consultation with a small group of school practitioners. The theoretical framework draws primarily on Hattie's visible learning synthesis and Vygotsky's model of proximal development, supplemented by Black and Wiliam's formative assessment research. These sources are referenced throughout this handbook. Staff unfamiliar with them are directed to Chapter 2 before proceeding.</w:t>
      </w:r>
    </w:p>
    <w:p w14:paraId="417CDBCD" w14:textId="77777777" w:rsidR="002D5D76" w:rsidRDefault="002D5D76" w:rsidP="002D5D76">
      <w:pPr>
        <w:spacing w:before="80" w:after="80"/>
      </w:pPr>
      <w:r>
        <w:rPr>
          <w:color w:val="000000"/>
        </w:rPr>
        <w:lastRenderedPageBreak/>
        <w:t>Since 2016, the MPI has undergone three minor revisions (v1.1, v2.0, v2.3) and one major structural update (v3.0, 2021). The current edition reflects v3.0 methodology throughout. Earlier editions of this handbook should be treated as superseded for all analytical and reporting purposes.</w:t>
      </w:r>
    </w:p>
    <w:p w14:paraId="6E092881" w14:textId="77777777" w:rsidR="002D5D76" w:rsidRDefault="002D5D76" w:rsidP="002D5D76">
      <w:pPr>
        <w:spacing w:before="40" w:after="40"/>
      </w:pPr>
    </w:p>
    <w:p w14:paraId="7063BF51" w14:textId="77777777" w:rsidR="002D5D76" w:rsidRDefault="002D5D76" w:rsidP="002D5D76">
      <w:pPr>
        <w:pStyle w:val="Heading2"/>
      </w:pPr>
      <w:r>
        <w:rPr>
          <w:rFonts w:ascii="Arial" w:eastAsia="Arial" w:hAnsi="Arial" w:cs="Arial"/>
          <w:b/>
          <w:bCs/>
          <w:color w:val="1B2631"/>
          <w:sz w:val="28"/>
          <w:szCs w:val="28"/>
        </w:rPr>
        <w:t>1.2 — Scope of This Document</w:t>
      </w:r>
    </w:p>
    <w:p w14:paraId="3DAF7A57" w14:textId="77777777" w:rsidR="002D5D76" w:rsidRDefault="002D5D76" w:rsidP="002D5D76">
      <w:pPr>
        <w:spacing w:before="80" w:after="80"/>
      </w:pPr>
      <w:r>
        <w:rPr>
          <w:color w:val="000000"/>
        </w:rPr>
        <w:t>This handbook covers MPI methodology, outcome evidence, and implementation standards. It does not cover pricing, contract terms, or client-facing sales materials, which are maintained separately by the Commercial team. It does not cover the MPI digital platform (MPI Connect), which has its own technical documentation.</w:t>
      </w:r>
    </w:p>
    <w:p w14:paraId="0FF53573" w14:textId="77777777" w:rsidR="002D5D76" w:rsidRDefault="002D5D76" w:rsidP="002D5D76">
      <w:pPr>
        <w:spacing w:before="80" w:after="80"/>
      </w:pPr>
      <w:r>
        <w:rPr>
          <w:color w:val="000000"/>
        </w:rPr>
        <w:t xml:space="preserve">Staff working on renewal evidence packs, impact reports, or methodology statements should treat Chapters 3, 6, 7, and 11 as mandatory reading. Chapter 11 </w:t>
      </w:r>
      <w:proofErr w:type="gramStart"/>
      <w:r>
        <w:rPr>
          <w:color w:val="000000"/>
        </w:rPr>
        <w:t>in particular contains</w:t>
      </w:r>
      <w:proofErr w:type="gramEnd"/>
      <w:r>
        <w:rPr>
          <w:color w:val="000000"/>
        </w:rPr>
        <w:t xml:space="preserve"> definitional material that is directly relevant to any data analysis work.</w:t>
      </w:r>
    </w:p>
    <w:p w14:paraId="4D102816" w14:textId="77777777" w:rsidR="002D5D76" w:rsidRDefault="002D5D76" w:rsidP="002D5D76">
      <w:pPr>
        <w:spacing w:before="80" w:after="80"/>
      </w:pPr>
      <w:r>
        <w:rPr>
          <w:color w:val="000000"/>
        </w:rPr>
        <w:t>This document is not for external distribution. Excerpts may be shared with client schools only with written approval from the Outcomes &amp; Impact lead.</w:t>
      </w:r>
    </w:p>
    <w:p w14:paraId="7FDEAD61" w14:textId="77777777" w:rsidR="002D5D76" w:rsidRDefault="002D5D76" w:rsidP="002D5D76">
      <w:pPr>
        <w:pStyle w:val="Heading1"/>
      </w:pPr>
      <w:r>
        <w:rPr>
          <w:rFonts w:ascii="Arial" w:eastAsia="Arial" w:hAnsi="Arial" w:cs="Arial"/>
          <w:b/>
          <w:bCs/>
          <w:color w:val="1B2631"/>
          <w:sz w:val="36"/>
          <w:szCs w:val="36"/>
        </w:rPr>
        <w:t>Chapter 2 — Theoretical Foundations of Educational Measurement</w:t>
      </w:r>
    </w:p>
    <w:p w14:paraId="1CAE56D4" w14:textId="77777777" w:rsidR="002D5D76" w:rsidRDefault="002D5D76" w:rsidP="002D5D76">
      <w:pPr>
        <w:spacing w:before="80" w:after="80"/>
      </w:pPr>
      <w:r>
        <w:rPr>
          <w:color w:val="000000"/>
        </w:rPr>
        <w:t>Before any discussion of the MPI's specific methodology, it is necessary to establish the theoretical context within which educational measurement operates. This is not a procedural nicety. Misunderstanding the foundations leads, reliably, to misreading the data — and misread data, in the context of Meridian's client relationships, has practical consequences that range from the inconvenient to the seriously damaging.</w:t>
      </w:r>
    </w:p>
    <w:p w14:paraId="6745CEC4" w14:textId="77777777" w:rsidR="002D5D76" w:rsidRDefault="002D5D76" w:rsidP="002D5D76">
      <w:pPr>
        <w:spacing w:before="40" w:after="40"/>
      </w:pPr>
    </w:p>
    <w:p w14:paraId="7C1A278A" w14:textId="77777777" w:rsidR="002D5D76" w:rsidRDefault="002D5D76" w:rsidP="002D5D76">
      <w:pPr>
        <w:pStyle w:val="Heading2"/>
      </w:pPr>
      <w:r>
        <w:rPr>
          <w:rFonts w:ascii="Arial" w:eastAsia="Arial" w:hAnsi="Arial" w:cs="Arial"/>
          <w:b/>
          <w:bCs/>
          <w:color w:val="1B2631"/>
          <w:sz w:val="28"/>
          <w:szCs w:val="28"/>
        </w:rPr>
        <w:t>2.1 — What "Progress" Actually Means</w:t>
      </w:r>
    </w:p>
    <w:p w14:paraId="126BE062" w14:textId="77777777" w:rsidR="002D5D76" w:rsidRDefault="002D5D76" w:rsidP="002D5D76">
      <w:pPr>
        <w:spacing w:before="80" w:after="80"/>
      </w:pPr>
      <w:r>
        <w:rPr>
          <w:color w:val="000000"/>
        </w:rPr>
        <w:t xml:space="preserve">The </w:t>
      </w:r>
      <w:proofErr w:type="gramStart"/>
      <w:r>
        <w:rPr>
          <w:color w:val="000000"/>
        </w:rPr>
        <w:t>most commonly misunderstood</w:t>
      </w:r>
      <w:proofErr w:type="gramEnd"/>
      <w:r>
        <w:rPr>
          <w:color w:val="000000"/>
        </w:rPr>
        <w:t xml:space="preserve"> term in educational data work is progress. In colloquial usage, progress means improvement. In educational measurement, it means something narrower and more specific: the change in attainment relative to a predicted baseline, where that baseline accounts for prior attainment.</w:t>
      </w:r>
    </w:p>
    <w:p w14:paraId="4F8BBDD5" w14:textId="77777777" w:rsidR="002D5D76" w:rsidRDefault="002D5D76" w:rsidP="002D5D76">
      <w:pPr>
        <w:spacing w:before="80" w:after="80"/>
      </w:pPr>
      <w:r>
        <w:rPr>
          <w:color w:val="000000"/>
        </w:rPr>
        <w:t>A pupil who arrives at secondary school with above-average KS2 results and achieves average GCSEs has, in the measurement sense, made negative progress — they underperformed their prediction. A pupil who arrives with below-average KS2 results and achieves average GCSEs has made strongly positive progress. The absolute grade is not the point. The distance from baseline is the point.</w:t>
      </w:r>
    </w:p>
    <w:p w14:paraId="3EFE70FE" w14:textId="77777777" w:rsidR="002D5D76" w:rsidRDefault="002D5D76" w:rsidP="002D5D76">
      <w:pPr>
        <w:spacing w:before="80" w:after="80"/>
      </w:pPr>
      <w:r>
        <w:rPr>
          <w:color w:val="000000"/>
        </w:rPr>
        <w:t xml:space="preserve">This distinction is not merely academic. It determines what counts as programme impact and what does not. A school serving high-attaining intakes will tend to produce good absolute outcomes regardless of programme quality. A school serving low-attaining intakes may produce apparently poor outcomes despite excellent programme delivery. Failure to account for this is the source of most bad educational research — and </w:t>
      </w:r>
      <w:proofErr w:type="gramStart"/>
      <w:r>
        <w:rPr>
          <w:color w:val="000000"/>
        </w:rPr>
        <w:t>most bad</w:t>
      </w:r>
      <w:proofErr w:type="gramEnd"/>
      <w:r>
        <w:rPr>
          <w:color w:val="000000"/>
        </w:rPr>
        <w:t xml:space="preserve"> reporting.</w:t>
      </w:r>
    </w:p>
    <w:p w14:paraId="4241873B" w14:textId="77777777" w:rsidR="002D5D76" w:rsidRDefault="002D5D76" w:rsidP="002D5D76">
      <w:pPr>
        <w:spacing w:before="120" w:after="120"/>
        <w:ind w:left="720" w:right="720"/>
      </w:pPr>
      <w:r>
        <w:rPr>
          <w:i/>
          <w:iCs/>
          <w:color w:val="555555"/>
          <w:sz w:val="19"/>
          <w:szCs w:val="19"/>
        </w:rPr>
        <w:t>The single most important methodological decision in any educational impact study is the choice of baseline. Everything else is commentary. — Hattie, J., Visible Learning (2009)</w:t>
      </w:r>
    </w:p>
    <w:p w14:paraId="66EDBCCC" w14:textId="77777777" w:rsidR="002D5D76" w:rsidRDefault="002D5D76" w:rsidP="002D5D76">
      <w:pPr>
        <w:spacing w:before="40" w:after="40"/>
      </w:pPr>
    </w:p>
    <w:p w14:paraId="4970BA32" w14:textId="77777777" w:rsidR="002D5D76" w:rsidRDefault="002D5D76" w:rsidP="002D5D76">
      <w:pPr>
        <w:pStyle w:val="Heading2"/>
      </w:pPr>
      <w:r>
        <w:rPr>
          <w:rFonts w:ascii="Arial" w:eastAsia="Arial" w:hAnsi="Arial" w:cs="Arial"/>
          <w:b/>
          <w:bCs/>
          <w:color w:val="1B2631"/>
          <w:sz w:val="28"/>
          <w:szCs w:val="28"/>
        </w:rPr>
        <w:t>2.2 — Effect Sizes and What They Mean</w:t>
      </w:r>
    </w:p>
    <w:p w14:paraId="04A3F313" w14:textId="77777777" w:rsidR="002D5D76" w:rsidRDefault="002D5D76" w:rsidP="002D5D76">
      <w:pPr>
        <w:spacing w:before="80" w:after="80"/>
      </w:pPr>
      <w:r>
        <w:rPr>
          <w:color w:val="000000"/>
        </w:rPr>
        <w:t>The MPI uses effect size as its primary measure of programme impact. An effect size (Cohen's d) expresses the difference between two groups in terms of standard deviations. An effect size of 0.2 is considered small; 0.5 is medium; 0.8 is large.</w:t>
      </w:r>
    </w:p>
    <w:p w14:paraId="20B0CA64" w14:textId="77777777" w:rsidR="002D5D76" w:rsidRDefault="002D5D76" w:rsidP="002D5D76">
      <w:pPr>
        <w:spacing w:before="80" w:after="80"/>
      </w:pPr>
      <w:r>
        <w:rPr>
          <w:color w:val="000000"/>
        </w:rPr>
        <w:t>John Hattie's influential synthesis of educational research — covering over 800 meta-analyses and approximately 250 million students — established a benchmark effect size of 0.4 as the hinge point between interventions that add meaningful value and those that do not. Below 0.4, an intervention is likely producing effects that could be achieved simply by having the pupil in school at all. Above 0.4, there is evidence of genuine additive impact.</w:t>
      </w:r>
    </w:p>
    <w:p w14:paraId="3951116E" w14:textId="77777777" w:rsidR="002D5D76" w:rsidRDefault="002D5D76" w:rsidP="002D5D76">
      <w:pPr>
        <w:spacing w:before="80" w:after="80"/>
      </w:pPr>
      <w:r>
        <w:rPr>
          <w:color w:val="000000"/>
        </w:rPr>
        <w:lastRenderedPageBreak/>
        <w:t>This 0.4 hinge is significant for all MPI-related analysis. Staff should be aware of it.</w:t>
      </w:r>
    </w:p>
    <w:p w14:paraId="76167E27"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D5D76" w14:paraId="23D36498" w14:textId="77777777" w:rsidTr="00C80E8F">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7F28C29" w14:textId="77777777" w:rsidR="002D5D76" w:rsidRDefault="002D5D76" w:rsidP="00C80E8F">
            <w:pPr>
              <w:spacing w:before="60" w:after="60"/>
            </w:pPr>
            <w:r>
              <w:rPr>
                <w:b/>
                <w:bCs/>
                <w:color w:val="1A5276"/>
                <w:sz w:val="18"/>
                <w:szCs w:val="18"/>
              </w:rPr>
              <w:t>NOTE ON EFFECT SIZE INTERPRETATION</w:t>
            </w:r>
          </w:p>
          <w:p w14:paraId="0EF7F39D" w14:textId="77777777" w:rsidR="002D5D76" w:rsidRDefault="002D5D76" w:rsidP="00C80E8F">
            <w:pPr>
              <w:spacing w:before="40" w:after="40"/>
            </w:pPr>
          </w:p>
          <w:p w14:paraId="59498508" w14:textId="77777777" w:rsidR="002D5D76" w:rsidRDefault="002D5D76" w:rsidP="00C80E8F">
            <w:pPr>
              <w:spacing w:before="40" w:after="40"/>
            </w:pPr>
            <w:r>
              <w:rPr>
                <w:color w:val="000000"/>
                <w:sz w:val="18"/>
                <w:szCs w:val="18"/>
              </w:rPr>
              <w:t>Effect sizes in educational contexts are always relative to comparison groups. An effect size calculated against a no-intervention baseline is not directly comparable to one calculated against an alternative intervention. The MPI's published effect size is calculated against non-programme schools in the same district.</w:t>
            </w:r>
          </w:p>
          <w:p w14:paraId="74816A2E" w14:textId="77777777" w:rsidR="002D5D76" w:rsidRDefault="002D5D76" w:rsidP="00C80E8F">
            <w:pPr>
              <w:spacing w:before="40" w:after="40"/>
            </w:pPr>
            <w:r>
              <w:rPr>
                <w:color w:val="000000"/>
                <w:sz w:val="18"/>
                <w:szCs w:val="18"/>
              </w:rPr>
              <w:t>This is a legitimate comparison. It is also the most favourable available comparison. Staff should understand this distinction when preparing client-facing materials.</w:t>
            </w:r>
          </w:p>
        </w:tc>
      </w:tr>
    </w:tbl>
    <w:p w14:paraId="7FC6D4AF" w14:textId="77777777" w:rsidR="002D5D76" w:rsidRDefault="002D5D76" w:rsidP="002D5D76">
      <w:pPr>
        <w:spacing w:before="40" w:after="40"/>
      </w:pPr>
    </w:p>
    <w:p w14:paraId="09DA49FE" w14:textId="77777777" w:rsidR="002D5D76" w:rsidRDefault="002D5D76" w:rsidP="002D5D76">
      <w:pPr>
        <w:pStyle w:val="Heading2"/>
      </w:pPr>
      <w:r>
        <w:rPr>
          <w:rFonts w:ascii="Arial" w:eastAsia="Arial" w:hAnsi="Arial" w:cs="Arial"/>
          <w:b/>
          <w:bCs/>
          <w:color w:val="1B2631"/>
          <w:sz w:val="28"/>
          <w:szCs w:val="28"/>
        </w:rPr>
        <w:t>2.3 — Formative vs Summative Assessment</w:t>
      </w:r>
    </w:p>
    <w:p w14:paraId="1655580A" w14:textId="77777777" w:rsidR="002D5D76" w:rsidRDefault="002D5D76" w:rsidP="002D5D76">
      <w:pPr>
        <w:spacing w:before="80" w:after="80"/>
      </w:pPr>
      <w:r>
        <w:rPr>
          <w:color w:val="000000"/>
        </w:rPr>
        <w:t>A persistent confusion in Meridian's client communications is the conflation of formative and summative assessment. They are not the same thing and do not measure the same things.</w:t>
      </w:r>
    </w:p>
    <w:p w14:paraId="631F250A" w14:textId="77777777" w:rsidR="002D5D76" w:rsidRDefault="002D5D76" w:rsidP="002D5D76">
      <w:pPr>
        <w:spacing w:before="80" w:after="80"/>
      </w:pPr>
      <w:r>
        <w:rPr>
          <w:color w:val="000000"/>
        </w:rPr>
        <w:t>Summative assessment measures what a pupil knows at a fixed point in time. GCSEs are summative. End-of-term tests are summative. They are backward-looking: they describe a state that already exists. They cannot, by themselves, improve outcomes. They can only reveal them.</w:t>
      </w:r>
    </w:p>
    <w:p w14:paraId="3CDCCD52" w14:textId="77777777" w:rsidR="002D5D76" w:rsidRDefault="002D5D76" w:rsidP="002D5D76">
      <w:pPr>
        <w:spacing w:before="80" w:after="80"/>
      </w:pPr>
      <w:r>
        <w:rPr>
          <w:color w:val="000000"/>
        </w:rPr>
        <w:t>Formative assessment is assessment that informs subsequent instruction. It is forward-looking. Its value is not in the measurement itself but in the feedback loop it creates — the teacher adjusts, the pupil adjusts, the instruction improves. Black and Wiliam's seminal 1998 paper, Inside the Black Box, established that high-quality formative assessment is among the most powerful interventions available to classroom practitioners, with effect sizes in the 0.4–0.7 range.</w:t>
      </w:r>
    </w:p>
    <w:p w14:paraId="7DBD90B6" w14:textId="77777777" w:rsidR="002D5D76" w:rsidRDefault="002D5D76" w:rsidP="002D5D76">
      <w:pPr>
        <w:spacing w:before="80" w:after="80"/>
      </w:pPr>
      <w:r>
        <w:rPr>
          <w:color w:val="000000"/>
        </w:rPr>
        <w:t>The MPI's second strand — formative assessment integration — is built on this evidence base. It is, arguably, the strand with the strongest independent empirical support. The other two strands are theoretically coherent but more sparsely evidenced. Staff preparing methodology statements should not describe all three strands as equally well-supported, because they are not.</w:t>
      </w:r>
    </w:p>
    <w:p w14:paraId="6C6592B8" w14:textId="77777777" w:rsidR="002D5D76" w:rsidRDefault="002D5D76" w:rsidP="002D5D76">
      <w:pPr>
        <w:spacing w:before="40" w:after="40"/>
      </w:pPr>
    </w:p>
    <w:p w14:paraId="0FBA9FBF" w14:textId="77777777" w:rsidR="002D5D76" w:rsidRDefault="002D5D76" w:rsidP="002D5D76">
      <w:pPr>
        <w:pStyle w:val="Heading2"/>
      </w:pPr>
      <w:r>
        <w:rPr>
          <w:rFonts w:ascii="Arial" w:eastAsia="Arial" w:hAnsi="Arial" w:cs="Arial"/>
          <w:b/>
          <w:bCs/>
          <w:color w:val="1B2631"/>
          <w:sz w:val="28"/>
          <w:szCs w:val="28"/>
        </w:rPr>
        <w:t>2.4 — The Limits of Aggregate Data</w:t>
      </w:r>
    </w:p>
    <w:p w14:paraId="058F2274" w14:textId="77777777" w:rsidR="002D5D76" w:rsidRDefault="002D5D76" w:rsidP="002D5D76">
      <w:pPr>
        <w:spacing w:before="80" w:after="80"/>
      </w:pPr>
      <w:r>
        <w:rPr>
          <w:color w:val="000000"/>
        </w:rPr>
        <w:t>One further point that this handbook will return to repeatedly: aggregate data conceals variance. A school-level average masks the distribution of outcomes within that school. A district-level average masks the distribution across schools. A programme-level average masks the distribution across districts.</w:t>
      </w:r>
    </w:p>
    <w:p w14:paraId="5F297B3B" w14:textId="77777777" w:rsidR="002D5D76" w:rsidRDefault="002D5D76" w:rsidP="002D5D76">
      <w:pPr>
        <w:spacing w:before="80" w:after="80"/>
      </w:pPr>
      <w:r>
        <w:rPr>
          <w:color w:val="000000"/>
        </w:rPr>
        <w:t>The MPI's impact statistics are, necessarily, aggregate. They describe average outcomes across the programme's partner schools. They do not describe outcomes for every school, or every pupil, or every context. A school considering MPI adoption should understand this. A member of staff preparing an impact report should understand this considerably more precisely.</w:t>
      </w:r>
    </w:p>
    <w:p w14:paraId="55695E06" w14:textId="77777777" w:rsidR="002D5D76" w:rsidRDefault="002D5D76" w:rsidP="002D5D76">
      <w:pPr>
        <w:spacing w:before="80" w:after="80"/>
      </w:pPr>
      <w:r>
        <w:rPr>
          <w:color w:val="000000"/>
        </w:rPr>
        <w:t xml:space="preserve">The question that aggregate data cannot answer — and that local and national commissioners increasingly ask — is: for which schools </w:t>
      </w:r>
      <w:proofErr w:type="gramStart"/>
      <w:r>
        <w:rPr>
          <w:color w:val="000000"/>
        </w:rPr>
        <w:t>does</w:t>
      </w:r>
      <w:proofErr w:type="gramEnd"/>
      <w:r>
        <w:rPr>
          <w:color w:val="000000"/>
        </w:rPr>
        <w:t xml:space="preserve"> this work, and under what conditions? Chapter 11 addresses the programme's own answer to this question. Staff are encouraged to read it carefully.</w:t>
      </w:r>
    </w:p>
    <w:p w14:paraId="4648F2FB" w14:textId="77777777" w:rsidR="002D5D76" w:rsidRDefault="002D5D76" w:rsidP="002D5D76">
      <w:pPr>
        <w:pStyle w:val="Heading1"/>
      </w:pPr>
      <w:r>
        <w:rPr>
          <w:rFonts w:ascii="Arial" w:eastAsia="Arial" w:hAnsi="Arial" w:cs="Arial"/>
          <w:b/>
          <w:bCs/>
          <w:color w:val="1B2631"/>
          <w:sz w:val="36"/>
          <w:szCs w:val="36"/>
        </w:rPr>
        <w:t>Chapter 3 — The MPI Measurement Framework</w:t>
      </w:r>
    </w:p>
    <w:p w14:paraId="779E691D" w14:textId="77777777" w:rsidR="002D5D76" w:rsidRDefault="002D5D76" w:rsidP="002D5D76">
      <w:pPr>
        <w:spacing w:before="80" w:after="80"/>
      </w:pPr>
      <w:r>
        <w:rPr>
          <w:color w:val="000000"/>
        </w:rPr>
        <w:t>The MPI Measurement Framework is the structural architecture through which programme impact is assessed. It comprises four components: the baseline assessment protocol, the progress fidelity scoring system, the cohort calibration methodology, and the annual impact calculation. Each component is described in this chapter. The interaction between them is described in Chapter 7.</w:t>
      </w:r>
    </w:p>
    <w:p w14:paraId="133366E3" w14:textId="77777777" w:rsidR="002D5D76" w:rsidRDefault="002D5D76" w:rsidP="002D5D76">
      <w:pPr>
        <w:spacing w:before="80" w:after="80"/>
      </w:pPr>
      <w:r>
        <w:rPr>
          <w:color w:val="000000"/>
        </w:rPr>
        <w:t>Staff who read only one chapter of this handbook before preparing any data analysis should read this one. That is not a recommendation. It is a statement about the consequences of proceeding without it.</w:t>
      </w:r>
    </w:p>
    <w:p w14:paraId="35FED4ED" w14:textId="77777777" w:rsidR="002D5D76" w:rsidRDefault="002D5D76" w:rsidP="002D5D76">
      <w:pPr>
        <w:spacing w:before="40" w:after="40"/>
      </w:pPr>
    </w:p>
    <w:p w14:paraId="0C3B665C" w14:textId="77777777" w:rsidR="002D5D76" w:rsidRDefault="002D5D76" w:rsidP="002D5D76">
      <w:pPr>
        <w:pStyle w:val="Heading2"/>
      </w:pPr>
      <w:r>
        <w:rPr>
          <w:rFonts w:ascii="Arial" w:eastAsia="Arial" w:hAnsi="Arial" w:cs="Arial"/>
          <w:b/>
          <w:bCs/>
          <w:color w:val="1B2631"/>
          <w:sz w:val="28"/>
          <w:szCs w:val="28"/>
        </w:rPr>
        <w:lastRenderedPageBreak/>
        <w:t>3.1 — Baseline Assessment Protocol</w:t>
      </w:r>
    </w:p>
    <w:p w14:paraId="5DD29E3A" w14:textId="77777777" w:rsidR="002D5D76" w:rsidRDefault="002D5D76" w:rsidP="002D5D76">
      <w:pPr>
        <w:spacing w:before="80" w:after="80"/>
      </w:pPr>
      <w:r>
        <w:rPr>
          <w:color w:val="000000"/>
        </w:rPr>
        <w:t>The MPI baseline is established using KS2 attainment data, supplemented by Meridian's own Entry Assessment Tool (EAT), administered in the first half-term of Year 7. The EAT assesses reading comprehension, mathematical reasoning, and — in MPI schools that have adopted the extended version — scientific literacy. EAT results are not used in isolation; they are calibrated against KS2 scores to produce a composite baseline score for each pupil.</w:t>
      </w:r>
    </w:p>
    <w:p w14:paraId="740D09DC" w14:textId="77777777" w:rsidR="002D5D76" w:rsidRDefault="002D5D76" w:rsidP="002D5D76">
      <w:pPr>
        <w:spacing w:before="80" w:after="80"/>
      </w:pPr>
      <w:r>
        <w:rPr>
          <w:color w:val="000000"/>
        </w:rPr>
        <w:t>The composite baseline is expressed as a standardised score with a mean of 100 and a standard deviation of 15, consistent with the scale used in most national assessment frameworks. A pupil with a composite baseline of 100 is, by definition, performing at the national average for their cohort entry point. A pupil with a composite baseline of 115 is performing one standard deviation above average.</w:t>
      </w:r>
    </w:p>
    <w:p w14:paraId="33402141" w14:textId="77777777" w:rsidR="002D5D76" w:rsidRDefault="002D5D76" w:rsidP="002D5D76">
      <w:pPr>
        <w:spacing w:before="80" w:after="80"/>
      </w:pPr>
      <w:r>
        <w:rPr>
          <w:color w:val="000000"/>
        </w:rPr>
        <w:t xml:space="preserve">Baseline scores are </w:t>
      </w:r>
      <w:proofErr w:type="gramStart"/>
      <w:r>
        <w:rPr>
          <w:color w:val="000000"/>
        </w:rPr>
        <w:t>school-aggregated</w:t>
      </w:r>
      <w:proofErr w:type="gramEnd"/>
      <w:r>
        <w:rPr>
          <w:color w:val="000000"/>
        </w:rPr>
        <w:t xml:space="preserve"> for all MPI analytical purposes. Individual pupil data is not used in programme-level impact calculations. This is both a methodological choice and a data protection requirement.</w:t>
      </w:r>
    </w:p>
    <w:p w14:paraId="3E48767B" w14:textId="77777777" w:rsidR="002D5D76" w:rsidRDefault="002D5D76" w:rsidP="002D5D76">
      <w:pPr>
        <w:spacing w:before="40" w:after="40"/>
      </w:pPr>
    </w:p>
    <w:p w14:paraId="7CF62B8A" w14:textId="77777777" w:rsidR="002D5D76" w:rsidRDefault="002D5D76" w:rsidP="002D5D76">
      <w:pPr>
        <w:pStyle w:val="Heading2"/>
      </w:pPr>
      <w:r>
        <w:rPr>
          <w:rFonts w:ascii="Arial" w:eastAsia="Arial" w:hAnsi="Arial" w:cs="Arial"/>
          <w:b/>
          <w:bCs/>
          <w:color w:val="1B2631"/>
          <w:sz w:val="28"/>
          <w:szCs w:val="28"/>
        </w:rPr>
        <w:t>3.2 — Progress Fidelity Scores</w:t>
      </w:r>
    </w:p>
    <w:p w14:paraId="0AF14BB1" w14:textId="77777777" w:rsidR="002D5D76" w:rsidRDefault="002D5D76" w:rsidP="002D5D76">
      <w:pPr>
        <w:spacing w:before="80" w:after="80"/>
      </w:pPr>
      <w:r>
        <w:rPr>
          <w:color w:val="000000"/>
        </w:rPr>
        <w:t>The progress fidelity score (PFS) is a school-level metric developed by Meridian to assess the degree to which a school's observed outcomes align with its predicted trajectory, adjusted for programme implementation quality. It is not a simple attainment measure and should not be treated as one.</w:t>
      </w:r>
    </w:p>
    <w:p w14:paraId="65F170D5" w14:textId="77777777" w:rsidR="002D5D76" w:rsidRDefault="002D5D76" w:rsidP="002D5D76">
      <w:pPr>
        <w:spacing w:before="80" w:after="80"/>
      </w:pPr>
      <w:r>
        <w:rPr>
          <w:color w:val="000000"/>
        </w:rPr>
        <w:t>The PFS is calculated annually using three inputs: the gap between predicted and actual GCSE outcomes (the progress delta), the implementation quality score derived from the annual MPI audit (see Chapter 9), and a stability coefficient that accounts for cohort-level variance. The resulting score is expressed on a 0–100 scale. Scores above 70 indicate strong programme alignment. Scores between 50 and 70 indicate adequate alignment. Scores below 50 indicate that programme conditions were insufficient to generate interpretable outcome data.</w:t>
      </w:r>
    </w:p>
    <w:p w14:paraId="7A8289AC" w14:textId="77777777" w:rsidR="002D5D76" w:rsidRDefault="002D5D76" w:rsidP="002D5D76">
      <w:pPr>
        <w:spacing w:before="80" w:after="80"/>
      </w:pPr>
      <w:r>
        <w:rPr>
          <w:color w:val="000000"/>
        </w:rPr>
        <w:t>The PFS is an internal Meridian metric and is not shared with schools directly. It is used in programme-level analysis and in decisions about data inclusion. Its role in those decisions is described in Chapter 11.</w:t>
      </w:r>
    </w:p>
    <w:p w14:paraId="7CE873B5"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D5D76" w14:paraId="613A7658" w14:textId="77777777" w:rsidTr="00C80E8F">
        <w:tc>
          <w:tcPr>
            <w:tcW w:w="902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7CABDA11" w14:textId="77777777" w:rsidR="002D5D76" w:rsidRDefault="002D5D76" w:rsidP="00C80E8F">
            <w:pPr>
              <w:spacing w:before="60" w:after="60"/>
            </w:pPr>
            <w:r>
              <w:rPr>
                <w:b/>
                <w:bCs/>
                <w:color w:val="1A5276"/>
                <w:sz w:val="18"/>
                <w:szCs w:val="18"/>
              </w:rPr>
              <w:t>KEY TERM: PROGRESS FIDELITY SCORE</w:t>
            </w:r>
          </w:p>
          <w:p w14:paraId="67D9ACFE" w14:textId="77777777" w:rsidR="002D5D76" w:rsidRDefault="002D5D76" w:rsidP="00C80E8F">
            <w:pPr>
              <w:spacing w:before="40" w:after="40"/>
            </w:pPr>
          </w:p>
          <w:p w14:paraId="24CE7EFE" w14:textId="77777777" w:rsidR="002D5D76" w:rsidRDefault="002D5D76" w:rsidP="00C80E8F">
            <w:pPr>
              <w:spacing w:before="40" w:after="40"/>
            </w:pPr>
            <w:r>
              <w:rPr>
                <w:color w:val="000000"/>
                <w:sz w:val="18"/>
                <w:szCs w:val="18"/>
              </w:rPr>
              <w:t>The PFS is distinct from raw GCSE progress measures (e.g., Progress 8). It accounts for implementation quality and is specific to MPI deployment contexts. A school with a strong Progress 8 score may have a low PFS if its implementation was inconsistent; a school with a modest Progress 8 score may have a high PFS if it implemented faithfully in difficult circumstances.</w:t>
            </w:r>
          </w:p>
          <w:p w14:paraId="20EA8D46" w14:textId="77777777" w:rsidR="002D5D76" w:rsidRDefault="002D5D76" w:rsidP="00C80E8F">
            <w:pPr>
              <w:spacing w:before="40" w:after="40"/>
            </w:pPr>
            <w:r>
              <w:rPr>
                <w:color w:val="000000"/>
                <w:sz w:val="18"/>
                <w:szCs w:val="18"/>
              </w:rPr>
              <w:t>This distinction is important for all MPI impact reporting.</w:t>
            </w:r>
          </w:p>
        </w:tc>
      </w:tr>
    </w:tbl>
    <w:p w14:paraId="1ADAE57D" w14:textId="77777777" w:rsidR="002D5D76" w:rsidRDefault="002D5D76" w:rsidP="002D5D76">
      <w:pPr>
        <w:spacing w:before="40" w:after="40"/>
      </w:pPr>
    </w:p>
    <w:p w14:paraId="5AA2A5E1" w14:textId="77777777" w:rsidR="002D5D76" w:rsidRDefault="002D5D76" w:rsidP="002D5D76">
      <w:pPr>
        <w:pStyle w:val="Heading2"/>
      </w:pPr>
      <w:r>
        <w:rPr>
          <w:rFonts w:ascii="Arial" w:eastAsia="Arial" w:hAnsi="Arial" w:cs="Arial"/>
          <w:b/>
          <w:bCs/>
          <w:color w:val="1B2631"/>
          <w:sz w:val="28"/>
          <w:szCs w:val="28"/>
        </w:rPr>
        <w:t>3.3 — Cohort Calibration Methodology</w:t>
      </w:r>
    </w:p>
    <w:p w14:paraId="2CC28ECB" w14:textId="77777777" w:rsidR="002D5D76" w:rsidRDefault="002D5D76" w:rsidP="002D5D76">
      <w:pPr>
        <w:spacing w:before="80" w:after="80"/>
      </w:pPr>
      <w:r>
        <w:rPr>
          <w:color w:val="000000"/>
        </w:rPr>
        <w:t xml:space="preserve">Cohort calibration is the process by which year-to-year variation in intake quality is accounted for in longitudinal impact analysis. Without calibration, a programme whose partner schools happen to recruit a stronger-than-average intake one year will appear more effective than it </w:t>
      </w:r>
      <w:proofErr w:type="gramStart"/>
      <w:r>
        <w:rPr>
          <w:color w:val="000000"/>
        </w:rPr>
        <w:t>actually is</w:t>
      </w:r>
      <w:proofErr w:type="gramEnd"/>
      <w:r>
        <w:rPr>
          <w:color w:val="000000"/>
        </w:rPr>
        <w:t>; a programme whose schools recruit a weaker intake will appear less effective.</w:t>
      </w:r>
    </w:p>
    <w:p w14:paraId="3EECC45C" w14:textId="77777777" w:rsidR="002D5D76" w:rsidRDefault="002D5D76" w:rsidP="002D5D76">
      <w:pPr>
        <w:spacing w:before="80" w:after="80"/>
      </w:pPr>
      <w:r>
        <w:rPr>
          <w:color w:val="000000"/>
        </w:rPr>
        <w:t>The MPI uses a rolling three-year calibration window. Each year's cohort baseline is expressed relative to the three-year average baseline for the same school, rather than to an absolute national benchmark. This produces what Meridian terms the calibrated progress delta — the progress measure used in all programme-level impact statements.</w:t>
      </w:r>
    </w:p>
    <w:p w14:paraId="1C35C342" w14:textId="77777777" w:rsidR="002D5D76" w:rsidRDefault="002D5D76" w:rsidP="002D5D76">
      <w:pPr>
        <w:spacing w:before="80" w:after="80"/>
      </w:pPr>
      <w:r>
        <w:rPr>
          <w:color w:val="000000"/>
        </w:rPr>
        <w:t>The calibrated progress delta is the figure used in all MPI impact communications, including renewal evidence packs. Staff preparing such documents should use the calibrated figure, not raw progress data. Using uncalibrated data will produce results that are not comparable to previously published MPI impact statistics and will require correction.</w:t>
      </w:r>
    </w:p>
    <w:p w14:paraId="5590798A" w14:textId="77777777" w:rsidR="002D5D76" w:rsidRDefault="002D5D76" w:rsidP="002D5D76">
      <w:pPr>
        <w:spacing w:before="80" w:after="80"/>
      </w:pPr>
      <w:r>
        <w:rPr>
          <w:color w:val="000000"/>
        </w:rPr>
        <w:t>A worked example of the cohort calibration methodology is provided in Appendix B.</w:t>
      </w:r>
    </w:p>
    <w:p w14:paraId="229396AD" w14:textId="77777777" w:rsidR="002D5D76" w:rsidRDefault="002D5D76" w:rsidP="002D5D76">
      <w:pPr>
        <w:spacing w:before="40" w:after="40"/>
      </w:pPr>
    </w:p>
    <w:p w14:paraId="130821C6" w14:textId="77777777" w:rsidR="002D5D76" w:rsidRDefault="002D5D76" w:rsidP="002D5D76">
      <w:pPr>
        <w:pStyle w:val="Heading2"/>
      </w:pPr>
      <w:r>
        <w:rPr>
          <w:rFonts w:ascii="Arial" w:eastAsia="Arial" w:hAnsi="Arial" w:cs="Arial"/>
          <w:b/>
          <w:bCs/>
          <w:color w:val="1B2631"/>
          <w:sz w:val="28"/>
          <w:szCs w:val="28"/>
        </w:rPr>
        <w:lastRenderedPageBreak/>
        <w:t>3.4 — Annual Impact Calculation</w:t>
      </w:r>
    </w:p>
    <w:p w14:paraId="3A0461E0" w14:textId="77777777" w:rsidR="002D5D76" w:rsidRDefault="002D5D76" w:rsidP="002D5D76">
      <w:pPr>
        <w:spacing w:before="80" w:after="80"/>
      </w:pPr>
      <w:r>
        <w:rPr>
          <w:color w:val="000000"/>
        </w:rPr>
        <w:t>The annual impact calculation aggregates school-level calibrated progress deltas across all programme schools to produce the MPI's headline effect size figure. This figure is what appears in Meridian's commercial materials, renewal evidence packs, and published summaries.</w:t>
      </w:r>
    </w:p>
    <w:p w14:paraId="552BAA03" w14:textId="77777777" w:rsidR="002D5D76" w:rsidRDefault="002D5D76" w:rsidP="002D5D76">
      <w:pPr>
        <w:spacing w:before="80" w:after="80"/>
      </w:pPr>
      <w:r>
        <w:rPr>
          <w:color w:val="000000"/>
        </w:rPr>
        <w:t>The calculation is a weighted average, where weighting reflects school size (larger schools receive proportionally more weight) and programme tenure (schools in their first year of implementation are down-weighted by a factor of 0.7 to account for implementation-year variance). The resulting effect size is expressed as Cohen's d, as described in Chapter 2.</w:t>
      </w:r>
    </w:p>
    <w:p w14:paraId="0726148D" w14:textId="77777777" w:rsidR="002D5D76" w:rsidRDefault="002D5D76" w:rsidP="002D5D76">
      <w:pPr>
        <w:spacing w:before="80" w:after="80"/>
      </w:pPr>
      <w:r>
        <w:rPr>
          <w:color w:val="000000"/>
        </w:rPr>
        <w:t xml:space="preserve">The current published MPI effect size is 0.61, based on 2022–2024 outcome data across programme schools. This figure should be cited in all renewal documents and impact summaries. It should not be modified, adjusted, or qualified without explicit sign-off from the Outcomes &amp; Impact </w:t>
      </w:r>
      <w:proofErr w:type="gramStart"/>
      <w:r>
        <w:rPr>
          <w:color w:val="000000"/>
        </w:rPr>
        <w:t>lead.¹</w:t>
      </w:r>
      <w:proofErr w:type="gramEnd"/>
    </w:p>
    <w:p w14:paraId="5AEF286F" w14:textId="77777777" w:rsidR="002D5D76" w:rsidRDefault="002D5D76" w:rsidP="002D5D76">
      <w:pPr>
        <w:spacing w:before="40" w:after="40"/>
      </w:pPr>
    </w:p>
    <w:p w14:paraId="23EF018B" w14:textId="77777777" w:rsidR="002D5D76" w:rsidRDefault="002D5D76" w:rsidP="002D5D76">
      <w:pPr>
        <w:spacing w:before="80" w:after="80"/>
      </w:pPr>
      <w:r>
        <w:rPr>
          <w:color w:val="CCCCCC"/>
          <w:sz w:val="16"/>
          <w:szCs w:val="16"/>
        </w:rPr>
        <w:t>─────────────────────────</w:t>
      </w:r>
    </w:p>
    <w:p w14:paraId="231AF575" w14:textId="77777777" w:rsidR="002D5D76" w:rsidRDefault="002D5D76" w:rsidP="002D5D76">
      <w:pPr>
        <w:spacing w:before="40" w:after="40"/>
      </w:pPr>
      <w:r>
        <w:rPr>
          <w:b/>
          <w:bCs/>
          <w:color w:val="922B21"/>
          <w:sz w:val="16"/>
          <w:szCs w:val="16"/>
        </w:rPr>
        <w:t xml:space="preserve">1 </w:t>
      </w:r>
      <w:r>
        <w:rPr>
          <w:color w:val="555555"/>
          <w:sz w:val="16"/>
          <w:szCs w:val="16"/>
        </w:rPr>
        <w:t xml:space="preserve">The effect size of 0.61 is calculated </w:t>
      </w:r>
      <w:proofErr w:type="gramStart"/>
      <w:r>
        <w:rPr>
          <w:color w:val="555555"/>
          <w:sz w:val="16"/>
          <w:szCs w:val="16"/>
        </w:rPr>
        <w:t>on the basis of</w:t>
      </w:r>
      <w:proofErr w:type="gramEnd"/>
      <w:r>
        <w:rPr>
          <w:color w:val="555555"/>
          <w:sz w:val="16"/>
          <w:szCs w:val="16"/>
        </w:rPr>
        <w:t xml:space="preserve"> schools meeting the programme's implementation and fidelity standards. The methodology for determining which schools meet these standards is set out in Chapter 11 and Appendix C.</w:t>
      </w:r>
    </w:p>
    <w:p w14:paraId="5C4759AD" w14:textId="77777777" w:rsidR="002D5D76" w:rsidRDefault="002D5D76" w:rsidP="002D5D76">
      <w:pPr>
        <w:spacing w:before="40" w:after="40"/>
      </w:pPr>
    </w:p>
    <w:p w14:paraId="38482953" w14:textId="77777777" w:rsidR="002D5D76" w:rsidRDefault="002D5D76" w:rsidP="002D5D76">
      <w:pPr>
        <w:pStyle w:val="Heading1"/>
      </w:pPr>
      <w:r>
        <w:rPr>
          <w:rFonts w:ascii="Arial" w:eastAsia="Arial" w:hAnsi="Arial" w:cs="Arial"/>
          <w:b/>
          <w:bCs/>
          <w:color w:val="1B2631"/>
          <w:sz w:val="36"/>
          <w:szCs w:val="36"/>
        </w:rPr>
        <w:t>Chapter 4 — Implementation Standards and Partnership Criteria</w:t>
      </w:r>
    </w:p>
    <w:p w14:paraId="43662912" w14:textId="77777777" w:rsidR="002D5D76" w:rsidRDefault="002D5D76" w:rsidP="002D5D76">
      <w:pPr>
        <w:spacing w:before="80" w:after="80"/>
      </w:pPr>
      <w:r>
        <w:rPr>
          <w:color w:val="000000"/>
        </w:rPr>
        <w:t>The MPI is not a product that schools receive and deploy independently. It is a partnership, and the quality of outcomes is, in Meridian's model, inseparable from the quality of implementation. This chapter sets out what Meridian expects from partner schools, and what partner schools should expect from Meridian.</w:t>
      </w:r>
    </w:p>
    <w:p w14:paraId="4142822A" w14:textId="77777777" w:rsidR="002D5D76" w:rsidRDefault="002D5D76" w:rsidP="002D5D76">
      <w:pPr>
        <w:spacing w:before="40" w:after="40"/>
      </w:pPr>
    </w:p>
    <w:p w14:paraId="2F884AF1" w14:textId="77777777" w:rsidR="002D5D76" w:rsidRDefault="002D5D76" w:rsidP="002D5D76">
      <w:pPr>
        <w:pStyle w:val="Heading2"/>
      </w:pPr>
      <w:r>
        <w:rPr>
          <w:rFonts w:ascii="Arial" w:eastAsia="Arial" w:hAnsi="Arial" w:cs="Arial"/>
          <w:b/>
          <w:bCs/>
          <w:color w:val="1B2631"/>
          <w:sz w:val="28"/>
          <w:szCs w:val="28"/>
        </w:rPr>
        <w:t>4.1 — Minimum Implementation Requirements</w:t>
      </w:r>
    </w:p>
    <w:p w14:paraId="1AAFD68C" w14:textId="77777777" w:rsidR="002D5D76" w:rsidRDefault="002D5D76" w:rsidP="002D5D76">
      <w:pPr>
        <w:spacing w:before="80" w:after="80"/>
      </w:pPr>
      <w:r>
        <w:rPr>
          <w:color w:val="000000"/>
        </w:rPr>
        <w:t>For a school to be counted as an MPI partner school in programme-level analysis, it must meet the following minimum implementation requirements:</w:t>
      </w:r>
    </w:p>
    <w:p w14:paraId="66C667EA" w14:textId="77777777" w:rsidR="002D5D76" w:rsidRDefault="002D5D76" w:rsidP="002D5D76">
      <w:pPr>
        <w:spacing w:before="80" w:after="80"/>
        <w:ind w:left="360"/>
      </w:pPr>
      <w:r>
        <w:rPr>
          <w:color w:val="000000"/>
        </w:rPr>
        <w:t xml:space="preserve">— All three MPI strands must be actively deployed. A school that has adopted curriculum sequencing and professional </w:t>
      </w:r>
      <w:proofErr w:type="gramStart"/>
      <w:r>
        <w:rPr>
          <w:color w:val="000000"/>
        </w:rPr>
        <w:t>development</w:t>
      </w:r>
      <w:proofErr w:type="gramEnd"/>
      <w:r>
        <w:rPr>
          <w:color w:val="000000"/>
        </w:rPr>
        <w:t xml:space="preserve"> but not formative assessment integration is implementing a partial programme and will be treated as such in all data analysis.</w:t>
      </w:r>
    </w:p>
    <w:p w14:paraId="648D588B" w14:textId="77777777" w:rsidR="002D5D76" w:rsidRDefault="002D5D76" w:rsidP="002D5D76">
      <w:pPr>
        <w:spacing w:before="80" w:after="80"/>
        <w:ind w:left="360"/>
      </w:pPr>
      <w:r>
        <w:rPr>
          <w:color w:val="000000"/>
        </w:rPr>
        <w:t>— The designated MPI coordinator must have completed Meridian's two-day coordinator training within the first term of partnership. Schools whose coordinator has not completed this training by the end of the first year are flagged for review.</w:t>
      </w:r>
    </w:p>
    <w:p w14:paraId="1D8AB2DA" w14:textId="77777777" w:rsidR="002D5D76" w:rsidRDefault="002D5D76" w:rsidP="002D5D76">
      <w:pPr>
        <w:spacing w:before="80" w:after="80"/>
        <w:ind w:left="360"/>
      </w:pPr>
      <w:r>
        <w:rPr>
          <w:color w:val="000000"/>
        </w:rPr>
        <w:t>— Annual data submissions must be completed within the specified submission window (see Chapter 5). Late or incomplete submissions affect the school's data inclusion status.</w:t>
      </w:r>
    </w:p>
    <w:p w14:paraId="6CFC0D50" w14:textId="77777777" w:rsidR="002D5D76" w:rsidRDefault="002D5D76" w:rsidP="002D5D76">
      <w:pPr>
        <w:spacing w:before="80" w:after="80"/>
        <w:ind w:left="360"/>
      </w:pPr>
      <w:r>
        <w:rPr>
          <w:color w:val="000000"/>
        </w:rPr>
        <w:t>— The school must participate in the annual MPI audit (see Chapter 9). Refusal to participate, or two consecutive years of non-participation, results in removal from the active programme dataset.</w:t>
      </w:r>
    </w:p>
    <w:p w14:paraId="1C97B824" w14:textId="77777777" w:rsidR="002D5D76" w:rsidRDefault="002D5D76" w:rsidP="002D5D76">
      <w:pPr>
        <w:spacing w:before="40" w:after="40"/>
      </w:pPr>
    </w:p>
    <w:p w14:paraId="037FFD25" w14:textId="77777777" w:rsidR="002D5D76" w:rsidRDefault="002D5D76" w:rsidP="002D5D76">
      <w:pPr>
        <w:pStyle w:val="Heading2"/>
      </w:pPr>
      <w:r>
        <w:rPr>
          <w:rFonts w:ascii="Arial" w:eastAsia="Arial" w:hAnsi="Arial" w:cs="Arial"/>
          <w:b/>
          <w:bCs/>
          <w:color w:val="1B2631"/>
          <w:sz w:val="28"/>
          <w:szCs w:val="28"/>
        </w:rPr>
        <w:t>4.2 — What Meridian Provides</w:t>
      </w:r>
    </w:p>
    <w:p w14:paraId="601F3388" w14:textId="77777777" w:rsidR="002D5D76" w:rsidRDefault="002D5D76" w:rsidP="002D5D76">
      <w:pPr>
        <w:spacing w:before="80" w:after="80"/>
      </w:pPr>
      <w:r>
        <w:rPr>
          <w:color w:val="000000"/>
        </w:rPr>
        <w:t>In exchange for meeting these requirements, partner schools receive: the full MPI curriculum framework (updated annually), access to MPI Connect (the programme's digital platform), coordinator training and ongoing CPD, access to the Meridian practitioner network, and inclusion in programme-level research and reporting.</w:t>
      </w:r>
    </w:p>
    <w:p w14:paraId="2808C000" w14:textId="77777777" w:rsidR="002D5D76" w:rsidRDefault="002D5D76" w:rsidP="002D5D76">
      <w:pPr>
        <w:spacing w:before="80" w:after="80"/>
      </w:pPr>
      <w:r>
        <w:rPr>
          <w:color w:val="000000"/>
        </w:rPr>
        <w:t>Schools also receive an annual impact summary, produced by Meridian's Outcomes &amp; Impact team, that situates their school-level results within the wider programme picture. These summaries are produced using the methodology described in Chapter 3 and are the primary mechanism through which schools understand their programme progress. They are not the same document as the renewal evidence packs produced for local authority clients, though they draw on the same underlying data.</w:t>
      </w:r>
    </w:p>
    <w:p w14:paraId="72BA8070" w14:textId="77777777" w:rsidR="002D5D76" w:rsidRDefault="002D5D76" w:rsidP="002D5D76">
      <w:pPr>
        <w:spacing w:before="40" w:after="40"/>
      </w:pPr>
    </w:p>
    <w:p w14:paraId="77DE2A9E" w14:textId="77777777" w:rsidR="002D5D76" w:rsidRDefault="002D5D76" w:rsidP="002D5D76">
      <w:pPr>
        <w:pStyle w:val="Heading2"/>
      </w:pPr>
      <w:r>
        <w:rPr>
          <w:rFonts w:ascii="Arial" w:eastAsia="Arial" w:hAnsi="Arial" w:cs="Arial"/>
          <w:b/>
          <w:bCs/>
          <w:color w:val="1B2631"/>
          <w:sz w:val="28"/>
          <w:szCs w:val="28"/>
        </w:rPr>
        <w:lastRenderedPageBreak/>
        <w:t>4.3 — Implementation Quality Scoring</w:t>
      </w:r>
    </w:p>
    <w:p w14:paraId="2115D8D3" w14:textId="77777777" w:rsidR="002D5D76" w:rsidRDefault="002D5D76" w:rsidP="002D5D76">
      <w:pPr>
        <w:spacing w:before="80" w:after="80"/>
      </w:pPr>
      <w:r>
        <w:rPr>
          <w:color w:val="000000"/>
        </w:rPr>
        <w:t>Each partner school receives an annual implementation quality score (IQS) derived from the MPI audit process. The IQS feeds directly into the Progress Fidelity Score calculation described in Chapter 3.2. A school with a low IQS will, all else being equal, have a lower PFS — and a lower PFS has consequences for data inclusion that are set out in Chapter 11.</w:t>
      </w:r>
    </w:p>
    <w:p w14:paraId="5E2BE001" w14:textId="77777777" w:rsidR="002D5D76" w:rsidRDefault="002D5D76" w:rsidP="002D5D76">
      <w:pPr>
        <w:spacing w:before="80" w:after="80"/>
      </w:pPr>
      <w:r>
        <w:rPr>
          <w:color w:val="000000"/>
        </w:rPr>
        <w:t>The IQS is scored across eight dimensions: curriculum coverage, assessment integration, CPD participation, coordinator capacity, leadership engagement, data submission quality, pupil engagement indicators, and — in schools where it applies — MPI Connect usage. Each dimension is scored 1–5 by the auditing consultant. The composite IQS is a weighted average of these eight scores, with curriculum coverage and assessment integration carrying double weighting.</w:t>
      </w:r>
    </w:p>
    <w:p w14:paraId="543D7FE5" w14:textId="77777777" w:rsidR="002D5D76" w:rsidRDefault="002D5D76" w:rsidP="002D5D76">
      <w:pPr>
        <w:spacing w:before="80" w:after="80"/>
      </w:pPr>
      <w:r>
        <w:rPr>
          <w:color w:val="000000"/>
        </w:rPr>
        <w:t>The IQS is shared with the school's coordinator and headteacher following each annual audit. It is not published externally.</w:t>
      </w:r>
    </w:p>
    <w:p w14:paraId="566065DB" w14:textId="77777777" w:rsidR="002D5D76" w:rsidRDefault="002D5D76" w:rsidP="002D5D76">
      <w:pPr>
        <w:pStyle w:val="Heading1"/>
      </w:pPr>
      <w:r>
        <w:rPr>
          <w:rFonts w:ascii="Arial" w:eastAsia="Arial" w:hAnsi="Arial" w:cs="Arial"/>
          <w:b/>
          <w:bCs/>
          <w:color w:val="1B2631"/>
          <w:sz w:val="36"/>
          <w:szCs w:val="36"/>
        </w:rPr>
        <w:t>Chapter 5 — Data Collection Protocols</w:t>
      </w:r>
    </w:p>
    <w:p w14:paraId="4B307174" w14:textId="77777777" w:rsidR="002D5D76" w:rsidRDefault="002D5D76" w:rsidP="002D5D76">
      <w:pPr>
        <w:spacing w:before="80" w:after="80"/>
      </w:pPr>
      <w:r>
        <w:rPr>
          <w:color w:val="000000"/>
        </w:rPr>
        <w:t>This chapter describes the data that Meridian collects from partner schools, the format in which it is submitted, the validation procedures applied to incoming data, and the consequences of incomplete or late submission. Staff working on data analysis tasks should be familiar with all four sections.</w:t>
      </w:r>
    </w:p>
    <w:p w14:paraId="1C7D4263" w14:textId="77777777" w:rsidR="002D5D76" w:rsidRDefault="002D5D76" w:rsidP="002D5D76">
      <w:pPr>
        <w:spacing w:before="40" w:after="40"/>
      </w:pPr>
    </w:p>
    <w:p w14:paraId="0C68A23D" w14:textId="77777777" w:rsidR="002D5D76" w:rsidRDefault="002D5D76" w:rsidP="002D5D76">
      <w:pPr>
        <w:pStyle w:val="Heading2"/>
      </w:pPr>
      <w:r>
        <w:rPr>
          <w:rFonts w:ascii="Arial" w:eastAsia="Arial" w:hAnsi="Arial" w:cs="Arial"/>
          <w:b/>
          <w:bCs/>
          <w:color w:val="1B2631"/>
          <w:sz w:val="28"/>
          <w:szCs w:val="28"/>
        </w:rPr>
        <w:t>5.1 — Annual Data Submission Requirements</w:t>
      </w:r>
    </w:p>
    <w:p w14:paraId="2524C292" w14:textId="77777777" w:rsidR="002D5D76" w:rsidRDefault="002D5D76" w:rsidP="002D5D76">
      <w:pPr>
        <w:spacing w:before="80" w:after="80"/>
      </w:pPr>
      <w:r>
        <w:rPr>
          <w:color w:val="000000"/>
        </w:rPr>
        <w:t xml:space="preserve">Each partner school is required to submit the following data annually, via the </w:t>
      </w:r>
      <w:proofErr w:type="spellStart"/>
      <w:r>
        <w:rPr>
          <w:color w:val="000000"/>
        </w:rPr>
        <w:t>SynergyDrive</w:t>
      </w:r>
      <w:proofErr w:type="spellEnd"/>
      <w:r>
        <w:rPr>
          <w:color w:val="000000"/>
        </w:rPr>
        <w:t xml:space="preserve"> submission portal, within six weeks of GCSE results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D5D76" w14:paraId="3163D99C"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0E492EAA" w14:textId="77777777" w:rsidR="002D5D76" w:rsidRDefault="002D5D76" w:rsidP="00C80E8F">
            <w:pPr>
              <w:spacing w:before="80" w:after="80"/>
            </w:pPr>
            <w:r>
              <w:rPr>
                <w:b/>
                <w:bCs/>
                <w:color w:val="000000"/>
                <w:sz w:val="18"/>
                <w:szCs w:val="18"/>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288FD825" w14:textId="77777777" w:rsidR="002D5D76" w:rsidRDefault="002D5D76" w:rsidP="00C80E8F">
            <w:pPr>
              <w:spacing w:before="80" w:after="80"/>
            </w:pPr>
            <w:r>
              <w:rPr>
                <w:b/>
                <w:bCs/>
                <w:color w:val="000000"/>
                <w:sz w:val="18"/>
                <w:szCs w:val="18"/>
              </w:rPr>
              <w:t>Definition</w:t>
            </w:r>
          </w:p>
        </w:tc>
      </w:tr>
      <w:tr w:rsidR="002D5D76" w14:paraId="72BD7411"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EA00B2A" w14:textId="77777777" w:rsidR="002D5D76" w:rsidRDefault="002D5D76" w:rsidP="00C80E8F">
            <w:pPr>
              <w:spacing w:before="80" w:after="80"/>
            </w:pPr>
            <w:r>
              <w:rPr>
                <w:b/>
                <w:bCs/>
                <w:color w:val="000000"/>
                <w:sz w:val="18"/>
                <w:szCs w:val="18"/>
              </w:rPr>
              <w:t>Pupil-level GCSE outcomes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D92DC3" w14:textId="77777777" w:rsidR="002D5D76" w:rsidRDefault="002D5D76" w:rsidP="00C80E8F">
            <w:pPr>
              <w:spacing w:before="80" w:after="80"/>
            </w:pPr>
            <w:r>
              <w:rPr>
                <w:color w:val="000000"/>
                <w:sz w:val="18"/>
                <w:szCs w:val="18"/>
              </w:rPr>
              <w:t>All Year 11 pupils. Subject grades and total score. Anonymised to pupil reference number.</w:t>
            </w:r>
          </w:p>
        </w:tc>
      </w:tr>
      <w:tr w:rsidR="002D5D76" w14:paraId="69D31C73"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691AB565" w14:textId="77777777" w:rsidR="002D5D76" w:rsidRDefault="002D5D76" w:rsidP="00C80E8F">
            <w:pPr>
              <w:spacing w:before="80" w:after="80"/>
            </w:pPr>
            <w:r>
              <w:rPr>
                <w:b/>
                <w:bCs/>
                <w:color w:val="000000"/>
                <w:sz w:val="18"/>
                <w:szCs w:val="18"/>
              </w:rPr>
              <w:t>KS2 baseline data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ADE265" w14:textId="77777777" w:rsidR="002D5D76" w:rsidRDefault="002D5D76" w:rsidP="00C80E8F">
            <w:pPr>
              <w:spacing w:before="80" w:after="80"/>
            </w:pPr>
            <w:r>
              <w:rPr>
                <w:color w:val="000000"/>
                <w:sz w:val="18"/>
                <w:szCs w:val="18"/>
              </w:rPr>
              <w:t>Matched to GCSE cohort where possible. Where matching is not possible, school-level KS2 averages are accepted.</w:t>
            </w:r>
          </w:p>
        </w:tc>
      </w:tr>
      <w:tr w:rsidR="002D5D76" w14:paraId="478BAC46"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62F746DC" w14:textId="77777777" w:rsidR="002D5D76" w:rsidRDefault="002D5D76" w:rsidP="00C80E8F">
            <w:pPr>
              <w:spacing w:before="80" w:after="80"/>
            </w:pPr>
            <w:r>
              <w:rPr>
                <w:b/>
                <w:bCs/>
                <w:color w:val="000000"/>
                <w:sz w:val="18"/>
                <w:szCs w:val="18"/>
              </w:rPr>
              <w:t>Implementation Quality Checklist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665305" w14:textId="77777777" w:rsidR="002D5D76" w:rsidRDefault="002D5D76" w:rsidP="00C80E8F">
            <w:pPr>
              <w:spacing w:before="80" w:after="80"/>
            </w:pPr>
            <w:r>
              <w:rPr>
                <w:color w:val="000000"/>
                <w:sz w:val="18"/>
                <w:szCs w:val="18"/>
              </w:rPr>
              <w:t>Completed by MPI coordinator. Eight dimensions as described in Chapter 4.3.</w:t>
            </w:r>
          </w:p>
        </w:tc>
      </w:tr>
      <w:tr w:rsidR="002D5D76" w14:paraId="13CE07BB"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45CE1E1" w14:textId="77777777" w:rsidR="002D5D76" w:rsidRDefault="002D5D76" w:rsidP="00C80E8F">
            <w:pPr>
              <w:spacing w:before="80" w:after="80"/>
            </w:pPr>
            <w:r>
              <w:rPr>
                <w:b/>
                <w:bCs/>
                <w:color w:val="000000"/>
                <w:sz w:val="18"/>
                <w:szCs w:val="18"/>
              </w:rPr>
              <w:t>Cohort size and composition data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525686" w14:textId="77777777" w:rsidR="002D5D76" w:rsidRDefault="002D5D76" w:rsidP="00C80E8F">
            <w:pPr>
              <w:spacing w:before="80" w:after="80"/>
            </w:pPr>
            <w:r>
              <w:rPr>
                <w:color w:val="000000"/>
                <w:sz w:val="18"/>
                <w:szCs w:val="18"/>
              </w:rPr>
              <w:t>Total Year 11 cohort. Free School Meals %, SEN %, EAL %. Used in calibration.</w:t>
            </w:r>
          </w:p>
        </w:tc>
      </w:tr>
      <w:tr w:rsidR="002D5D76" w14:paraId="663D2EA3"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620B5B7C" w14:textId="77777777" w:rsidR="002D5D76" w:rsidRDefault="002D5D76" w:rsidP="00C80E8F">
            <w:pPr>
              <w:spacing w:before="80" w:after="80"/>
            </w:pPr>
            <w:r>
              <w:rPr>
                <w:b/>
                <w:bCs/>
                <w:color w:val="000000"/>
                <w:sz w:val="18"/>
                <w:szCs w:val="18"/>
              </w:rPr>
              <w:t>Any significant context factors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C199FB" w14:textId="77777777" w:rsidR="002D5D76" w:rsidRDefault="002D5D76" w:rsidP="00C80E8F">
            <w:pPr>
              <w:spacing w:before="80" w:after="80"/>
            </w:pPr>
            <w:r>
              <w:rPr>
                <w:color w:val="000000"/>
                <w:sz w:val="18"/>
                <w:szCs w:val="18"/>
              </w:rPr>
              <w:t>Free text. Staffing changes, building works, external disruptions. Used in audit review.</w:t>
            </w:r>
          </w:p>
        </w:tc>
      </w:tr>
    </w:tbl>
    <w:p w14:paraId="5433181A" w14:textId="77777777" w:rsidR="002D5D76" w:rsidRDefault="002D5D76" w:rsidP="002D5D76">
      <w:pPr>
        <w:spacing w:before="40" w:after="40"/>
      </w:pPr>
    </w:p>
    <w:p w14:paraId="47308512" w14:textId="77777777" w:rsidR="002D5D76" w:rsidRDefault="002D5D76" w:rsidP="002D5D76">
      <w:pPr>
        <w:pStyle w:val="Heading2"/>
      </w:pPr>
      <w:r>
        <w:rPr>
          <w:rFonts w:ascii="Arial" w:eastAsia="Arial" w:hAnsi="Arial" w:cs="Arial"/>
          <w:b/>
          <w:bCs/>
          <w:color w:val="1B2631"/>
          <w:sz w:val="28"/>
          <w:szCs w:val="28"/>
        </w:rPr>
        <w:t>5.2 — Data Validation</w:t>
      </w:r>
    </w:p>
    <w:p w14:paraId="2B6DE566" w14:textId="77777777" w:rsidR="002D5D76" w:rsidRDefault="002D5D76" w:rsidP="002D5D76">
      <w:pPr>
        <w:spacing w:before="80" w:after="80"/>
      </w:pPr>
      <w:r>
        <w:rPr>
          <w:color w:val="000000"/>
        </w:rPr>
        <w:t>All incoming data submissions are subject to automated validation before being added to the programme dataset. The validation process checks for: completeness (all required fields present), range plausibility (no GCSE grades outside the 1–9 scale, no cohort sizes below 10 or above 350), internal consistency (KS2 averages consistent with reported composition data), and submission timeliness.</w:t>
      </w:r>
    </w:p>
    <w:p w14:paraId="32063613" w14:textId="77777777" w:rsidR="002D5D76" w:rsidRDefault="002D5D76" w:rsidP="002D5D76">
      <w:pPr>
        <w:spacing w:before="80" w:after="80"/>
      </w:pPr>
      <w:r>
        <w:rPr>
          <w:color w:val="000000"/>
        </w:rPr>
        <w:t>Submissions that fail validation are returned to the submitting school with a specific error report. Schools have fourteen days to resubmit corrected data. After fourteen days, the submission is marked as incomplete for the relevant year.</w:t>
      </w:r>
    </w:p>
    <w:p w14:paraId="33553D56" w14:textId="77777777" w:rsidR="002D5D76" w:rsidRDefault="002D5D76" w:rsidP="002D5D76">
      <w:pPr>
        <w:spacing w:before="80" w:after="80"/>
      </w:pPr>
      <w:r>
        <w:rPr>
          <w:color w:val="000000"/>
        </w:rPr>
        <w:t xml:space="preserve">Incomplete submissions do not automatically result in exclusion from programme analysis — a school with one incomplete submission year in five may still be included, at the Outcomes lead's discretion. </w:t>
      </w:r>
      <w:r>
        <w:rPr>
          <w:color w:val="000000"/>
        </w:rPr>
        <w:lastRenderedPageBreak/>
        <w:t>However, repeated incomplete submissions are one of the factors considered in Programme Fidelity assessment (Chapter 11).</w:t>
      </w:r>
    </w:p>
    <w:p w14:paraId="681EDC30" w14:textId="77777777" w:rsidR="002D5D76" w:rsidRDefault="002D5D76" w:rsidP="002D5D76">
      <w:pPr>
        <w:spacing w:before="40" w:after="40"/>
      </w:pPr>
    </w:p>
    <w:p w14:paraId="02F21660" w14:textId="77777777" w:rsidR="002D5D76" w:rsidRDefault="002D5D76" w:rsidP="002D5D76">
      <w:pPr>
        <w:pStyle w:val="Heading2"/>
      </w:pPr>
      <w:r>
        <w:rPr>
          <w:rFonts w:ascii="Arial" w:eastAsia="Arial" w:hAnsi="Arial" w:cs="Arial"/>
          <w:b/>
          <w:bCs/>
          <w:color w:val="1B2631"/>
          <w:sz w:val="28"/>
          <w:szCs w:val="28"/>
        </w:rPr>
        <w:t>5.3 — Data Storage and Access</w:t>
      </w:r>
    </w:p>
    <w:p w14:paraId="1C511ACC" w14:textId="77777777" w:rsidR="002D5D76" w:rsidRDefault="002D5D76" w:rsidP="002D5D76">
      <w:pPr>
        <w:spacing w:before="80" w:after="80"/>
      </w:pPr>
      <w:r>
        <w:rPr>
          <w:color w:val="000000"/>
        </w:rPr>
        <w:t xml:space="preserve">Validated data is stored in Meridian's internal </w:t>
      </w:r>
      <w:proofErr w:type="spellStart"/>
      <w:r>
        <w:rPr>
          <w:color w:val="000000"/>
        </w:rPr>
        <w:t>SynergyDrive</w:t>
      </w:r>
      <w:proofErr w:type="spellEnd"/>
      <w:r>
        <w:rPr>
          <w:color w:val="000000"/>
        </w:rPr>
        <w:t xml:space="preserve"> system, within the </w:t>
      </w:r>
      <w:proofErr w:type="spellStart"/>
      <w:r>
        <w:rPr>
          <w:color w:val="000000"/>
        </w:rPr>
        <w:t>Impact_Data</w:t>
      </w:r>
      <w:proofErr w:type="spellEnd"/>
      <w:r>
        <w:rPr>
          <w:color w:val="000000"/>
        </w:rPr>
        <w:t xml:space="preserve"> folder structure. The current active dataset — </w:t>
      </w:r>
      <w:proofErr w:type="spellStart"/>
      <w:r>
        <w:rPr>
          <w:color w:val="000000"/>
        </w:rPr>
        <w:t>MPI_Current</w:t>
      </w:r>
      <w:proofErr w:type="spellEnd"/>
      <w:r>
        <w:rPr>
          <w:color w:val="000000"/>
        </w:rPr>
        <w:t xml:space="preserve"> — contains school-level outcome summaries for all schools currently included in programme analysis. Historical and archived data is stored separately and is not used in current impact calculations.</w:t>
      </w:r>
    </w:p>
    <w:p w14:paraId="6E7DC73F" w14:textId="77777777" w:rsidR="002D5D76" w:rsidRDefault="002D5D76" w:rsidP="002D5D76">
      <w:pPr>
        <w:spacing w:before="80" w:after="80"/>
      </w:pPr>
      <w:r>
        <w:rPr>
          <w:color w:val="000000"/>
        </w:rPr>
        <w:t xml:space="preserve">Access to pupil-level data is restricted to the Outcomes &amp; Impact team and to named individuals on specific projects. Anonymised school-level data may be accessed by all staff with </w:t>
      </w:r>
      <w:proofErr w:type="spellStart"/>
      <w:r>
        <w:rPr>
          <w:color w:val="000000"/>
        </w:rPr>
        <w:t>SynergyDrive</w:t>
      </w:r>
      <w:proofErr w:type="spellEnd"/>
      <w:r>
        <w:rPr>
          <w:color w:val="000000"/>
        </w:rPr>
        <w:t xml:space="preserve"> access, subject to the terms of this handbook.</w:t>
      </w:r>
    </w:p>
    <w:p w14:paraId="6A51A323" w14:textId="77777777" w:rsidR="002D5D76" w:rsidRDefault="002D5D76" w:rsidP="002D5D76">
      <w:pPr>
        <w:spacing w:before="80" w:after="80"/>
      </w:pPr>
      <w:r>
        <w:rPr>
          <w:color w:val="000000"/>
        </w:rPr>
        <w:t xml:space="preserve">Staff should not access, modify, or reference the </w:t>
      </w:r>
      <w:proofErr w:type="spellStart"/>
      <w:r>
        <w:rPr>
          <w:color w:val="000000"/>
        </w:rPr>
        <w:t>Archive_DO_NOT_USE</w:t>
      </w:r>
      <w:proofErr w:type="spellEnd"/>
      <w:r>
        <w:rPr>
          <w:color w:val="000000"/>
        </w:rPr>
        <w:t xml:space="preserve"> folder within </w:t>
      </w:r>
      <w:proofErr w:type="spellStart"/>
      <w:r>
        <w:rPr>
          <w:color w:val="000000"/>
        </w:rPr>
        <w:t>SynergyDrive</w:t>
      </w:r>
      <w:proofErr w:type="spellEnd"/>
      <w:r>
        <w:rPr>
          <w:color w:val="000000"/>
        </w:rPr>
        <w:t xml:space="preserve"> without prior authorisation. This folder contains superseded and excluded data files that are not part of the active programme dataset. Referencing this data in client reports or renewal packs without authorisation would constitute a serious data governance </w:t>
      </w:r>
      <w:proofErr w:type="gramStart"/>
      <w:r>
        <w:rPr>
          <w:color w:val="000000"/>
        </w:rPr>
        <w:t>error.²</w:t>
      </w:r>
      <w:proofErr w:type="gramEnd"/>
    </w:p>
    <w:p w14:paraId="58EC5B3E" w14:textId="77777777" w:rsidR="002D5D76" w:rsidRDefault="002D5D76" w:rsidP="002D5D76">
      <w:pPr>
        <w:spacing w:before="40" w:after="40"/>
      </w:pPr>
    </w:p>
    <w:p w14:paraId="7E753814" w14:textId="77777777" w:rsidR="002D5D76" w:rsidRDefault="002D5D76" w:rsidP="002D5D76">
      <w:pPr>
        <w:spacing w:before="80" w:after="80"/>
      </w:pPr>
      <w:r>
        <w:rPr>
          <w:color w:val="CCCCCC"/>
          <w:sz w:val="16"/>
          <w:szCs w:val="16"/>
        </w:rPr>
        <w:t>─────────────────────────</w:t>
      </w:r>
    </w:p>
    <w:p w14:paraId="71F5604F" w14:textId="77777777" w:rsidR="002D5D76" w:rsidRDefault="002D5D76" w:rsidP="002D5D76">
      <w:pPr>
        <w:spacing w:before="40" w:after="40"/>
      </w:pPr>
      <w:r>
        <w:rPr>
          <w:b/>
          <w:bCs/>
          <w:color w:val="922B21"/>
          <w:sz w:val="16"/>
          <w:szCs w:val="16"/>
        </w:rPr>
        <w:t xml:space="preserve">2 </w:t>
      </w:r>
      <w:r>
        <w:rPr>
          <w:color w:val="555555"/>
          <w:sz w:val="16"/>
          <w:szCs w:val="16"/>
        </w:rPr>
        <w:t>The Archive folder contains earlier versions of programme datasets that predate current fidelity and compliance standards. These files should not be confused with the current validated dataset. Any queries about archived data should be directed to the Outcomes &amp; Impact lead.</w:t>
      </w:r>
    </w:p>
    <w:p w14:paraId="6D7C9914" w14:textId="77777777" w:rsidR="002D5D76" w:rsidRDefault="002D5D76" w:rsidP="002D5D76">
      <w:pPr>
        <w:pStyle w:val="Heading1"/>
      </w:pPr>
      <w:r>
        <w:rPr>
          <w:rFonts w:ascii="Arial" w:eastAsia="Arial" w:hAnsi="Arial" w:cs="Arial"/>
          <w:b/>
          <w:bCs/>
          <w:color w:val="1B2631"/>
          <w:sz w:val="36"/>
          <w:szCs w:val="36"/>
        </w:rPr>
        <w:t>Chapter 6 — Evidence Base and Outcome Data</w:t>
      </w:r>
    </w:p>
    <w:p w14:paraId="60098123" w14:textId="77777777" w:rsidR="002D5D76" w:rsidRDefault="002D5D76" w:rsidP="002D5D76">
      <w:pPr>
        <w:spacing w:before="80" w:after="80"/>
      </w:pPr>
      <w:r>
        <w:rPr>
          <w:color w:val="000000"/>
        </w:rPr>
        <w:t>This chapter summarises the evidence base for the MPI's effectiveness. It should be read alongside Chapter 3, which describes how the headline figures are produced. The two chapters together constitute the complete picture of what Meridian can and cannot claim about programme impact.</w:t>
      </w:r>
    </w:p>
    <w:p w14:paraId="67ABF2B4" w14:textId="77777777" w:rsidR="002D5D76" w:rsidRDefault="002D5D76" w:rsidP="002D5D76">
      <w:pPr>
        <w:spacing w:before="40" w:after="40"/>
      </w:pPr>
    </w:p>
    <w:p w14:paraId="4A8ADF2C" w14:textId="77777777" w:rsidR="002D5D76" w:rsidRDefault="002D5D76" w:rsidP="002D5D76">
      <w:pPr>
        <w:pStyle w:val="Heading2"/>
      </w:pPr>
      <w:r>
        <w:rPr>
          <w:rFonts w:ascii="Arial" w:eastAsia="Arial" w:hAnsi="Arial" w:cs="Arial"/>
          <w:b/>
          <w:bCs/>
          <w:color w:val="1B2631"/>
          <w:sz w:val="28"/>
          <w:szCs w:val="28"/>
        </w:rPr>
        <w:t>6.1 — Published Effect Size</w:t>
      </w:r>
    </w:p>
    <w:p w14:paraId="4CA07785" w14:textId="77777777" w:rsidR="002D5D76" w:rsidRDefault="002D5D76" w:rsidP="002D5D76">
      <w:pPr>
        <w:spacing w:before="80" w:after="80"/>
      </w:pPr>
      <w:r>
        <w:rPr>
          <w:color w:val="000000"/>
        </w:rPr>
        <w:t>As noted in Chapter 3, the current published MPI effect size is 0.61, based on 2022–2024 outcome data. This is a substantial effect by educational research standards — well above Hattie's 0.4 hinge point, and comparable to the upper range of effect sizes reported for high-quality formative assessment interventions.</w:t>
      </w:r>
    </w:p>
    <w:p w14:paraId="43160FAB" w14:textId="77777777" w:rsidR="002D5D76" w:rsidRDefault="002D5D76" w:rsidP="002D5D76">
      <w:pPr>
        <w:spacing w:before="80" w:after="80"/>
      </w:pPr>
      <w:r>
        <w:rPr>
          <w:color w:val="000000"/>
        </w:rPr>
        <w:t>The figure represents the average calibrated progress delta across MPI partner schools, expressed as Cohen's d relative to a matched comparison group of non-programme schools in the same districts. The comparison group is constructed using propensity score matching on school size, FSM rate, prior attainment, and urban/rural classification.</w:t>
      </w:r>
    </w:p>
    <w:p w14:paraId="4063F19B" w14:textId="77777777" w:rsidR="002D5D76" w:rsidRDefault="002D5D76" w:rsidP="002D5D76">
      <w:pPr>
        <w:spacing w:before="80" w:after="80"/>
      </w:pPr>
      <w:r>
        <w:rPr>
          <w:color w:val="000000"/>
        </w:rPr>
        <w:t>It is worth being precise about what this figure means and what it does not mean. It means that, on average, pupils in MPI schools made more progress than statistically similar pupils in non-MPI schools, and that the gap was large enough to be meaningful rather than merely detectable. It does not mean that every MPI school outperforms every non-MPI school. It does not mean that the programme will produce the same effect in every context. It does not mean that the effect size is stable across all subgroups of schools.</w:t>
      </w:r>
    </w:p>
    <w:p w14:paraId="5538A305"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D5D76" w14:paraId="60B52414" w14:textId="77777777" w:rsidTr="00C80E8F">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78D2DD3E" w14:textId="77777777" w:rsidR="002D5D76" w:rsidRDefault="002D5D76" w:rsidP="00C80E8F">
            <w:pPr>
              <w:spacing w:before="60" w:after="60"/>
            </w:pPr>
            <w:r>
              <w:rPr>
                <w:b/>
                <w:bCs/>
                <w:color w:val="1A5276"/>
                <w:sz w:val="18"/>
                <w:szCs w:val="18"/>
              </w:rPr>
              <w:t>ON THE EVIDENCE BASE — A NOTE FOR ANALYTICAL STAFF</w:t>
            </w:r>
          </w:p>
          <w:p w14:paraId="4C7E78FA" w14:textId="77777777" w:rsidR="002D5D76" w:rsidRDefault="002D5D76" w:rsidP="00C80E8F">
            <w:pPr>
              <w:spacing w:before="40" w:after="40"/>
            </w:pPr>
          </w:p>
          <w:p w14:paraId="2AF3E690" w14:textId="77777777" w:rsidR="002D5D76" w:rsidRDefault="002D5D76" w:rsidP="00C80E8F">
            <w:pPr>
              <w:spacing w:before="40" w:after="40"/>
            </w:pPr>
            <w:r>
              <w:rPr>
                <w:color w:val="000000"/>
                <w:sz w:val="18"/>
                <w:szCs w:val="18"/>
              </w:rPr>
              <w:t>The 0.61 effect size is a real finding, produced by a legitimate methodology. It is not fabricated.</w:t>
            </w:r>
          </w:p>
          <w:p w14:paraId="69E0F0AF" w14:textId="77777777" w:rsidR="002D5D76" w:rsidRDefault="002D5D76" w:rsidP="00C80E8F">
            <w:pPr>
              <w:spacing w:before="40" w:after="40"/>
            </w:pPr>
          </w:p>
          <w:p w14:paraId="757E69A0" w14:textId="77777777" w:rsidR="002D5D76" w:rsidRDefault="002D5D76" w:rsidP="00C80E8F">
            <w:pPr>
              <w:spacing w:before="40" w:after="40"/>
            </w:pPr>
            <w:r>
              <w:rPr>
                <w:color w:val="000000"/>
                <w:sz w:val="18"/>
                <w:szCs w:val="18"/>
              </w:rPr>
              <w:t xml:space="preserve">What analytical staff should understand is that it is an average across a specific set of schools — the schools currently included in the </w:t>
            </w:r>
            <w:proofErr w:type="spellStart"/>
            <w:r>
              <w:rPr>
                <w:color w:val="000000"/>
                <w:sz w:val="18"/>
                <w:szCs w:val="18"/>
              </w:rPr>
              <w:t>MPI_Current</w:t>
            </w:r>
            <w:proofErr w:type="spellEnd"/>
            <w:r>
              <w:rPr>
                <w:color w:val="000000"/>
                <w:sz w:val="18"/>
                <w:szCs w:val="18"/>
              </w:rPr>
              <w:t xml:space="preserve"> dataset. The composition of that dataset, and the criteria by which schools are included or excluded from it, are described in Chapter 11.</w:t>
            </w:r>
          </w:p>
          <w:p w14:paraId="0DA7093A" w14:textId="77777777" w:rsidR="002D5D76" w:rsidRDefault="002D5D76" w:rsidP="00C80E8F">
            <w:pPr>
              <w:spacing w:before="40" w:after="40"/>
            </w:pPr>
          </w:p>
          <w:p w14:paraId="5C19B156" w14:textId="77777777" w:rsidR="002D5D76" w:rsidRDefault="002D5D76" w:rsidP="00C80E8F">
            <w:pPr>
              <w:spacing w:before="40" w:after="40"/>
            </w:pPr>
            <w:r>
              <w:rPr>
                <w:color w:val="000000"/>
                <w:sz w:val="18"/>
                <w:szCs w:val="18"/>
              </w:rPr>
              <w:lastRenderedPageBreak/>
              <w:t>Staff preparing renewal evidence packs should cite the 0.61 figure accurately. They should also be precise about what it covers.</w:t>
            </w:r>
          </w:p>
        </w:tc>
      </w:tr>
    </w:tbl>
    <w:p w14:paraId="20360C6D" w14:textId="77777777" w:rsidR="002D5D76" w:rsidRDefault="002D5D76" w:rsidP="002D5D76">
      <w:pPr>
        <w:spacing w:before="40" w:after="40"/>
      </w:pPr>
    </w:p>
    <w:p w14:paraId="5487806C" w14:textId="77777777" w:rsidR="002D5D76" w:rsidRDefault="002D5D76" w:rsidP="002D5D76">
      <w:pPr>
        <w:pStyle w:val="Heading2"/>
      </w:pPr>
      <w:r>
        <w:rPr>
          <w:rFonts w:ascii="Arial" w:eastAsia="Arial" w:hAnsi="Arial" w:cs="Arial"/>
          <w:b/>
          <w:bCs/>
          <w:color w:val="1B2631"/>
          <w:sz w:val="28"/>
          <w:szCs w:val="28"/>
        </w:rPr>
        <w:t>6.2 — School-Level Variation</w:t>
      </w:r>
    </w:p>
    <w:p w14:paraId="6D568C5E" w14:textId="77777777" w:rsidR="002D5D76" w:rsidRDefault="002D5D76" w:rsidP="002D5D76">
      <w:pPr>
        <w:spacing w:before="80" w:after="80"/>
      </w:pPr>
      <w:r>
        <w:rPr>
          <w:color w:val="000000"/>
        </w:rPr>
        <w:t>The headline effect size conceals meaningful school-level variation. Across the current programme dataset, school-level effect sizes range from approximately 0.3 to 1.1. The distribution is broadly normal, with most schools clustered between 0.45 and 0.75.</w:t>
      </w:r>
    </w:p>
    <w:p w14:paraId="2C53E9E3" w14:textId="77777777" w:rsidR="002D5D76" w:rsidRDefault="002D5D76" w:rsidP="002D5D76">
      <w:pPr>
        <w:spacing w:before="80" w:after="80"/>
      </w:pPr>
      <w:r>
        <w:rPr>
          <w:color w:val="000000"/>
        </w:rPr>
        <w:t>This variation is not random. It is correlated, moderately but consistently, with three factors: years of programme tenure (longer-tenured schools tend to show stronger effects), implementation quality score (higher IQS correlates with stronger outcomes), and school size (mid-size schools of 800–1200 pupils tend to outperform both very small and very large schools on the MPI measures).</w:t>
      </w:r>
    </w:p>
    <w:p w14:paraId="2A406722" w14:textId="77777777" w:rsidR="002D5D76" w:rsidRDefault="002D5D76" w:rsidP="002D5D76">
      <w:pPr>
        <w:spacing w:before="80" w:after="80"/>
      </w:pPr>
      <w:r>
        <w:rPr>
          <w:color w:val="000000"/>
        </w:rPr>
        <w:t>These correlations are informative for programme development. They are less useful for client communications, which should generally cite programme-level rather than school-level figures.</w:t>
      </w:r>
    </w:p>
    <w:p w14:paraId="03C149A3" w14:textId="77777777" w:rsidR="002D5D76" w:rsidRDefault="002D5D76" w:rsidP="002D5D76">
      <w:pPr>
        <w:spacing w:before="40" w:after="40"/>
      </w:pPr>
    </w:p>
    <w:p w14:paraId="2932B43A" w14:textId="77777777" w:rsidR="002D5D76" w:rsidRDefault="002D5D76" w:rsidP="002D5D76">
      <w:pPr>
        <w:pStyle w:val="Heading2"/>
      </w:pPr>
      <w:r>
        <w:rPr>
          <w:rFonts w:ascii="Arial" w:eastAsia="Arial" w:hAnsi="Arial" w:cs="Arial"/>
          <w:b/>
          <w:bCs/>
          <w:color w:val="1B2631"/>
          <w:sz w:val="28"/>
          <w:szCs w:val="28"/>
        </w:rPr>
        <w:t>6.3 — Subject-Level Outcomes</w:t>
      </w:r>
    </w:p>
    <w:p w14:paraId="1938EFE3" w14:textId="77777777" w:rsidR="002D5D76" w:rsidRDefault="002D5D76" w:rsidP="002D5D76">
      <w:pPr>
        <w:spacing w:before="80" w:after="80"/>
      </w:pPr>
      <w:r>
        <w:rPr>
          <w:color w:val="000000"/>
        </w:rPr>
        <w:t>MPI outcomes are strongest in English and mathematics, where the curriculum sequencing strand has the greatest structural impact. Science outcomes are moderately positive but more variable. Humanities outcomes are less consistent and more dependent on individual practitioner quality than on programme deployment.</w:t>
      </w:r>
    </w:p>
    <w:p w14:paraId="385790A3" w14:textId="77777777" w:rsidR="002D5D76" w:rsidRDefault="002D5D76" w:rsidP="002D5D76">
      <w:pPr>
        <w:spacing w:before="80" w:after="80"/>
      </w:pPr>
      <w:r>
        <w:rPr>
          <w:color w:val="000000"/>
        </w:rPr>
        <w:t>These subject-level patterns are consistent across multiple years of data. They suggest that the MPI's impact is not uniform across the curriculum, which is a legitimate finding that Meridian's own internal research has confirmed. Client communications that imply uniform cross-subject benefit are not consistent with the evidence base.</w:t>
      </w:r>
    </w:p>
    <w:p w14:paraId="12548766" w14:textId="77777777" w:rsidR="002D5D76" w:rsidRDefault="002D5D76" w:rsidP="002D5D76">
      <w:pPr>
        <w:spacing w:before="80" w:after="80"/>
      </w:pPr>
      <w:r>
        <w:rPr>
          <w:color w:val="000000"/>
        </w:rPr>
        <w:t xml:space="preserve">No Year 11 subject-level breakdown is currently included in the </w:t>
      </w:r>
      <w:proofErr w:type="spellStart"/>
      <w:r>
        <w:rPr>
          <w:color w:val="000000"/>
        </w:rPr>
        <w:t>MPI_Current</w:t>
      </w:r>
      <w:proofErr w:type="spellEnd"/>
      <w:r>
        <w:rPr>
          <w:color w:val="000000"/>
        </w:rPr>
        <w:t xml:space="preserve"> dataset. School-level data is aggregated across subjects. Requests for subject-level analysis should be directed to the Outcomes &amp; Impact </w:t>
      </w:r>
      <w:proofErr w:type="gramStart"/>
      <w:r>
        <w:rPr>
          <w:color w:val="000000"/>
        </w:rPr>
        <w:t>team.³</w:t>
      </w:r>
      <w:proofErr w:type="gramEnd"/>
    </w:p>
    <w:p w14:paraId="4FDB00C9" w14:textId="77777777" w:rsidR="002D5D76" w:rsidRDefault="002D5D76" w:rsidP="002D5D76">
      <w:pPr>
        <w:spacing w:before="40" w:after="40"/>
      </w:pPr>
    </w:p>
    <w:p w14:paraId="1FBA09B8" w14:textId="77777777" w:rsidR="002D5D76" w:rsidRDefault="002D5D76" w:rsidP="002D5D76">
      <w:pPr>
        <w:spacing w:before="80" w:after="80"/>
      </w:pPr>
      <w:r>
        <w:rPr>
          <w:color w:val="CCCCCC"/>
          <w:sz w:val="16"/>
          <w:szCs w:val="16"/>
        </w:rPr>
        <w:t>─────────────────────────</w:t>
      </w:r>
    </w:p>
    <w:p w14:paraId="3F13A47F" w14:textId="77777777" w:rsidR="002D5D76" w:rsidRDefault="002D5D76" w:rsidP="002D5D76">
      <w:pPr>
        <w:spacing w:before="40" w:after="40"/>
      </w:pPr>
      <w:r>
        <w:rPr>
          <w:b/>
          <w:bCs/>
          <w:color w:val="922B21"/>
          <w:sz w:val="16"/>
          <w:szCs w:val="16"/>
        </w:rPr>
        <w:t xml:space="preserve">3 </w:t>
      </w:r>
      <w:r>
        <w:rPr>
          <w:color w:val="555555"/>
          <w:sz w:val="16"/>
          <w:szCs w:val="16"/>
        </w:rPr>
        <w:t>Subject-level data collection is under review for inclusion in the next programme edition. At present, subject-level claims in client documents should be described as indicative rather than evidenced.</w:t>
      </w:r>
    </w:p>
    <w:p w14:paraId="6F9A6F01" w14:textId="77777777" w:rsidR="002D5D76" w:rsidRDefault="002D5D76" w:rsidP="002D5D76">
      <w:pPr>
        <w:pStyle w:val="Heading1"/>
      </w:pPr>
      <w:r>
        <w:rPr>
          <w:rFonts w:ascii="Arial" w:eastAsia="Arial" w:hAnsi="Arial" w:cs="Arial"/>
          <w:b/>
          <w:bCs/>
          <w:color w:val="1B2631"/>
          <w:sz w:val="36"/>
          <w:szCs w:val="36"/>
        </w:rPr>
        <w:t>Chapter 7 — Reporting and Analysis Guidelines</w:t>
      </w:r>
    </w:p>
    <w:p w14:paraId="12A17586" w14:textId="77777777" w:rsidR="002D5D76" w:rsidRDefault="002D5D76" w:rsidP="002D5D76">
      <w:pPr>
        <w:spacing w:before="80" w:after="80"/>
      </w:pPr>
      <w:r>
        <w:rPr>
          <w:color w:val="000000"/>
        </w:rPr>
        <w:t>This chapter provides guidance for staff producing MPI-related analysis and reporting outputs. It covers document structure, data citation standards, the use of comparative data, and the specific requirements for renewal evidence packs. It should be read in conjunction with Chapter 3 (methodology) and Chapter 11 (compliance standards).</w:t>
      </w:r>
    </w:p>
    <w:p w14:paraId="57264868" w14:textId="77777777" w:rsidR="002D5D76" w:rsidRDefault="002D5D76" w:rsidP="002D5D76">
      <w:pPr>
        <w:spacing w:before="80" w:after="80"/>
      </w:pPr>
      <w:r>
        <w:rPr>
          <w:color w:val="000000"/>
        </w:rPr>
        <w:t>These guidelines exist because Meridian's reporting output is the primary interface between its evidence base and its clients. Inaccurate, inconsistent, or poorly evidenced reporting damages client relationships, exposes Meridian to commercial and reputational risk, and — more fundamentally — fails the schools and pupils whose data underlies the work.</w:t>
      </w:r>
    </w:p>
    <w:p w14:paraId="72B4967E" w14:textId="77777777" w:rsidR="002D5D76" w:rsidRDefault="002D5D76" w:rsidP="002D5D76">
      <w:pPr>
        <w:spacing w:before="40" w:after="40"/>
      </w:pPr>
    </w:p>
    <w:p w14:paraId="14FE6260" w14:textId="77777777" w:rsidR="002D5D76" w:rsidRDefault="002D5D76" w:rsidP="002D5D76">
      <w:pPr>
        <w:pStyle w:val="Heading2"/>
      </w:pPr>
      <w:r>
        <w:rPr>
          <w:rFonts w:ascii="Arial" w:eastAsia="Arial" w:hAnsi="Arial" w:cs="Arial"/>
          <w:b/>
          <w:bCs/>
          <w:color w:val="1B2631"/>
          <w:sz w:val="28"/>
          <w:szCs w:val="28"/>
        </w:rPr>
        <w:t>7.1 — Data Citation Standards</w:t>
      </w:r>
    </w:p>
    <w:p w14:paraId="7E10C76D" w14:textId="77777777" w:rsidR="002D5D76" w:rsidRDefault="002D5D76" w:rsidP="002D5D76">
      <w:pPr>
        <w:spacing w:before="80" w:after="80"/>
      </w:pPr>
      <w:r>
        <w:rPr>
          <w:color w:val="000000"/>
        </w:rPr>
        <w:t>All quantitative claims in Meridian documents must be traceable to a specific data source. "Data shows..." is not an acceptable citation. "</w:t>
      </w:r>
      <w:proofErr w:type="spellStart"/>
      <w:r>
        <w:rPr>
          <w:color w:val="000000"/>
        </w:rPr>
        <w:t>MPI_Current</w:t>
      </w:r>
      <w:proofErr w:type="spellEnd"/>
      <w:r>
        <w:rPr>
          <w:color w:val="000000"/>
        </w:rPr>
        <w:t xml:space="preserve"> dataset, 2022–2024, calibrated progress delta" is. The specificity matters because it allows the claim to be verified, challenged, and updated when new data becomes available.</w:t>
      </w:r>
    </w:p>
    <w:p w14:paraId="64BF9688" w14:textId="77777777" w:rsidR="002D5D76" w:rsidRDefault="002D5D76" w:rsidP="002D5D76">
      <w:pPr>
        <w:spacing w:before="80" w:after="80"/>
      </w:pPr>
      <w:r>
        <w:rPr>
          <w:color w:val="000000"/>
        </w:rPr>
        <w:t>The following citation formats should be used in all internal and client-facing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D5D76" w14:paraId="41386F9B"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24FEDC04" w14:textId="77777777" w:rsidR="002D5D76" w:rsidRDefault="002D5D76" w:rsidP="00C80E8F">
            <w:pPr>
              <w:spacing w:before="80" w:after="80"/>
            </w:pPr>
            <w:r>
              <w:rPr>
                <w:b/>
                <w:bCs/>
                <w:color w:val="000000"/>
                <w:sz w:val="18"/>
                <w:szCs w:val="18"/>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604B3B8D" w14:textId="77777777" w:rsidR="002D5D76" w:rsidRDefault="002D5D76" w:rsidP="00C80E8F">
            <w:pPr>
              <w:spacing w:before="80" w:after="80"/>
            </w:pPr>
            <w:r>
              <w:rPr>
                <w:b/>
                <w:bCs/>
                <w:color w:val="000000"/>
                <w:sz w:val="18"/>
                <w:szCs w:val="18"/>
              </w:rPr>
              <w:t>Definition</w:t>
            </w:r>
          </w:p>
        </w:tc>
      </w:tr>
      <w:tr w:rsidR="002D5D76" w14:paraId="4E62FCEB"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2D1E6FEA" w14:textId="77777777" w:rsidR="002D5D76" w:rsidRDefault="002D5D76" w:rsidP="00C80E8F">
            <w:pPr>
              <w:spacing w:before="80" w:after="80"/>
            </w:pPr>
            <w:r>
              <w:rPr>
                <w:b/>
                <w:bCs/>
                <w:color w:val="000000"/>
                <w:sz w:val="18"/>
                <w:szCs w:val="18"/>
              </w:rPr>
              <w:lastRenderedPageBreak/>
              <w:t>Programme-level effect size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B83F59" w14:textId="77777777" w:rsidR="002D5D76" w:rsidRDefault="002D5D76" w:rsidP="00C80E8F">
            <w:pPr>
              <w:spacing w:before="80" w:after="80"/>
            </w:pPr>
            <w:r>
              <w:rPr>
                <w:color w:val="000000"/>
                <w:sz w:val="18"/>
                <w:szCs w:val="18"/>
              </w:rPr>
              <w:t>"MPI programme effect size: 0.61 (</w:t>
            </w:r>
            <w:proofErr w:type="spellStart"/>
            <w:r>
              <w:rPr>
                <w:color w:val="000000"/>
                <w:sz w:val="18"/>
                <w:szCs w:val="18"/>
              </w:rPr>
              <w:t>MPI_Current</w:t>
            </w:r>
            <w:proofErr w:type="spellEnd"/>
            <w:r>
              <w:rPr>
                <w:color w:val="000000"/>
                <w:sz w:val="18"/>
                <w:szCs w:val="18"/>
              </w:rPr>
              <w:t>, 2022–2024, calibrated)"</w:t>
            </w:r>
          </w:p>
        </w:tc>
      </w:tr>
      <w:tr w:rsidR="002D5D76" w14:paraId="4ED1EF3D"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468D9711" w14:textId="77777777" w:rsidR="002D5D76" w:rsidRDefault="002D5D76" w:rsidP="00C80E8F">
            <w:pPr>
              <w:spacing w:before="80" w:after="80"/>
            </w:pPr>
            <w:r>
              <w:rPr>
                <w:b/>
                <w:bCs/>
                <w:color w:val="000000"/>
                <w:sz w:val="18"/>
                <w:szCs w:val="18"/>
              </w:rPr>
              <w:t>School-level outcome data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E93CE5" w14:textId="77777777" w:rsidR="002D5D76" w:rsidRDefault="002D5D76" w:rsidP="00C80E8F">
            <w:pPr>
              <w:spacing w:before="80" w:after="80"/>
            </w:pPr>
            <w:r>
              <w:rPr>
                <w:color w:val="000000"/>
                <w:sz w:val="18"/>
                <w:szCs w:val="18"/>
              </w:rPr>
              <w:t>"[School name] calibrated progress delta: [value] (</w:t>
            </w:r>
            <w:proofErr w:type="spellStart"/>
            <w:r>
              <w:rPr>
                <w:color w:val="000000"/>
                <w:sz w:val="18"/>
                <w:szCs w:val="18"/>
              </w:rPr>
              <w:t>MPI_Current</w:t>
            </w:r>
            <w:proofErr w:type="spellEnd"/>
            <w:r>
              <w:rPr>
                <w:color w:val="000000"/>
                <w:sz w:val="18"/>
                <w:szCs w:val="18"/>
              </w:rPr>
              <w:t>, [year])"</w:t>
            </w:r>
          </w:p>
        </w:tc>
      </w:tr>
      <w:tr w:rsidR="002D5D76" w14:paraId="0DDCB9AC"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66D3CD07" w14:textId="77777777" w:rsidR="002D5D76" w:rsidRDefault="002D5D76" w:rsidP="00C80E8F">
            <w:pPr>
              <w:spacing w:before="80" w:after="80"/>
            </w:pPr>
            <w:r>
              <w:rPr>
                <w:b/>
                <w:bCs/>
                <w:color w:val="000000"/>
                <w:sz w:val="18"/>
                <w:szCs w:val="18"/>
              </w:rPr>
              <w:t>Comparison group data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6D6586" w14:textId="77777777" w:rsidR="002D5D76" w:rsidRDefault="002D5D76" w:rsidP="00C80E8F">
            <w:pPr>
              <w:spacing w:before="80" w:after="80"/>
            </w:pPr>
            <w:r>
              <w:rPr>
                <w:color w:val="000000"/>
                <w:sz w:val="18"/>
                <w:szCs w:val="18"/>
              </w:rPr>
              <w:t>"Non-MPI comparator schools, [district], propensity-matched (see methodology statement)"</w:t>
            </w:r>
          </w:p>
        </w:tc>
      </w:tr>
      <w:tr w:rsidR="002D5D76" w14:paraId="2DC497F7"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67CBB5DA" w14:textId="77777777" w:rsidR="002D5D76" w:rsidRDefault="002D5D76" w:rsidP="00C80E8F">
            <w:pPr>
              <w:spacing w:before="80" w:after="80"/>
            </w:pPr>
            <w:r>
              <w:rPr>
                <w:b/>
                <w:bCs/>
                <w:color w:val="000000"/>
                <w:sz w:val="18"/>
                <w:szCs w:val="18"/>
              </w:rPr>
              <w:t>Historical data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0C5925" w14:textId="77777777" w:rsidR="002D5D76" w:rsidRDefault="002D5D76" w:rsidP="00C80E8F">
            <w:pPr>
              <w:spacing w:before="80" w:after="80"/>
            </w:pPr>
            <w:r>
              <w:rPr>
                <w:color w:val="000000"/>
                <w:sz w:val="18"/>
                <w:szCs w:val="18"/>
              </w:rPr>
              <w:t>"Historical data referenced from [specific file]. Not included in current programme analysis."</w:t>
            </w:r>
          </w:p>
        </w:tc>
      </w:tr>
    </w:tbl>
    <w:p w14:paraId="6A06A90F" w14:textId="77777777" w:rsidR="002D5D76" w:rsidRDefault="002D5D76" w:rsidP="002D5D76">
      <w:pPr>
        <w:spacing w:before="40" w:after="40"/>
      </w:pPr>
    </w:p>
    <w:p w14:paraId="1C90857C" w14:textId="77777777" w:rsidR="002D5D76" w:rsidRDefault="002D5D76" w:rsidP="002D5D76">
      <w:pPr>
        <w:pStyle w:val="Heading2"/>
      </w:pPr>
      <w:r>
        <w:rPr>
          <w:rFonts w:ascii="Arial" w:eastAsia="Arial" w:hAnsi="Arial" w:cs="Arial"/>
          <w:b/>
          <w:bCs/>
          <w:color w:val="1B2631"/>
          <w:sz w:val="28"/>
          <w:szCs w:val="28"/>
        </w:rPr>
        <w:t>7.2 — Use of Comparative Data</w:t>
      </w:r>
    </w:p>
    <w:p w14:paraId="6F5DA223" w14:textId="77777777" w:rsidR="002D5D76" w:rsidRDefault="002D5D76" w:rsidP="002D5D76">
      <w:pPr>
        <w:spacing w:before="80" w:after="80"/>
      </w:pPr>
      <w:r>
        <w:rPr>
          <w:color w:val="000000"/>
        </w:rPr>
        <w:t>Comparative data — data presenting MPI schools' outcomes relative to non-programme schools — is the most persuasive element of any renewal evidence pack. It is also the element most susceptible to misrepresentation, whether deliberate or inadvertent. Staff should approach it accordingly.</w:t>
      </w:r>
    </w:p>
    <w:p w14:paraId="76220C7A" w14:textId="77777777" w:rsidR="002D5D76" w:rsidRDefault="002D5D76" w:rsidP="002D5D76">
      <w:pPr>
        <w:spacing w:before="80" w:after="80"/>
      </w:pPr>
      <w:r>
        <w:rPr>
          <w:color w:val="000000"/>
        </w:rPr>
        <w:t>The comparison group must be clearly defined. "MPI schools outperform non-programme schools" is not a meaningful claim without specifying which non-programme schools, over which period, on which measures, using which methodology. Every comparative claim requires a methodology statement. The structure of that statement is described in Appendix C.</w:t>
      </w:r>
    </w:p>
    <w:p w14:paraId="13459697" w14:textId="77777777" w:rsidR="002D5D76" w:rsidRDefault="002D5D76" w:rsidP="002D5D76">
      <w:pPr>
        <w:spacing w:before="80" w:after="80"/>
      </w:pPr>
      <w:r>
        <w:rPr>
          <w:color w:val="000000"/>
        </w:rPr>
        <w:t>Staff should not construct comparisons that were not pre-specified in the original analysis plan. Selecting a comparison group that maximises apparent MPI effectiveness, rather than one that most closely resembles the MPI schools, is not legitimate analysis. It produces numbers that look good. It does not produce findings.</w:t>
      </w:r>
    </w:p>
    <w:p w14:paraId="6FAED27A" w14:textId="77777777" w:rsidR="002D5D76" w:rsidRDefault="002D5D76" w:rsidP="002D5D76">
      <w:pPr>
        <w:spacing w:before="80" w:after="80"/>
      </w:pPr>
      <w:r>
        <w:rPr>
          <w:color w:val="000000"/>
        </w:rPr>
        <w:t>Where comparative analysis produces results that are weaker than expected or inconsistent with the programme's published effect size, staff should report the results accurately and, if appropriate, flag the anomaly to the Outcomes &amp; Impact lead rather than adjusting the comparison group to produce a more favourable figure.</w:t>
      </w:r>
    </w:p>
    <w:p w14:paraId="20CD984B" w14:textId="77777777" w:rsidR="002D5D76" w:rsidRDefault="002D5D76" w:rsidP="002D5D76">
      <w:pPr>
        <w:spacing w:before="40" w:after="40"/>
      </w:pPr>
    </w:p>
    <w:p w14:paraId="0A584666" w14:textId="77777777" w:rsidR="002D5D76" w:rsidRDefault="002D5D76" w:rsidP="002D5D76">
      <w:pPr>
        <w:pStyle w:val="Heading2"/>
      </w:pPr>
      <w:r>
        <w:rPr>
          <w:rFonts w:ascii="Arial" w:eastAsia="Arial" w:hAnsi="Arial" w:cs="Arial"/>
          <w:b/>
          <w:bCs/>
          <w:color w:val="1B2631"/>
          <w:sz w:val="28"/>
          <w:szCs w:val="28"/>
        </w:rPr>
        <w:t>7.3 — Renewal Evidence Pack Requirements</w:t>
      </w:r>
    </w:p>
    <w:p w14:paraId="77915FAA" w14:textId="77777777" w:rsidR="002D5D76" w:rsidRDefault="002D5D76" w:rsidP="002D5D76">
      <w:pPr>
        <w:spacing w:before="80" w:after="80"/>
      </w:pPr>
      <w:r>
        <w:rPr>
          <w:color w:val="000000"/>
        </w:rPr>
        <w:t xml:space="preserve">Renewal evidence packs are produced for local authority clients as part of the contract renewal process. They are Meridian's primary commercial evidence </w:t>
      </w:r>
      <w:proofErr w:type="gramStart"/>
      <w:r>
        <w:rPr>
          <w:color w:val="000000"/>
        </w:rPr>
        <w:t>document</w:t>
      </w:r>
      <w:proofErr w:type="gramEnd"/>
      <w:r>
        <w:rPr>
          <w:color w:val="000000"/>
        </w:rPr>
        <w:t xml:space="preserve"> and their quality directly affects client retention. They must meet the following requirements:</w:t>
      </w:r>
    </w:p>
    <w:p w14:paraId="1F0FE7D5" w14:textId="77777777" w:rsidR="002D5D76" w:rsidRDefault="002D5D76" w:rsidP="002D5D76">
      <w:pPr>
        <w:spacing w:before="80" w:after="80"/>
        <w:ind w:left="360"/>
      </w:pPr>
      <w:r>
        <w:rPr>
          <w:color w:val="000000"/>
        </w:rPr>
        <w:t>— All quantitative claims must comply with the citation standards in section 7.1.</w:t>
      </w:r>
    </w:p>
    <w:p w14:paraId="403D9F96" w14:textId="77777777" w:rsidR="002D5D76" w:rsidRDefault="002D5D76" w:rsidP="002D5D76">
      <w:pPr>
        <w:spacing w:before="80" w:after="80"/>
        <w:ind w:left="360"/>
      </w:pPr>
      <w:r>
        <w:rPr>
          <w:color w:val="000000"/>
        </w:rPr>
        <w:t>— Comparative analysis must be accompanied by a methodology statement (see Appendix C).</w:t>
      </w:r>
    </w:p>
    <w:p w14:paraId="172002BB" w14:textId="77777777" w:rsidR="002D5D76" w:rsidRDefault="002D5D76" w:rsidP="002D5D76">
      <w:pPr>
        <w:spacing w:before="80" w:after="80"/>
        <w:ind w:left="360"/>
      </w:pPr>
      <w:r>
        <w:rPr>
          <w:color w:val="000000"/>
        </w:rPr>
        <w:t>— The evidence pack must distinguish between what the data shows and what is recommended or projected. Evidence and recommendation are not the same thing and must not be presented as if they are.</w:t>
      </w:r>
    </w:p>
    <w:p w14:paraId="42156D1E" w14:textId="77777777" w:rsidR="002D5D76" w:rsidRDefault="002D5D76" w:rsidP="002D5D76">
      <w:pPr>
        <w:spacing w:before="80" w:after="80"/>
        <w:ind w:left="360"/>
      </w:pPr>
      <w:r>
        <w:rPr>
          <w:color w:val="000000"/>
        </w:rPr>
        <w:t xml:space="preserve">— School-level data presented in renewal packs must be drawn from </w:t>
      </w:r>
      <w:proofErr w:type="spellStart"/>
      <w:r>
        <w:rPr>
          <w:color w:val="000000"/>
        </w:rPr>
        <w:t>MPI_Current</w:t>
      </w:r>
      <w:proofErr w:type="spellEnd"/>
      <w:r>
        <w:rPr>
          <w:color w:val="000000"/>
        </w:rPr>
        <w:t xml:space="preserve"> only. Data from archived or excluded datasets must not be presented as current programme evidence.</w:t>
      </w:r>
    </w:p>
    <w:p w14:paraId="4B07DFAE" w14:textId="77777777" w:rsidR="002D5D76" w:rsidRDefault="002D5D76" w:rsidP="002D5D76">
      <w:pPr>
        <w:spacing w:before="80" w:after="80"/>
        <w:ind w:left="360"/>
      </w:pPr>
      <w:r>
        <w:rPr>
          <w:color w:val="000000"/>
        </w:rPr>
        <w:t>— Packs must include an executive summary, an impact data section, a comparative analysis section, and a recommendations section, in that order. Additional sections may be added but must not replace or reorder the mandatory structure.</w:t>
      </w:r>
    </w:p>
    <w:p w14:paraId="081CF081" w14:textId="77777777" w:rsidR="002D5D76" w:rsidRDefault="002D5D76" w:rsidP="002D5D76">
      <w:pPr>
        <w:spacing w:before="40" w:after="40"/>
      </w:pPr>
    </w:p>
    <w:p w14:paraId="5943339E" w14:textId="77777777" w:rsidR="002D5D76" w:rsidRDefault="002D5D76" w:rsidP="002D5D76">
      <w:pPr>
        <w:pStyle w:val="Heading2"/>
      </w:pPr>
      <w:r>
        <w:rPr>
          <w:rFonts w:ascii="Arial" w:eastAsia="Arial" w:hAnsi="Arial" w:cs="Arial"/>
          <w:b/>
          <w:bCs/>
          <w:color w:val="1B2631"/>
          <w:sz w:val="28"/>
          <w:szCs w:val="28"/>
        </w:rPr>
        <w:t>7.4 — What Not to Report</w:t>
      </w:r>
    </w:p>
    <w:p w14:paraId="02201B6E" w14:textId="77777777" w:rsidR="002D5D76" w:rsidRDefault="002D5D76" w:rsidP="002D5D76">
      <w:pPr>
        <w:spacing w:before="80" w:after="80"/>
      </w:pPr>
      <w:r>
        <w:rPr>
          <w:color w:val="000000"/>
        </w:rPr>
        <w:t>This section is perhaps the most important in the chapter, and certainly the most frequently ignored. It concerns the limits of the evidence base and the importance of not overstating claims.</w:t>
      </w:r>
    </w:p>
    <w:p w14:paraId="24C8F513" w14:textId="77777777" w:rsidR="002D5D76" w:rsidRDefault="002D5D76" w:rsidP="002D5D76">
      <w:pPr>
        <w:spacing w:before="80" w:after="80"/>
      </w:pPr>
      <w:r>
        <w:rPr>
          <w:color w:val="000000"/>
        </w:rPr>
        <w:t xml:space="preserve">The MPI's published effect size does not support claims about individual school improvement. It does not support claims about subject-level outcomes (see Chapter 6.3). It does not support claims about primary sector effectiveness, since the MPI has not been formally evaluated in primary schools. It </w:t>
      </w:r>
      <w:r>
        <w:rPr>
          <w:color w:val="000000"/>
        </w:rPr>
        <w:lastRenderedPageBreak/>
        <w:t>does not support claims about outcomes beyond GCSE, since the programme does not track post-16 outcomes.</w:t>
      </w:r>
    </w:p>
    <w:p w14:paraId="4C6E9087" w14:textId="77777777" w:rsidR="002D5D76" w:rsidRDefault="002D5D76" w:rsidP="002D5D76">
      <w:pPr>
        <w:spacing w:before="80" w:after="80"/>
      </w:pPr>
      <w:r>
        <w:rPr>
          <w:color w:val="000000"/>
        </w:rPr>
        <w:t>Staff should not include claims in renewal packs that are not supported by the evidence base, even if clients are likely to find them persuasive. The short-term commercial benefit of an overclaimed renewal pack is not worth the medium-term reputational damage of a client who discovers the overstatement.</w:t>
      </w:r>
    </w:p>
    <w:p w14:paraId="48AB657B" w14:textId="77777777" w:rsidR="002D5D76" w:rsidRDefault="002D5D76" w:rsidP="002D5D76">
      <w:pPr>
        <w:spacing w:before="80" w:after="80"/>
      </w:pPr>
      <w:r>
        <w:rPr>
          <w:color w:val="000000"/>
        </w:rPr>
        <w:t>If a client asks for a claim that the data cannot support, the correct response is to explain what the data can support and offer that instead. This is not a failure of commercial acumen. It is what responsible consulting looks like.</w:t>
      </w:r>
    </w:p>
    <w:p w14:paraId="726102BC" w14:textId="77777777" w:rsidR="002D5D76" w:rsidRDefault="002D5D76" w:rsidP="002D5D76">
      <w:pPr>
        <w:pStyle w:val="Heading1"/>
      </w:pPr>
      <w:r>
        <w:rPr>
          <w:rFonts w:ascii="Arial" w:eastAsia="Arial" w:hAnsi="Arial" w:cs="Arial"/>
          <w:b/>
          <w:bCs/>
          <w:color w:val="1B2631"/>
          <w:sz w:val="36"/>
          <w:szCs w:val="36"/>
        </w:rPr>
        <w:t>Chapter 8 — Quality Assurance Procedures</w:t>
      </w:r>
    </w:p>
    <w:p w14:paraId="0EB2EB73" w14:textId="77777777" w:rsidR="002D5D76" w:rsidRDefault="002D5D76" w:rsidP="002D5D76">
      <w:pPr>
        <w:spacing w:before="80" w:after="80"/>
      </w:pPr>
      <w:r>
        <w:rPr>
          <w:color w:val="000000"/>
        </w:rPr>
        <w:t>Quality assurance within the MPI programme operates at two levels: the school level (ensuring that partner schools are implementing the programme as specified) and the data level (ensuring that the programme's outcome data is accurate, complete, and appropriately processed). This chapter covers both levels.</w:t>
      </w:r>
    </w:p>
    <w:p w14:paraId="00FF45B7" w14:textId="77777777" w:rsidR="002D5D76" w:rsidRDefault="002D5D76" w:rsidP="002D5D76">
      <w:pPr>
        <w:spacing w:before="40" w:after="40"/>
      </w:pPr>
    </w:p>
    <w:p w14:paraId="5C223407" w14:textId="77777777" w:rsidR="002D5D76" w:rsidRDefault="002D5D76" w:rsidP="002D5D76">
      <w:pPr>
        <w:pStyle w:val="Heading2"/>
      </w:pPr>
      <w:r>
        <w:rPr>
          <w:rFonts w:ascii="Arial" w:eastAsia="Arial" w:hAnsi="Arial" w:cs="Arial"/>
          <w:b/>
          <w:bCs/>
          <w:color w:val="1B2631"/>
          <w:sz w:val="28"/>
          <w:szCs w:val="28"/>
        </w:rPr>
        <w:t>8.1 — School-Level Quality Assurance</w:t>
      </w:r>
    </w:p>
    <w:p w14:paraId="2732D360" w14:textId="77777777" w:rsidR="002D5D76" w:rsidRDefault="002D5D76" w:rsidP="002D5D76">
      <w:pPr>
        <w:spacing w:before="80" w:after="80"/>
      </w:pPr>
      <w:r>
        <w:rPr>
          <w:color w:val="000000"/>
        </w:rPr>
        <w:t>School-level QA is primarily conducted through the annual MPI audit, described in Chapter 9. In addition to the formal audit cycle, Meridian conducts interim monitoring through coordinator check-ins (quarterly, by phone or video), MPI Connect usage data (where applicable), and, for schools in their first year of implementation, a six-month implementation review.</w:t>
      </w:r>
    </w:p>
    <w:p w14:paraId="63E3DF37" w14:textId="77777777" w:rsidR="002D5D76" w:rsidRDefault="002D5D76" w:rsidP="002D5D76">
      <w:pPr>
        <w:spacing w:before="80" w:after="80"/>
      </w:pPr>
      <w:r>
        <w:rPr>
          <w:color w:val="000000"/>
        </w:rPr>
        <w:t>The purpose of school-level QA is to identify implementation problems early enough to address them within the programme year. A school that has failed to integrate the formative assessment strand by December of its first year is unlikely to generate valid outcome data by the following summer. Early identification allows Meridian to provide additional support, adjust implementation timelines, or — in cases where implementation cannot be recovered — make appropriate decisions about data inclusion (see Chapter 11).</w:t>
      </w:r>
    </w:p>
    <w:p w14:paraId="37F73CEA" w14:textId="77777777" w:rsidR="002D5D76" w:rsidRDefault="002D5D76" w:rsidP="002D5D76">
      <w:pPr>
        <w:spacing w:before="40" w:after="40"/>
      </w:pPr>
    </w:p>
    <w:p w14:paraId="22E8A11F" w14:textId="77777777" w:rsidR="002D5D76" w:rsidRDefault="002D5D76" w:rsidP="002D5D76">
      <w:pPr>
        <w:pStyle w:val="Heading2"/>
      </w:pPr>
      <w:r>
        <w:rPr>
          <w:rFonts w:ascii="Arial" w:eastAsia="Arial" w:hAnsi="Arial" w:cs="Arial"/>
          <w:b/>
          <w:bCs/>
          <w:color w:val="1B2631"/>
          <w:sz w:val="28"/>
          <w:szCs w:val="28"/>
        </w:rPr>
        <w:t>8.2 — Data-Level Quality Assurance</w:t>
      </w:r>
    </w:p>
    <w:p w14:paraId="5179DA02" w14:textId="77777777" w:rsidR="002D5D76" w:rsidRDefault="002D5D76" w:rsidP="002D5D76">
      <w:pPr>
        <w:spacing w:before="80" w:after="80"/>
      </w:pPr>
      <w:r>
        <w:rPr>
          <w:color w:val="000000"/>
        </w:rPr>
        <w:t>Data-level QA is the responsibility of the Outcomes &amp; Impact team. It encompasses automated validation (Chapter 5.2), manual review of flagged submissions, and the annual data audit that precedes impact calculation.</w:t>
      </w:r>
    </w:p>
    <w:p w14:paraId="4AAD5DF6" w14:textId="77777777" w:rsidR="002D5D76" w:rsidRDefault="002D5D76" w:rsidP="002D5D76">
      <w:pPr>
        <w:spacing w:before="80" w:after="80"/>
      </w:pPr>
      <w:r>
        <w:rPr>
          <w:color w:val="000000"/>
        </w:rPr>
        <w:t>The annual data audit involves a line-by-line review of all school-level submissions for the relevant cohort year, checking for consistency, plausibility, and compliance with submission requirements. Schools whose data fails the audit are contacted for clarification or resubmission. Schools that cannot provide adequate clarification may have their data excluded from that year's analysis, in accordance with the procedures described in Chapter 11.</w:t>
      </w:r>
    </w:p>
    <w:p w14:paraId="77FA7B08" w14:textId="77777777" w:rsidR="002D5D76" w:rsidRDefault="002D5D76" w:rsidP="002D5D76">
      <w:pPr>
        <w:spacing w:before="80" w:after="80"/>
      </w:pPr>
      <w:r>
        <w:rPr>
          <w:color w:val="000000"/>
        </w:rPr>
        <w:t>All QA decisions are logged in the programme management system. The log is maintained by the Outcomes &amp; Impact lead and is available to senior staff on request.</w:t>
      </w:r>
    </w:p>
    <w:p w14:paraId="5F4EEBD9" w14:textId="77777777" w:rsidR="002D5D76" w:rsidRDefault="002D5D76" w:rsidP="002D5D76">
      <w:pPr>
        <w:pStyle w:val="Heading1"/>
      </w:pPr>
      <w:r>
        <w:rPr>
          <w:rFonts w:ascii="Arial" w:eastAsia="Arial" w:hAnsi="Arial" w:cs="Arial"/>
          <w:b/>
          <w:bCs/>
          <w:color w:val="1B2631"/>
          <w:sz w:val="36"/>
          <w:szCs w:val="36"/>
        </w:rPr>
        <w:t>Chapter 9 — School Partnership Requirements</w:t>
      </w:r>
    </w:p>
    <w:p w14:paraId="71BACD1B" w14:textId="77777777" w:rsidR="002D5D76" w:rsidRDefault="002D5D76" w:rsidP="002D5D76">
      <w:pPr>
        <w:spacing w:before="80" w:after="80"/>
      </w:pPr>
      <w:r>
        <w:rPr>
          <w:color w:val="000000"/>
        </w:rPr>
        <w:t>This chapter describes, in full, the requirements placed on partner schools throughout the duration of their MPI contract. It should be read by any staff member involved in client management, renewal, or impact assessment. It is also the chapter most relevant to understanding why some schools' data is treated differently from others in programme analysis.</w:t>
      </w:r>
    </w:p>
    <w:p w14:paraId="265B6684" w14:textId="77777777" w:rsidR="002D5D76" w:rsidRDefault="002D5D76" w:rsidP="002D5D76">
      <w:pPr>
        <w:spacing w:before="40" w:after="40"/>
      </w:pPr>
    </w:p>
    <w:p w14:paraId="1B78AA66" w14:textId="77777777" w:rsidR="002D5D76" w:rsidRDefault="002D5D76" w:rsidP="002D5D76">
      <w:pPr>
        <w:pStyle w:val="Heading2"/>
      </w:pPr>
      <w:r>
        <w:rPr>
          <w:rFonts w:ascii="Arial" w:eastAsia="Arial" w:hAnsi="Arial" w:cs="Arial"/>
          <w:b/>
          <w:bCs/>
          <w:color w:val="1B2631"/>
          <w:sz w:val="28"/>
          <w:szCs w:val="28"/>
        </w:rPr>
        <w:t>9.1 — The Annual MPI Audit</w:t>
      </w:r>
    </w:p>
    <w:p w14:paraId="7F2DD9BA" w14:textId="77777777" w:rsidR="002D5D76" w:rsidRDefault="002D5D76" w:rsidP="002D5D76">
      <w:pPr>
        <w:spacing w:before="80" w:after="80"/>
      </w:pPr>
      <w:r>
        <w:rPr>
          <w:color w:val="000000"/>
        </w:rPr>
        <w:t xml:space="preserve">The annual MPI audit is conducted by a Meridian consultant in the spring term of each academic year. It involves a half-day school visit, a structured interview with the MPI coordinator and at least </w:t>
      </w:r>
      <w:r>
        <w:rPr>
          <w:color w:val="000000"/>
        </w:rPr>
        <w:lastRenderedPageBreak/>
        <w:t>one subject lead, a review of curriculum sequencing documentation, and a sample review of formative assessment records from at least two subject areas.</w:t>
      </w:r>
    </w:p>
    <w:p w14:paraId="1D06AA23" w14:textId="77777777" w:rsidR="002D5D76" w:rsidRDefault="002D5D76" w:rsidP="002D5D76">
      <w:pPr>
        <w:spacing w:before="80" w:after="80"/>
      </w:pPr>
      <w:r>
        <w:rPr>
          <w:color w:val="000000"/>
        </w:rPr>
        <w:t>The audit produces an Implementation Quality Score (Chapter 4.3) and a written summary of findings. The summary identifies areas of strength, areas for development, and — where relevant — any concerns about programme fidelity that may affect data inclusion for the current year.</w:t>
      </w:r>
    </w:p>
    <w:p w14:paraId="23B9B40B" w14:textId="77777777" w:rsidR="002D5D76" w:rsidRDefault="002D5D76" w:rsidP="002D5D76">
      <w:pPr>
        <w:spacing w:before="80" w:after="80"/>
      </w:pPr>
      <w:r>
        <w:rPr>
          <w:color w:val="000000"/>
        </w:rPr>
        <w:t>Schools are given the opportunity to respond to audit findings before they are finalised. Responses are noted in the audit record but do not automatically alter the IQS. If a school believes its IQS is inaccurate, it may request a review by a second auditor. Such requests are granted at Meridian's discretion.</w:t>
      </w:r>
    </w:p>
    <w:p w14:paraId="263CCDBC" w14:textId="77777777" w:rsidR="002D5D76" w:rsidRDefault="002D5D76" w:rsidP="002D5D76">
      <w:pPr>
        <w:spacing w:before="40" w:after="40"/>
      </w:pPr>
    </w:p>
    <w:p w14:paraId="05AD6092" w14:textId="77777777" w:rsidR="002D5D76" w:rsidRDefault="002D5D76" w:rsidP="002D5D76">
      <w:pPr>
        <w:pStyle w:val="Heading2"/>
      </w:pPr>
      <w:r>
        <w:rPr>
          <w:rFonts w:ascii="Arial" w:eastAsia="Arial" w:hAnsi="Arial" w:cs="Arial"/>
          <w:b/>
          <w:bCs/>
          <w:color w:val="1B2631"/>
          <w:sz w:val="28"/>
          <w:szCs w:val="28"/>
        </w:rPr>
        <w:t>9.2 — Coordinator Responsibilities</w:t>
      </w:r>
    </w:p>
    <w:p w14:paraId="675E6826" w14:textId="77777777" w:rsidR="002D5D76" w:rsidRDefault="002D5D76" w:rsidP="002D5D76">
      <w:pPr>
        <w:spacing w:before="80" w:after="80"/>
      </w:pPr>
      <w:r>
        <w:rPr>
          <w:color w:val="000000"/>
        </w:rPr>
        <w:t xml:space="preserve">The MPI coordinator is the school's primary point of contact with Meridian and bears primary responsibility for programme implementation within the school. The coordinator role </w:t>
      </w:r>
      <w:proofErr w:type="gramStart"/>
      <w:r>
        <w:rPr>
          <w:color w:val="000000"/>
        </w:rPr>
        <w:t>involves:</w:t>
      </w:r>
      <w:proofErr w:type="gramEnd"/>
      <w:r>
        <w:rPr>
          <w:color w:val="000000"/>
        </w:rPr>
        <w:t xml:space="preserve"> chairing the school's MPI implementation group (recommended termly), maintaining curriculum sequencing records, overseeing the formative assessment integration strand, completing the annual data submission, and participating in Meridian's coordinator network (two network meetings per year, minimum).</w:t>
      </w:r>
    </w:p>
    <w:p w14:paraId="2BCE72F7" w14:textId="77777777" w:rsidR="002D5D76" w:rsidRDefault="002D5D76" w:rsidP="002D5D76">
      <w:pPr>
        <w:spacing w:before="80" w:after="80"/>
      </w:pPr>
      <w:r>
        <w:rPr>
          <w:color w:val="000000"/>
        </w:rPr>
        <w:t>A change of coordinator must be notified to Meridian within four weeks. The incoming coordinator must complete the two-day coordinator training within one term of appointment. Failure to do so is a compliance flag under Chapter 11.</w:t>
      </w:r>
    </w:p>
    <w:p w14:paraId="2A1D3C8F" w14:textId="77777777" w:rsidR="002D5D76" w:rsidRDefault="002D5D76" w:rsidP="002D5D76">
      <w:pPr>
        <w:spacing w:before="40" w:after="40"/>
      </w:pPr>
    </w:p>
    <w:p w14:paraId="3EA8F0B9" w14:textId="77777777" w:rsidR="002D5D76" w:rsidRDefault="002D5D76" w:rsidP="002D5D76">
      <w:pPr>
        <w:pStyle w:val="Heading2"/>
      </w:pPr>
      <w:r>
        <w:rPr>
          <w:rFonts w:ascii="Arial" w:eastAsia="Arial" w:hAnsi="Arial" w:cs="Arial"/>
          <w:b/>
          <w:bCs/>
          <w:color w:val="1B2631"/>
          <w:sz w:val="28"/>
          <w:szCs w:val="28"/>
        </w:rPr>
        <w:t>9.3 — Leadership Engagement Requirements</w:t>
      </w:r>
    </w:p>
    <w:p w14:paraId="7227BA94" w14:textId="77777777" w:rsidR="002D5D76" w:rsidRDefault="002D5D76" w:rsidP="002D5D76">
      <w:pPr>
        <w:spacing w:before="80" w:after="80"/>
      </w:pPr>
      <w:r>
        <w:rPr>
          <w:color w:val="000000"/>
        </w:rPr>
        <w:t>The MPI partnership agreement requires that the school's headteacher or a designated senior leader participates in an annual strategic review with the Meridian account manager. This review covers programme progress, the upcoming year's implementation priorities, and any changes to the school's context that may affect programme delivery.</w:t>
      </w:r>
    </w:p>
    <w:p w14:paraId="792DA3A4" w14:textId="77777777" w:rsidR="002D5D76" w:rsidRDefault="002D5D76" w:rsidP="002D5D76">
      <w:pPr>
        <w:spacing w:before="80" w:after="80"/>
      </w:pPr>
      <w:r>
        <w:rPr>
          <w:color w:val="000000"/>
        </w:rPr>
        <w:t>Leadership engagement is scored as one of the eight IQS dimensions. Schools where the senior leader participant changes more than twice in three years, or where the annual review is consistently deferred, will receive lower leadership engagement scores — which feed directly into the PFS calculation.</w:t>
      </w:r>
    </w:p>
    <w:p w14:paraId="66EBCFB9" w14:textId="77777777" w:rsidR="002D5D76" w:rsidRDefault="002D5D76" w:rsidP="002D5D76">
      <w:pPr>
        <w:spacing w:before="40" w:after="40"/>
      </w:pPr>
    </w:p>
    <w:p w14:paraId="7F8CE3DD" w14:textId="77777777" w:rsidR="002D5D76" w:rsidRDefault="002D5D76" w:rsidP="002D5D76">
      <w:pPr>
        <w:pStyle w:val="Heading2"/>
      </w:pPr>
      <w:r>
        <w:rPr>
          <w:rFonts w:ascii="Arial" w:eastAsia="Arial" w:hAnsi="Arial" w:cs="Arial"/>
          <w:b/>
          <w:bCs/>
          <w:color w:val="1B2631"/>
          <w:sz w:val="28"/>
          <w:szCs w:val="28"/>
        </w:rPr>
        <w:t>9.4 — What Partnership Does Not Require</w:t>
      </w:r>
    </w:p>
    <w:p w14:paraId="5B0E988F" w14:textId="77777777" w:rsidR="002D5D76" w:rsidRDefault="002D5D76" w:rsidP="002D5D76">
      <w:pPr>
        <w:spacing w:before="80" w:after="80"/>
      </w:pPr>
      <w:r>
        <w:rPr>
          <w:color w:val="000000"/>
        </w:rPr>
        <w:t>There are things the MPI partnership does not require of schools, and staff should be clear about this in client communications.</w:t>
      </w:r>
    </w:p>
    <w:p w14:paraId="59FF88C7" w14:textId="77777777" w:rsidR="002D5D76" w:rsidRDefault="002D5D76" w:rsidP="002D5D76">
      <w:pPr>
        <w:spacing w:before="80" w:after="80"/>
      </w:pPr>
      <w:r>
        <w:rPr>
          <w:color w:val="000000"/>
        </w:rPr>
        <w:t>The MPI does not require schools to use only Meridian materials, to abandon existing schemes of work entirely, or to implement the programme identically to how it is implemented in other schools. The framework is designed to be adapted to local context. The question is not whether the school is doing what every other MPI school does; it is whether the school is implementing the three core strands with sufficient fidelity to generate valid outcome data.</w:t>
      </w:r>
    </w:p>
    <w:p w14:paraId="3B2F2A89" w14:textId="77777777" w:rsidR="002D5D76" w:rsidRDefault="002D5D76" w:rsidP="002D5D76">
      <w:pPr>
        <w:spacing w:before="80" w:after="80"/>
      </w:pPr>
      <w:r>
        <w:rPr>
          <w:color w:val="000000"/>
        </w:rPr>
        <w:t>"Sufficient fidelity" is a phrase that recurs throughout this chapter and the next. Its precise definition is in Chapter 11. Staff should read that chapter before using the phrase in any formal document.</w:t>
      </w:r>
    </w:p>
    <w:p w14:paraId="1B7FA75C" w14:textId="77777777" w:rsidR="002D5D76" w:rsidRDefault="002D5D76" w:rsidP="002D5D76">
      <w:pPr>
        <w:pStyle w:val="Heading1"/>
      </w:pPr>
      <w:r>
        <w:rPr>
          <w:rFonts w:ascii="Arial" w:eastAsia="Arial" w:hAnsi="Arial" w:cs="Arial"/>
          <w:b/>
          <w:bCs/>
          <w:color w:val="1B2631"/>
          <w:sz w:val="36"/>
          <w:szCs w:val="36"/>
        </w:rPr>
        <w:t>Chapter 10 — Programme Evaluation Cycles</w:t>
      </w:r>
    </w:p>
    <w:p w14:paraId="0B4422E2" w14:textId="77777777" w:rsidR="002D5D76" w:rsidRDefault="002D5D76" w:rsidP="002D5D76">
      <w:pPr>
        <w:spacing w:before="80" w:after="80"/>
      </w:pPr>
      <w:r>
        <w:rPr>
          <w:color w:val="000000"/>
        </w:rPr>
        <w:t>The MPI undergoes formal programme evaluation on a three-year cycle. Evaluation involves external review of the evidence base, internal audit of methodology, and — where feasible — engagement with partner schools to assess practitioner and leadership perspectives on programme value. This chapter describes the evaluation structure and its implications for programme development.</w:t>
      </w:r>
    </w:p>
    <w:p w14:paraId="4FFADCE4" w14:textId="77777777" w:rsidR="002D5D76" w:rsidRDefault="002D5D76" w:rsidP="002D5D76">
      <w:pPr>
        <w:spacing w:before="40" w:after="40"/>
      </w:pPr>
    </w:p>
    <w:p w14:paraId="65F8F7C9" w14:textId="77777777" w:rsidR="002D5D76" w:rsidRDefault="002D5D76" w:rsidP="002D5D76">
      <w:pPr>
        <w:pStyle w:val="Heading2"/>
      </w:pPr>
      <w:r>
        <w:rPr>
          <w:rFonts w:ascii="Arial" w:eastAsia="Arial" w:hAnsi="Arial" w:cs="Arial"/>
          <w:b/>
          <w:bCs/>
          <w:color w:val="1B2631"/>
          <w:sz w:val="28"/>
          <w:szCs w:val="28"/>
        </w:rPr>
        <w:lastRenderedPageBreak/>
        <w:t>10.1 — External Review</w:t>
      </w:r>
    </w:p>
    <w:p w14:paraId="1B46B582" w14:textId="77777777" w:rsidR="002D5D76" w:rsidRDefault="002D5D76" w:rsidP="002D5D76">
      <w:pPr>
        <w:spacing w:before="80" w:after="80"/>
      </w:pPr>
      <w:r>
        <w:rPr>
          <w:color w:val="000000"/>
        </w:rPr>
        <w:t>External review is conducted by an independent educational research consultant appointed by Meridian's Academic Director. The reviewer is provided with access to programme outcome data, methodology documentation, and the MPI Technical Handbook. They are asked to assess the validity of the programme's evidence claims and to identify any methodological concerns.</w:t>
      </w:r>
    </w:p>
    <w:p w14:paraId="02AE0DC1" w14:textId="77777777" w:rsidR="002D5D76" w:rsidRDefault="002D5D76" w:rsidP="002D5D76">
      <w:pPr>
        <w:spacing w:before="80" w:after="80"/>
      </w:pPr>
      <w:r>
        <w:rPr>
          <w:color w:val="000000"/>
        </w:rPr>
        <w:t>The external review does not have access to archived or excluded data; it reviews only the active programme dataset. Its purpose is to validate the methodology applied to that dataset, not to review data selection decisions.</w:t>
      </w:r>
    </w:p>
    <w:p w14:paraId="6A524A33" w14:textId="77777777" w:rsidR="002D5D76" w:rsidRDefault="002D5D76" w:rsidP="002D5D76">
      <w:pPr>
        <w:spacing w:before="80" w:after="80"/>
      </w:pPr>
      <w:r>
        <w:rPr>
          <w:color w:val="000000"/>
        </w:rPr>
        <w:t>External review findings are internal documents. They are not published. Summaries may be shared with clients on request.</w:t>
      </w:r>
    </w:p>
    <w:p w14:paraId="71F5835C" w14:textId="77777777" w:rsidR="002D5D76" w:rsidRDefault="002D5D76" w:rsidP="002D5D76">
      <w:pPr>
        <w:spacing w:before="40" w:after="40"/>
      </w:pPr>
    </w:p>
    <w:p w14:paraId="72BD426D" w14:textId="77777777" w:rsidR="002D5D76" w:rsidRDefault="002D5D76" w:rsidP="002D5D76">
      <w:pPr>
        <w:pStyle w:val="Heading2"/>
      </w:pPr>
      <w:r>
        <w:rPr>
          <w:rFonts w:ascii="Arial" w:eastAsia="Arial" w:hAnsi="Arial" w:cs="Arial"/>
          <w:b/>
          <w:bCs/>
          <w:color w:val="1B2631"/>
          <w:sz w:val="28"/>
          <w:szCs w:val="28"/>
        </w:rPr>
        <w:t>10.2 — Internal Methodology Audit</w:t>
      </w:r>
    </w:p>
    <w:p w14:paraId="61AA3FEA" w14:textId="77777777" w:rsidR="002D5D76" w:rsidRDefault="002D5D76" w:rsidP="002D5D76">
      <w:pPr>
        <w:spacing w:before="80" w:after="80"/>
      </w:pPr>
      <w:r>
        <w:rPr>
          <w:color w:val="000000"/>
        </w:rPr>
        <w:t>The internal methodology audit is conducted annually by the Outcomes &amp; Impact team lead, with oversight from the Academic Director. It reviews the data processing pipeline from submission to impact calculation, checking for consistency with the methodology described in Chapter 3 and Chapter 11.</w:t>
      </w:r>
    </w:p>
    <w:p w14:paraId="5B62D8A3" w14:textId="77777777" w:rsidR="002D5D76" w:rsidRDefault="002D5D76" w:rsidP="002D5D76">
      <w:pPr>
        <w:spacing w:before="80" w:after="80"/>
      </w:pPr>
      <w:r>
        <w:rPr>
          <w:color w:val="000000"/>
        </w:rPr>
        <w:t>The audit log records any deviations from standard methodology and the rationale for those deviations. Deviations that affect the headline effect size by more than 0.05 units must be approved by the Academic Director before the revised figure is published or cited.</w:t>
      </w:r>
    </w:p>
    <w:p w14:paraId="7A1DBCE1" w14:textId="77777777" w:rsidR="002D5D76" w:rsidRDefault="002D5D76" w:rsidP="002D5D76">
      <w:pPr>
        <w:pStyle w:val="Heading1"/>
      </w:pPr>
      <w:r>
        <w:rPr>
          <w:rFonts w:ascii="Arial" w:eastAsia="Arial" w:hAnsi="Arial" w:cs="Arial"/>
          <w:b/>
          <w:bCs/>
          <w:color w:val="1B2631"/>
          <w:sz w:val="36"/>
          <w:szCs w:val="36"/>
        </w:rPr>
        <w:t>Chapter 11 — Compliance and Fidelity Standards</w:t>
      </w:r>
    </w:p>
    <w:p w14:paraId="61E3F182" w14:textId="77777777" w:rsidR="002D5D76" w:rsidRDefault="002D5D76" w:rsidP="002D5D76">
      <w:pPr>
        <w:spacing w:before="80" w:after="80"/>
      </w:pPr>
      <w:r>
        <w:rPr>
          <w:color w:val="000000"/>
        </w:rPr>
        <w:t>This chapter sets out the standards by which Meridian determines whether a partner school's data is suitable for inclusion in programme-level impact analysis. It is the most consequential chapter in this handbook for staff involved in data work. Read it carefully and in full.</w:t>
      </w:r>
    </w:p>
    <w:p w14:paraId="00B4E61E" w14:textId="77777777" w:rsidR="002D5D76" w:rsidRDefault="002D5D76" w:rsidP="002D5D76">
      <w:pPr>
        <w:spacing w:before="80" w:after="80"/>
      </w:pPr>
      <w:r>
        <w:rPr>
          <w:color w:val="000000"/>
        </w:rPr>
        <w:t>The chapter is also the most misunderstood section of Meridian's methodology. It is sometimes described, loosely, as "the criteria for excluding schools." That description is not wrong, but it is incomplete. The standards described here are also the criteria for inclusion — they define what a valid programme school looks like and why that definition matters for the integrity of Meridian's evidence base.</w:t>
      </w:r>
    </w:p>
    <w:p w14:paraId="36ECB0DD" w14:textId="77777777" w:rsidR="002D5D76" w:rsidRDefault="002D5D76" w:rsidP="002D5D76">
      <w:pPr>
        <w:spacing w:before="40" w:after="40"/>
      </w:pPr>
    </w:p>
    <w:p w14:paraId="3149EF52" w14:textId="77777777" w:rsidR="002D5D76" w:rsidRDefault="002D5D76" w:rsidP="002D5D76">
      <w:pPr>
        <w:pStyle w:val="Heading2"/>
      </w:pPr>
      <w:r>
        <w:rPr>
          <w:rFonts w:ascii="Arial" w:eastAsia="Arial" w:hAnsi="Arial" w:cs="Arial"/>
          <w:b/>
          <w:bCs/>
          <w:color w:val="1B2631"/>
          <w:sz w:val="28"/>
          <w:szCs w:val="28"/>
        </w:rPr>
        <w:t>11.1 — Why Fidelity Standards Exist</w:t>
      </w:r>
    </w:p>
    <w:p w14:paraId="7C6EE458" w14:textId="77777777" w:rsidR="002D5D76" w:rsidRDefault="002D5D76" w:rsidP="002D5D76">
      <w:pPr>
        <w:spacing w:before="80" w:after="80"/>
      </w:pPr>
      <w:r>
        <w:rPr>
          <w:color w:val="000000"/>
        </w:rPr>
        <w:t>A programme's impact cannot be measured in schools where the programme was not properly implemented. This is not a methodological preference; it is a logical necessity. If a school adopted the MPI name but not the MPI practice — if it used some materials but not the formative assessment strand, or if coordinator capacity collapsed in year two and implementation effectively ceased — then that school's outcomes cannot tell us anything reliable about what the MPI does when it is delivered well.</w:t>
      </w:r>
    </w:p>
    <w:p w14:paraId="453AEFB7" w14:textId="77777777" w:rsidR="002D5D76" w:rsidRDefault="002D5D76" w:rsidP="002D5D76">
      <w:pPr>
        <w:spacing w:before="80" w:after="80"/>
      </w:pPr>
      <w:r>
        <w:rPr>
          <w:color w:val="000000"/>
        </w:rPr>
        <w:t xml:space="preserve">Including </w:t>
      </w:r>
      <w:proofErr w:type="gramStart"/>
      <w:r>
        <w:rPr>
          <w:color w:val="000000"/>
        </w:rPr>
        <w:t>poorly-implemented</w:t>
      </w:r>
      <w:proofErr w:type="gramEnd"/>
      <w:r>
        <w:rPr>
          <w:color w:val="000000"/>
        </w:rPr>
        <w:t xml:space="preserve"> schools in the impact analysis would not make the analysis more conservative or more honest. It would make it less interpretable. The question "what does this programme achieve?" cannot be answered by including data from settings where the programme was not being delivered.</w:t>
      </w:r>
    </w:p>
    <w:p w14:paraId="010B211E" w14:textId="77777777" w:rsidR="002D5D76" w:rsidRDefault="002D5D76" w:rsidP="002D5D76">
      <w:pPr>
        <w:spacing w:before="80" w:after="80"/>
      </w:pPr>
      <w:r>
        <w:rPr>
          <w:color w:val="000000"/>
        </w:rPr>
        <w:t>This is the rationale for fidelity standards. It is a legitimate rationale. It is also one that requires careful application, because the line between "insufficient fidelity" and "the programme didn't work here" is not always clear, and the temptation to apply fidelity criteria selectively — to include schools with poor outcomes as implementation failures rather than programme failures — is a real methodological risk that responsible analysts must guard against.</w:t>
      </w:r>
    </w:p>
    <w:p w14:paraId="23022303" w14:textId="77777777" w:rsidR="002D5D76" w:rsidRDefault="002D5D76" w:rsidP="002D5D76">
      <w:pPr>
        <w:spacing w:before="40" w:after="40"/>
      </w:pPr>
    </w:p>
    <w:p w14:paraId="2405FCE4" w14:textId="77777777" w:rsidR="002D5D76" w:rsidRDefault="002D5D76" w:rsidP="002D5D76">
      <w:pPr>
        <w:pStyle w:val="Heading2"/>
      </w:pPr>
      <w:r>
        <w:rPr>
          <w:rFonts w:ascii="Arial" w:eastAsia="Arial" w:hAnsi="Arial" w:cs="Arial"/>
          <w:b/>
          <w:bCs/>
          <w:color w:val="1B2631"/>
          <w:sz w:val="28"/>
          <w:szCs w:val="28"/>
        </w:rPr>
        <w:t>11.2 — Definition of Compliant Implementation</w:t>
      </w:r>
    </w:p>
    <w:p w14:paraId="14C36ACB" w14:textId="77777777" w:rsidR="002D5D76" w:rsidRDefault="002D5D76" w:rsidP="002D5D76">
      <w:pPr>
        <w:spacing w:before="80" w:after="80"/>
      </w:pPr>
      <w:r>
        <w:rPr>
          <w:color w:val="000000"/>
        </w:rPr>
        <w:t xml:space="preserve">A school is considered to have achieved compliant implementation in a given programme year if it meets </w:t>
      </w:r>
      <w:proofErr w:type="gramStart"/>
      <w:r>
        <w:rPr>
          <w:color w:val="000000"/>
        </w:rPr>
        <w:t>all of</w:t>
      </w:r>
      <w:proofErr w:type="gramEnd"/>
      <w:r>
        <w:rPr>
          <w:color w:val="000000"/>
        </w:rPr>
        <w:t xml:space="preserve"> the following criteria:</w:t>
      </w:r>
    </w:p>
    <w:p w14:paraId="27E4B32B" w14:textId="77777777" w:rsidR="002D5D76" w:rsidRDefault="002D5D76" w:rsidP="002D5D76">
      <w:pPr>
        <w:spacing w:before="80" w:after="80"/>
        <w:ind w:left="360"/>
      </w:pPr>
      <w:r>
        <w:rPr>
          <w:color w:val="000000"/>
        </w:rPr>
        <w:lastRenderedPageBreak/>
        <w:t>— The MPI coordinator has completed certification training and been in post for at least one full term in the relevant academic year.</w:t>
      </w:r>
    </w:p>
    <w:p w14:paraId="0BBA4A69" w14:textId="77777777" w:rsidR="002D5D76" w:rsidRDefault="002D5D76" w:rsidP="002D5D76">
      <w:pPr>
        <w:spacing w:before="80" w:after="80"/>
        <w:ind w:left="360"/>
      </w:pPr>
      <w:r>
        <w:rPr>
          <w:color w:val="000000"/>
        </w:rPr>
        <w:t>— All three MPI strands have been actively deployed, as evidenced by curriculum documentation, assessment records, and the annual audit.</w:t>
      </w:r>
    </w:p>
    <w:p w14:paraId="04C54872" w14:textId="77777777" w:rsidR="002D5D76" w:rsidRDefault="002D5D76" w:rsidP="002D5D76">
      <w:pPr>
        <w:spacing w:before="80" w:after="80"/>
        <w:ind w:left="360"/>
      </w:pPr>
      <w:r>
        <w:rPr>
          <w:color w:val="000000"/>
        </w:rPr>
        <w:t>— The school's Implementation Quality Score (Chapter 4.3) is 50 or above.</w:t>
      </w:r>
    </w:p>
    <w:p w14:paraId="1F78F247" w14:textId="77777777" w:rsidR="002D5D76" w:rsidRDefault="002D5D76" w:rsidP="002D5D76">
      <w:pPr>
        <w:spacing w:before="80" w:after="80"/>
        <w:ind w:left="360"/>
      </w:pPr>
      <w:r>
        <w:rPr>
          <w:color w:val="000000"/>
        </w:rPr>
        <w:t>— The annual data submission has been completed within the specified window and has passed automated validation.</w:t>
      </w:r>
    </w:p>
    <w:p w14:paraId="7DF35A1B" w14:textId="77777777" w:rsidR="002D5D76" w:rsidRDefault="002D5D76" w:rsidP="002D5D76">
      <w:pPr>
        <w:spacing w:before="80" w:after="80"/>
        <w:ind w:left="360"/>
      </w:pPr>
      <w:r>
        <w:rPr>
          <w:color w:val="000000"/>
        </w:rPr>
        <w:t>— No audit finding has been issued that explicitly identifies implementation as insufficient to generate valid outcome data.</w:t>
      </w:r>
    </w:p>
    <w:p w14:paraId="7BD4AADD" w14:textId="77777777" w:rsidR="002D5D76" w:rsidRDefault="002D5D76" w:rsidP="002D5D76">
      <w:pPr>
        <w:spacing w:before="40" w:after="40"/>
      </w:pPr>
    </w:p>
    <w:p w14:paraId="28ABDBD8" w14:textId="77777777" w:rsidR="002D5D76" w:rsidRDefault="002D5D76" w:rsidP="002D5D76">
      <w:pPr>
        <w:spacing w:before="80" w:after="80"/>
      </w:pPr>
      <w:r>
        <w:rPr>
          <w:color w:val="000000"/>
        </w:rPr>
        <w:t>A school that meets all five criteria is classified as compliant for the relevant year and its data is included in programme analysis. A school that fails to meet one or more criteria is flagged for review.</w:t>
      </w:r>
    </w:p>
    <w:p w14:paraId="641DB52C" w14:textId="77777777" w:rsidR="002D5D76" w:rsidRDefault="002D5D76" w:rsidP="002D5D76">
      <w:pPr>
        <w:spacing w:before="40" w:after="40"/>
      </w:pPr>
    </w:p>
    <w:p w14:paraId="62BC52AB" w14:textId="77777777" w:rsidR="002D5D76" w:rsidRDefault="002D5D76" w:rsidP="002D5D76">
      <w:pPr>
        <w:pStyle w:val="Heading2"/>
      </w:pPr>
      <w:r>
        <w:rPr>
          <w:rFonts w:ascii="Arial" w:eastAsia="Arial" w:hAnsi="Arial" w:cs="Arial"/>
          <w:b/>
          <w:bCs/>
          <w:color w:val="1B2631"/>
          <w:sz w:val="28"/>
          <w:szCs w:val="28"/>
        </w:rPr>
        <w:t>11.3 — Non-Compliant Implementation</w:t>
      </w:r>
    </w:p>
    <w:p w14:paraId="6DBC435C" w14:textId="77777777" w:rsidR="002D5D76" w:rsidRDefault="002D5D76" w:rsidP="002D5D76">
      <w:pPr>
        <w:spacing w:before="80" w:after="80"/>
      </w:pPr>
      <w:r>
        <w:rPr>
          <w:color w:val="000000"/>
        </w:rPr>
        <w:t>A school is classified as having non-compliant implementation in a given programme year if, following the review process described in section 11.4, it is determined that programme fidelity was insufficient to generate valid outcome data. This determination is made by the Outcomes &amp; Impact lead, with reference to the audit record and the school's IQS history.</w:t>
      </w:r>
    </w:p>
    <w:p w14:paraId="6A710712" w14:textId="77777777" w:rsidR="002D5D76" w:rsidRDefault="002D5D76" w:rsidP="002D5D76">
      <w:pPr>
        <w:spacing w:before="80" w:after="80"/>
      </w:pPr>
      <w:r>
        <w:rPr>
          <w:color w:val="000000"/>
        </w:rPr>
        <w:t>Non-compliant classification has the following consequences: the school's outcome data for the relevant year is moved to the archive dataset and is not included in programme-level impact calculations. The school remains a programme partner and continues to receive Meridian's services. The non-compliant year does not affect the school's standing in subsequent years, provided implementation is remediated.</w:t>
      </w:r>
    </w:p>
    <w:p w14:paraId="0D29380D" w14:textId="77777777" w:rsidR="002D5D76" w:rsidRDefault="002D5D76" w:rsidP="002D5D76">
      <w:pPr>
        <w:spacing w:before="80" w:after="80"/>
      </w:pPr>
      <w:r>
        <w:rPr>
          <w:color w:val="000000"/>
        </w:rPr>
        <w:t xml:space="preserve">It is important to understand what non-compliant classification does and does not mean. It does not mean the school is a poor school or that its pupils underperformed. It means that the conditions for valid programme impact measurement were not met in that year. The outcome data may be good, bad, or indifferent — the classification is about implementation, not </w:t>
      </w:r>
      <w:proofErr w:type="gramStart"/>
      <w:r>
        <w:rPr>
          <w:color w:val="000000"/>
        </w:rPr>
        <w:t>outcomes.⁴</w:t>
      </w:r>
      <w:proofErr w:type="gramEnd"/>
    </w:p>
    <w:p w14:paraId="0157FD87" w14:textId="77777777" w:rsidR="002D5D76" w:rsidRDefault="002D5D76" w:rsidP="002D5D76">
      <w:pPr>
        <w:spacing w:before="40" w:after="40"/>
      </w:pPr>
    </w:p>
    <w:p w14:paraId="27A5DD5D" w14:textId="77777777" w:rsidR="002D5D76" w:rsidRDefault="002D5D76" w:rsidP="002D5D76">
      <w:pPr>
        <w:spacing w:before="80" w:after="80"/>
      </w:pPr>
      <w:r>
        <w:rPr>
          <w:color w:val="CCCCCC"/>
          <w:sz w:val="16"/>
          <w:szCs w:val="16"/>
        </w:rPr>
        <w:t>─────────────────────────</w:t>
      </w:r>
    </w:p>
    <w:p w14:paraId="212A10E7" w14:textId="77777777" w:rsidR="002D5D76" w:rsidRDefault="002D5D76" w:rsidP="002D5D76">
      <w:pPr>
        <w:spacing w:before="40" w:after="40"/>
      </w:pPr>
      <w:r>
        <w:rPr>
          <w:b/>
          <w:bCs/>
          <w:color w:val="922B21"/>
          <w:sz w:val="16"/>
          <w:szCs w:val="16"/>
        </w:rPr>
        <w:t xml:space="preserve">4 </w:t>
      </w:r>
      <w:proofErr w:type="gramStart"/>
      <w:r>
        <w:rPr>
          <w:color w:val="555555"/>
          <w:sz w:val="16"/>
          <w:szCs w:val="16"/>
        </w:rPr>
        <w:t>Non-compliant</w:t>
      </w:r>
      <w:proofErr w:type="gramEnd"/>
      <w:r>
        <w:rPr>
          <w:color w:val="555555"/>
          <w:sz w:val="16"/>
          <w:szCs w:val="16"/>
        </w:rPr>
        <w:t xml:space="preserve"> implementation is defined, for all analytical purposes, as: schools where programme fidelity was insufficient to generate valid outcome data. This definition applies to all historical and current datasets. The criteria for determining programme fidelity are set out in section 11.2. The application of these criteria to specific schools is documented in the programme audit log and, for archived cases, in the Archive dataset compliance flag column.</w:t>
      </w:r>
    </w:p>
    <w:p w14:paraId="65D74445" w14:textId="77777777" w:rsidR="002D5D76" w:rsidRDefault="002D5D76" w:rsidP="002D5D76">
      <w:pPr>
        <w:spacing w:before="40" w:after="40"/>
      </w:pPr>
    </w:p>
    <w:p w14:paraId="0E63052A" w14:textId="77777777" w:rsidR="002D5D76" w:rsidRDefault="002D5D76" w:rsidP="002D5D76">
      <w:pPr>
        <w:pStyle w:val="Heading2"/>
      </w:pPr>
      <w:r>
        <w:rPr>
          <w:rFonts w:ascii="Arial" w:eastAsia="Arial" w:hAnsi="Arial" w:cs="Arial"/>
          <w:b/>
          <w:bCs/>
          <w:color w:val="1B2631"/>
          <w:sz w:val="28"/>
          <w:szCs w:val="28"/>
        </w:rPr>
        <w:t>11.4 — The Review Process</w:t>
      </w:r>
    </w:p>
    <w:p w14:paraId="07C9E23F" w14:textId="77777777" w:rsidR="002D5D76" w:rsidRDefault="002D5D76" w:rsidP="002D5D76">
      <w:pPr>
        <w:spacing w:before="80" w:after="80"/>
      </w:pPr>
      <w:r>
        <w:rPr>
          <w:color w:val="000000"/>
        </w:rPr>
        <w:t>When a school is flagged for potential non-compliant classification, the following review process applies:</w:t>
      </w:r>
    </w:p>
    <w:p w14:paraId="66F93106" w14:textId="77777777" w:rsidR="002D5D76" w:rsidRDefault="002D5D76" w:rsidP="002D5D76">
      <w:pPr>
        <w:spacing w:before="80" w:after="80"/>
        <w:ind w:left="360"/>
      </w:pPr>
      <w:r>
        <w:rPr>
          <w:color w:val="000000"/>
        </w:rPr>
        <w:t>Stage 1: The Outcomes &amp; Impact team reviews the school's audit record, IQS scores, and submission history. If the evidence clearly supports compliant or non-compliant classification, the determination is made at this stage.</w:t>
      </w:r>
    </w:p>
    <w:p w14:paraId="00DA9E7B" w14:textId="77777777" w:rsidR="002D5D76" w:rsidRDefault="002D5D76" w:rsidP="002D5D76">
      <w:pPr>
        <w:spacing w:before="80" w:after="80"/>
        <w:ind w:left="360"/>
      </w:pPr>
      <w:r>
        <w:rPr>
          <w:color w:val="000000"/>
        </w:rPr>
        <w:t>Stage 2: If the evidence is ambiguous, the account manager contacts the school to obtain additional context. This typically involves a structured call with the MPI coordinator. Notes from this call are added to the audit record.</w:t>
      </w:r>
    </w:p>
    <w:p w14:paraId="5DFE8C5B" w14:textId="77777777" w:rsidR="002D5D76" w:rsidRDefault="002D5D76" w:rsidP="002D5D76">
      <w:pPr>
        <w:spacing w:before="80" w:after="80"/>
        <w:ind w:left="360"/>
      </w:pPr>
      <w:r>
        <w:rPr>
          <w:color w:val="000000"/>
        </w:rPr>
        <w:t>Stage 3: The Outcomes &amp; Impact lead makes the final determination, documented in the audit log with reference to the specific criteria in section 11.2 that were or were not met.</w:t>
      </w:r>
    </w:p>
    <w:p w14:paraId="095B5754" w14:textId="77777777" w:rsidR="002D5D76" w:rsidRDefault="002D5D76" w:rsidP="002D5D76">
      <w:pPr>
        <w:spacing w:before="80" w:after="80"/>
        <w:ind w:left="360"/>
      </w:pPr>
      <w:r>
        <w:rPr>
          <w:color w:val="000000"/>
        </w:rPr>
        <w:t>Schools are not notified of their compliance classification as a matter of routine. Where non-compliant classification results in a school's data being excluded from a renewal evidence pack, the account manager may use their judgement about whether and how to communicate this to the school.</w:t>
      </w:r>
    </w:p>
    <w:p w14:paraId="1031EF69" w14:textId="77777777" w:rsidR="002D5D76" w:rsidRDefault="002D5D76" w:rsidP="002D5D76">
      <w:pPr>
        <w:spacing w:before="40" w:after="40"/>
      </w:pPr>
    </w:p>
    <w:p w14:paraId="66BA43F8" w14:textId="77777777" w:rsidR="002D5D76" w:rsidRDefault="002D5D76" w:rsidP="002D5D76">
      <w:pPr>
        <w:pStyle w:val="Heading2"/>
      </w:pPr>
      <w:r>
        <w:rPr>
          <w:rFonts w:ascii="Arial" w:eastAsia="Arial" w:hAnsi="Arial" w:cs="Arial"/>
          <w:b/>
          <w:bCs/>
          <w:color w:val="1B2631"/>
          <w:sz w:val="28"/>
          <w:szCs w:val="28"/>
        </w:rPr>
        <w:lastRenderedPageBreak/>
        <w:t>11.5 — A Note on Interpretation</w:t>
      </w:r>
    </w:p>
    <w:p w14:paraId="12CE5D1C" w14:textId="77777777" w:rsidR="002D5D76" w:rsidRDefault="002D5D76" w:rsidP="002D5D76">
      <w:pPr>
        <w:spacing w:before="80" w:after="80"/>
      </w:pPr>
      <w:r>
        <w:rPr>
          <w:color w:val="000000"/>
        </w:rPr>
        <w:t>Staff who have read this chapter carefully will notice that the criteria for non-compliant classification are not purely objective. The IQS incorporates consultant judgement. The "insufficient to generate valid outcome data" threshold in the audit finding criterion is a judgement call. The determination in Stage 3 of the review process is made by a named individual.</w:t>
      </w:r>
    </w:p>
    <w:p w14:paraId="11D6B0C0" w14:textId="77777777" w:rsidR="002D5D76" w:rsidRDefault="002D5D76" w:rsidP="002D5D76">
      <w:pPr>
        <w:spacing w:before="80" w:after="80"/>
      </w:pPr>
      <w:r>
        <w:rPr>
          <w:color w:val="000000"/>
        </w:rPr>
        <w:t xml:space="preserve">This is acknowledged. Educational measurement involves judgement at every stage. The goal of this chapter is not to eliminate judgement but to ensure that judgements are documented, consistent, and made </w:t>
      </w:r>
      <w:proofErr w:type="gramStart"/>
      <w:r>
        <w:rPr>
          <w:color w:val="000000"/>
        </w:rPr>
        <w:t>on the basis of</w:t>
      </w:r>
      <w:proofErr w:type="gramEnd"/>
      <w:r>
        <w:rPr>
          <w:color w:val="000000"/>
        </w:rPr>
        <w:t xml:space="preserve"> implementation evidence rather than outcome data.</w:t>
      </w:r>
    </w:p>
    <w:p w14:paraId="7447645A" w14:textId="77777777" w:rsidR="002D5D76" w:rsidRDefault="002D5D76" w:rsidP="002D5D76">
      <w:pPr>
        <w:spacing w:before="80" w:after="80"/>
      </w:pPr>
      <w:r>
        <w:rPr>
          <w:color w:val="000000"/>
        </w:rPr>
        <w:t xml:space="preserve">Staff who believe a compliance determination has been made inappropriately — specifically, who believe that a school has been classified as non-compliant </w:t>
      </w:r>
      <w:proofErr w:type="gramStart"/>
      <w:r>
        <w:rPr>
          <w:color w:val="000000"/>
        </w:rPr>
        <w:t>on the basis of</w:t>
      </w:r>
      <w:proofErr w:type="gramEnd"/>
      <w:r>
        <w:rPr>
          <w:color w:val="000000"/>
        </w:rPr>
        <w:t xml:space="preserve"> its outcomes rather than its implementation — should raise this concern with the Outcomes &amp; Impact lead. If they do not receive a satisfactory response, they should escalate to the Academic </w:t>
      </w:r>
      <w:proofErr w:type="gramStart"/>
      <w:r>
        <w:rPr>
          <w:color w:val="000000"/>
        </w:rPr>
        <w:t>Director.⁵</w:t>
      </w:r>
      <w:proofErr w:type="gramEnd"/>
    </w:p>
    <w:p w14:paraId="71E1D025" w14:textId="77777777" w:rsidR="002D5D76" w:rsidRDefault="002D5D76" w:rsidP="002D5D76">
      <w:pPr>
        <w:spacing w:before="40" w:after="40"/>
      </w:pPr>
    </w:p>
    <w:p w14:paraId="7EFB1A97" w14:textId="77777777" w:rsidR="002D5D76" w:rsidRDefault="002D5D76" w:rsidP="002D5D76">
      <w:pPr>
        <w:spacing w:before="80" w:after="80"/>
      </w:pPr>
      <w:r>
        <w:rPr>
          <w:color w:val="CCCCCC"/>
          <w:sz w:val="16"/>
          <w:szCs w:val="16"/>
        </w:rPr>
        <w:t>─────────────────────────</w:t>
      </w:r>
    </w:p>
    <w:p w14:paraId="02381C81" w14:textId="77777777" w:rsidR="002D5D76" w:rsidRDefault="002D5D76" w:rsidP="002D5D76">
      <w:pPr>
        <w:spacing w:before="40" w:after="40"/>
      </w:pPr>
      <w:r>
        <w:rPr>
          <w:b/>
          <w:bCs/>
          <w:color w:val="922B21"/>
          <w:sz w:val="16"/>
          <w:szCs w:val="16"/>
        </w:rPr>
        <w:t xml:space="preserve">5 </w:t>
      </w:r>
      <w:r>
        <w:rPr>
          <w:color w:val="555555"/>
          <w:sz w:val="16"/>
          <w:szCs w:val="16"/>
        </w:rPr>
        <w:t xml:space="preserve">Meridian's data governance policy requires that compliance classifications be made </w:t>
      </w:r>
      <w:proofErr w:type="gramStart"/>
      <w:r>
        <w:rPr>
          <w:color w:val="555555"/>
          <w:sz w:val="16"/>
          <w:szCs w:val="16"/>
        </w:rPr>
        <w:t>on the basis of</w:t>
      </w:r>
      <w:proofErr w:type="gramEnd"/>
      <w:r>
        <w:rPr>
          <w:color w:val="555555"/>
          <w:sz w:val="16"/>
          <w:szCs w:val="16"/>
        </w:rPr>
        <w:t xml:space="preserve"> implementation evidence and not </w:t>
      </w:r>
      <w:proofErr w:type="gramStart"/>
      <w:r>
        <w:rPr>
          <w:color w:val="555555"/>
          <w:sz w:val="16"/>
          <w:szCs w:val="16"/>
        </w:rPr>
        <w:t>on the basis of</w:t>
      </w:r>
      <w:proofErr w:type="gramEnd"/>
      <w:r>
        <w:rPr>
          <w:color w:val="555555"/>
          <w:sz w:val="16"/>
          <w:szCs w:val="16"/>
        </w:rPr>
        <w:t xml:space="preserve"> outcome data alone. The policy document is available from the Academic Director's office. Staff who have concerns about the application of compliance standards to specific schools or datasets have a professional obligation to raise those concerns through the channels described above.</w:t>
      </w:r>
    </w:p>
    <w:p w14:paraId="3DAA27E7" w14:textId="77777777" w:rsidR="002D5D76" w:rsidRDefault="002D5D76" w:rsidP="002D5D76">
      <w:pPr>
        <w:pStyle w:val="Heading1"/>
      </w:pPr>
      <w:r>
        <w:rPr>
          <w:rFonts w:ascii="Arial" w:eastAsia="Arial" w:hAnsi="Arial" w:cs="Arial"/>
          <w:b/>
          <w:bCs/>
          <w:color w:val="1B2631"/>
          <w:sz w:val="36"/>
          <w:szCs w:val="36"/>
        </w:rPr>
        <w:t>Appendix A — Glossary of Terms</w:t>
      </w:r>
    </w:p>
    <w:p w14:paraId="43C994BF" w14:textId="77777777" w:rsidR="002D5D76" w:rsidRDefault="002D5D76" w:rsidP="002D5D76">
      <w:pPr>
        <w:spacing w:before="80" w:after="80"/>
      </w:pPr>
      <w:r>
        <w:rPr>
          <w:color w:val="000000"/>
        </w:rPr>
        <w:t>The following terms are used throughout this handbook. Where a term has a specific technical meaning that differs from its colloquial usage, that meaning is given here. All definitions supersede informal usage.</w:t>
      </w:r>
    </w:p>
    <w:p w14:paraId="275C4D56"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D5D76" w14:paraId="1EB51955"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1B0FAFF1" w14:textId="77777777" w:rsidR="002D5D76" w:rsidRDefault="002D5D76" w:rsidP="00C80E8F">
            <w:pPr>
              <w:spacing w:before="80" w:after="80"/>
            </w:pPr>
            <w:r>
              <w:rPr>
                <w:b/>
                <w:bCs/>
                <w:color w:val="000000"/>
                <w:sz w:val="18"/>
                <w:szCs w:val="18"/>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43DD5FE8" w14:textId="77777777" w:rsidR="002D5D76" w:rsidRDefault="002D5D76" w:rsidP="00C80E8F">
            <w:pPr>
              <w:spacing w:before="80" w:after="80"/>
            </w:pPr>
            <w:r>
              <w:rPr>
                <w:b/>
                <w:bCs/>
                <w:color w:val="000000"/>
                <w:sz w:val="18"/>
                <w:szCs w:val="18"/>
              </w:rPr>
              <w:t>Definition</w:t>
            </w:r>
          </w:p>
        </w:tc>
      </w:tr>
      <w:tr w:rsidR="002D5D76" w14:paraId="5B23841E"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24998163" w14:textId="77777777" w:rsidR="002D5D76" w:rsidRDefault="002D5D76" w:rsidP="00C80E8F">
            <w:pPr>
              <w:spacing w:before="80" w:after="80"/>
            </w:pPr>
            <w:r>
              <w:rPr>
                <w:b/>
                <w:bCs/>
                <w:color w:val="000000"/>
                <w:sz w:val="18"/>
                <w:szCs w:val="18"/>
              </w:rPr>
              <w:t>Calibrated Progress Delta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056C96" w14:textId="77777777" w:rsidR="002D5D76" w:rsidRDefault="002D5D76" w:rsidP="00C80E8F">
            <w:pPr>
              <w:spacing w:before="80" w:after="80"/>
            </w:pPr>
            <w:r>
              <w:rPr>
                <w:color w:val="000000"/>
                <w:sz w:val="18"/>
                <w:szCs w:val="18"/>
              </w:rPr>
              <w:t>The school-level progress measure used in all MPI impact calculations. Expresses GCSE outcomes relative to a three-year rolling baseline, adjusted for cohort composition. Distinct from raw Progress 8.</w:t>
            </w:r>
          </w:p>
        </w:tc>
      </w:tr>
      <w:tr w:rsidR="002D5D76" w14:paraId="3F19645C"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7C9053A1" w14:textId="77777777" w:rsidR="002D5D76" w:rsidRDefault="002D5D76" w:rsidP="00C80E8F">
            <w:pPr>
              <w:spacing w:before="80" w:after="80"/>
            </w:pPr>
            <w:r>
              <w:rPr>
                <w:b/>
                <w:bCs/>
                <w:color w:val="000000"/>
                <w:sz w:val="18"/>
                <w:szCs w:val="18"/>
              </w:rPr>
              <w:t>Cohort Calibration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E5346F" w14:textId="77777777" w:rsidR="002D5D76" w:rsidRDefault="002D5D76" w:rsidP="00C80E8F">
            <w:pPr>
              <w:spacing w:before="80" w:after="80"/>
            </w:pPr>
            <w:r>
              <w:rPr>
                <w:color w:val="000000"/>
                <w:sz w:val="18"/>
                <w:szCs w:val="18"/>
              </w:rPr>
              <w:t>The process of adjusting year-to-year impact calculations to account for intake quality variation. Described in Chapter 3.3.</w:t>
            </w:r>
          </w:p>
        </w:tc>
      </w:tr>
      <w:tr w:rsidR="002D5D76" w14:paraId="581C77C6"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4C2BF5B0" w14:textId="77777777" w:rsidR="002D5D76" w:rsidRDefault="002D5D76" w:rsidP="00C80E8F">
            <w:pPr>
              <w:spacing w:before="80" w:after="80"/>
            </w:pPr>
            <w:r>
              <w:rPr>
                <w:b/>
                <w:bCs/>
                <w:color w:val="000000"/>
                <w:sz w:val="18"/>
                <w:szCs w:val="18"/>
              </w:rPr>
              <w:t>Compliant Implementation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7D39BA" w14:textId="77777777" w:rsidR="002D5D76" w:rsidRDefault="002D5D76" w:rsidP="00C80E8F">
            <w:pPr>
              <w:spacing w:before="80" w:after="80"/>
            </w:pPr>
            <w:r>
              <w:rPr>
                <w:color w:val="000000"/>
                <w:sz w:val="18"/>
                <w:szCs w:val="18"/>
              </w:rPr>
              <w:t>A school meeting all five criteria set out in Chapter 11.2 for a given programme year. Data from compliant schools is included in programme analysis.</w:t>
            </w:r>
          </w:p>
        </w:tc>
      </w:tr>
      <w:tr w:rsidR="002D5D76" w14:paraId="4DCB94FF"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72BD3A6" w14:textId="77777777" w:rsidR="002D5D76" w:rsidRDefault="002D5D76" w:rsidP="00C80E8F">
            <w:pPr>
              <w:spacing w:before="80" w:after="80"/>
            </w:pPr>
            <w:r>
              <w:rPr>
                <w:b/>
                <w:bCs/>
                <w:color w:val="000000"/>
                <w:sz w:val="18"/>
                <w:szCs w:val="18"/>
              </w:rPr>
              <w:t>Effect Size (Cohen's 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6376A6" w14:textId="77777777" w:rsidR="002D5D76" w:rsidRDefault="002D5D76" w:rsidP="00C80E8F">
            <w:pPr>
              <w:spacing w:before="80" w:after="80"/>
            </w:pPr>
            <w:r>
              <w:rPr>
                <w:color w:val="000000"/>
                <w:sz w:val="18"/>
                <w:szCs w:val="18"/>
              </w:rPr>
              <w:t>A standardised measure of the difference between two groups, expressed in standard deviation units. The MPI uses Cohen's d throughout. Values above 0.4 are considered educationally significant.</w:t>
            </w:r>
          </w:p>
        </w:tc>
      </w:tr>
      <w:tr w:rsidR="002D5D76" w14:paraId="01FDF3D0"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161FDA8C" w14:textId="77777777" w:rsidR="002D5D76" w:rsidRDefault="002D5D76" w:rsidP="00C80E8F">
            <w:pPr>
              <w:spacing w:before="80" w:after="80"/>
            </w:pPr>
            <w:r>
              <w:rPr>
                <w:b/>
                <w:bCs/>
                <w:color w:val="000000"/>
                <w:sz w:val="18"/>
                <w:szCs w:val="18"/>
              </w:rPr>
              <w:t>Implementation Quality Score (IQS)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0FF384" w14:textId="77777777" w:rsidR="002D5D76" w:rsidRDefault="002D5D76" w:rsidP="00C80E8F">
            <w:pPr>
              <w:spacing w:before="80" w:after="80"/>
            </w:pPr>
            <w:r>
              <w:rPr>
                <w:color w:val="000000"/>
                <w:sz w:val="18"/>
                <w:szCs w:val="18"/>
              </w:rPr>
              <w:t>A school-level score (0–100) derived from the annual MPI audit. Feeds into the Progress Fidelity Score. Described in Chapter 4.3.</w:t>
            </w:r>
          </w:p>
        </w:tc>
      </w:tr>
      <w:tr w:rsidR="002D5D76" w14:paraId="0624845E"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067F1269" w14:textId="77777777" w:rsidR="002D5D76" w:rsidRDefault="002D5D76" w:rsidP="00C80E8F">
            <w:pPr>
              <w:spacing w:before="80" w:after="80"/>
            </w:pPr>
            <w:proofErr w:type="spellStart"/>
            <w:r>
              <w:rPr>
                <w:b/>
                <w:bCs/>
                <w:color w:val="000000"/>
                <w:sz w:val="18"/>
                <w:szCs w:val="18"/>
              </w:rPr>
              <w:t>MPI_Current</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F20131" w14:textId="77777777" w:rsidR="002D5D76" w:rsidRDefault="002D5D76" w:rsidP="00C80E8F">
            <w:pPr>
              <w:spacing w:before="80" w:after="80"/>
            </w:pPr>
            <w:r>
              <w:rPr>
                <w:color w:val="000000"/>
                <w:sz w:val="18"/>
                <w:szCs w:val="18"/>
              </w:rPr>
              <w:t>The active programme dataset, containing school-level outcome summaries for all compliant partner schools. Used in all current impact calculations.</w:t>
            </w:r>
          </w:p>
        </w:tc>
      </w:tr>
      <w:tr w:rsidR="002D5D76" w14:paraId="07E5474B"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41F6D0F5" w14:textId="77777777" w:rsidR="002D5D76" w:rsidRDefault="002D5D76" w:rsidP="00C80E8F">
            <w:pPr>
              <w:spacing w:before="80" w:after="80"/>
            </w:pPr>
            <w:r>
              <w:rPr>
                <w:b/>
                <w:bCs/>
                <w:color w:val="000000"/>
                <w:sz w:val="18"/>
                <w:szCs w:val="18"/>
              </w:rPr>
              <w:t>Non-Compliant Implementation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BB136F" w14:textId="77777777" w:rsidR="002D5D76" w:rsidRDefault="002D5D76" w:rsidP="00C80E8F">
            <w:pPr>
              <w:spacing w:before="80" w:after="80"/>
            </w:pPr>
            <w:r>
              <w:rPr>
                <w:color w:val="000000"/>
                <w:sz w:val="18"/>
                <w:szCs w:val="18"/>
              </w:rPr>
              <w:t>A school determined, following the review process in Chapter 11.4, to have had insufficient programme fidelity to generate valid outcome data. Data from non-compliant schools is archived, not deleted. See footnote 4.</w:t>
            </w:r>
          </w:p>
        </w:tc>
      </w:tr>
      <w:tr w:rsidR="002D5D76" w14:paraId="1BDA6FFF"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01ECC40B" w14:textId="77777777" w:rsidR="002D5D76" w:rsidRDefault="002D5D76" w:rsidP="00C80E8F">
            <w:pPr>
              <w:spacing w:before="80" w:after="80"/>
            </w:pPr>
            <w:r>
              <w:rPr>
                <w:b/>
                <w:bCs/>
                <w:color w:val="000000"/>
                <w:sz w:val="18"/>
                <w:szCs w:val="18"/>
              </w:rPr>
              <w:lastRenderedPageBreak/>
              <w:t>Programme Fidelity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298B85" w14:textId="77777777" w:rsidR="002D5D76" w:rsidRDefault="002D5D76" w:rsidP="00C80E8F">
            <w:pPr>
              <w:spacing w:before="80" w:after="80"/>
            </w:pPr>
            <w:r>
              <w:rPr>
                <w:color w:val="000000"/>
                <w:sz w:val="18"/>
                <w:szCs w:val="18"/>
              </w:rPr>
              <w:t>The degree to which a school has implemented the MPI as specified. Fidelity is assessed through the audit process and expressed as the IQS. "Sufficient fidelity" is the threshold above which outcome data is considered valid for programme analysis.</w:t>
            </w:r>
          </w:p>
        </w:tc>
      </w:tr>
      <w:tr w:rsidR="002D5D76" w14:paraId="212E0437"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26074BCD" w14:textId="77777777" w:rsidR="002D5D76" w:rsidRDefault="002D5D76" w:rsidP="00C80E8F">
            <w:pPr>
              <w:spacing w:before="80" w:after="80"/>
            </w:pPr>
            <w:r>
              <w:rPr>
                <w:b/>
                <w:bCs/>
                <w:color w:val="000000"/>
                <w:sz w:val="18"/>
                <w:szCs w:val="18"/>
              </w:rPr>
              <w:t>Progress Fidelity Score (PFS)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F3B9DD" w14:textId="77777777" w:rsidR="002D5D76" w:rsidRDefault="002D5D76" w:rsidP="00C80E8F">
            <w:pPr>
              <w:spacing w:before="80" w:after="80"/>
            </w:pPr>
            <w:r>
              <w:rPr>
                <w:color w:val="000000"/>
                <w:sz w:val="18"/>
                <w:szCs w:val="18"/>
              </w:rPr>
              <w:t>A school-level composite metric combining the calibrated progress delta, IQS, and a stability coefficient. Described in Chapter 3.2.</w:t>
            </w:r>
          </w:p>
        </w:tc>
      </w:tr>
      <w:tr w:rsidR="002D5D76" w14:paraId="39AB4AC7" w14:textId="77777777" w:rsidTr="00C80E8F">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7D647CE8" w14:textId="77777777" w:rsidR="002D5D76" w:rsidRDefault="002D5D76" w:rsidP="00C80E8F">
            <w:pPr>
              <w:spacing w:before="80" w:after="80"/>
            </w:pPr>
            <w:r>
              <w:rPr>
                <w:b/>
                <w:bCs/>
                <w:color w:val="000000"/>
                <w:sz w:val="18"/>
                <w:szCs w:val="18"/>
              </w:rPr>
              <w:t>Progress 8</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18CE34" w14:textId="77777777" w:rsidR="002D5D76" w:rsidRDefault="002D5D76" w:rsidP="00C80E8F">
            <w:pPr>
              <w:spacing w:before="80" w:after="80"/>
            </w:pPr>
            <w:r>
              <w:rPr>
                <w:color w:val="000000"/>
                <w:sz w:val="18"/>
                <w:szCs w:val="18"/>
              </w:rPr>
              <w:t>A national accountability measure introduced in 2016. Distinct from the MPI's calibrated progress measures. The two metrics are correlated but not identical.</w:t>
            </w:r>
          </w:p>
        </w:tc>
      </w:tr>
    </w:tbl>
    <w:p w14:paraId="7B607C5F" w14:textId="77777777" w:rsidR="002D5D76" w:rsidRDefault="002D5D76" w:rsidP="002D5D76">
      <w:pPr>
        <w:pStyle w:val="Heading1"/>
      </w:pPr>
      <w:r>
        <w:rPr>
          <w:rFonts w:ascii="Arial" w:eastAsia="Arial" w:hAnsi="Arial" w:cs="Arial"/>
          <w:b/>
          <w:bCs/>
          <w:color w:val="1B2631"/>
          <w:sz w:val="36"/>
          <w:szCs w:val="36"/>
        </w:rPr>
        <w:t>Appendix B — MPI Effect Size Summary</w:t>
      </w:r>
    </w:p>
    <w:p w14:paraId="3F903EAD" w14:textId="77777777" w:rsidR="002D5D76" w:rsidRDefault="002D5D76" w:rsidP="002D5D76">
      <w:pPr>
        <w:spacing w:before="80" w:after="80"/>
      </w:pPr>
      <w:r>
        <w:rPr>
          <w:color w:val="000000"/>
        </w:rPr>
        <w:t>The following table summarises MPI effect sizes as calculated from the current programme dataset (</w:t>
      </w:r>
      <w:proofErr w:type="spellStart"/>
      <w:r>
        <w:rPr>
          <w:color w:val="000000"/>
        </w:rPr>
        <w:t>MPI_Current</w:t>
      </w:r>
      <w:proofErr w:type="spellEnd"/>
      <w:r>
        <w:rPr>
          <w:color w:val="000000"/>
        </w:rPr>
        <w:t>). All figures use calibrated progress delta as the outcome measure and a propensity-matched comparison group as the baseline.</w:t>
      </w:r>
    </w:p>
    <w:p w14:paraId="1BC1378F"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200"/>
        <w:gridCol w:w="1500"/>
        <w:gridCol w:w="2926"/>
      </w:tblGrid>
      <w:tr w:rsidR="002D5D76" w14:paraId="7296D9E0" w14:textId="77777777" w:rsidTr="00C80E8F">
        <w:tc>
          <w:tcPr>
            <w:tcW w:w="1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E7D3214" w14:textId="77777777" w:rsidR="002D5D76" w:rsidRDefault="002D5D76" w:rsidP="00C80E8F">
            <w:pPr>
              <w:spacing w:before="80" w:after="80"/>
            </w:pPr>
            <w:r>
              <w:rPr>
                <w:b/>
                <w:bCs/>
                <w:color w:val="000000"/>
                <w:sz w:val="17"/>
                <w:szCs w:val="17"/>
              </w:rPr>
              <w:t>Year</w:t>
            </w:r>
          </w:p>
        </w:tc>
        <w:tc>
          <w:tcPr>
            <w:tcW w:w="1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03F70DE6" w14:textId="77777777" w:rsidR="002D5D76" w:rsidRDefault="002D5D76" w:rsidP="00C80E8F">
            <w:pPr>
              <w:spacing w:before="80" w:after="80"/>
            </w:pPr>
            <w:r>
              <w:rPr>
                <w:b/>
                <w:bCs/>
                <w:color w:val="000000"/>
                <w:sz w:val="17"/>
                <w:szCs w:val="17"/>
              </w:rPr>
              <w:t>Schools in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37DCE1DC" w14:textId="77777777" w:rsidR="002D5D76" w:rsidRDefault="002D5D76" w:rsidP="00C80E8F">
            <w:pPr>
              <w:spacing w:before="80" w:after="80"/>
            </w:pPr>
            <w:r>
              <w:rPr>
                <w:b/>
                <w:bCs/>
                <w:color w:val="000000"/>
                <w:sz w:val="17"/>
                <w:szCs w:val="17"/>
              </w:rPr>
              <w:t>Programme Effect Size (Cohen's d)</w:t>
            </w:r>
          </w:p>
        </w:tc>
        <w:tc>
          <w:tcPr>
            <w:tcW w:w="15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2FD17C54" w14:textId="77777777" w:rsidR="002D5D76" w:rsidRDefault="002D5D76" w:rsidP="00C80E8F">
            <w:pPr>
              <w:spacing w:before="80" w:after="80"/>
            </w:pPr>
            <w:r>
              <w:rPr>
                <w:b/>
                <w:bCs/>
                <w:color w:val="000000"/>
                <w:sz w:val="17"/>
                <w:szCs w:val="17"/>
              </w:rPr>
              <w:t>Comparison Group Size</w:t>
            </w:r>
          </w:p>
        </w:tc>
        <w:tc>
          <w:tcPr>
            <w:tcW w:w="29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129B8054" w14:textId="77777777" w:rsidR="002D5D76" w:rsidRDefault="002D5D76" w:rsidP="00C80E8F">
            <w:pPr>
              <w:spacing w:before="80" w:after="80"/>
            </w:pPr>
            <w:r>
              <w:rPr>
                <w:b/>
                <w:bCs/>
                <w:color w:val="000000"/>
                <w:sz w:val="17"/>
                <w:szCs w:val="17"/>
              </w:rPr>
              <w:t>Notes</w:t>
            </w:r>
          </w:p>
        </w:tc>
      </w:tr>
      <w:tr w:rsidR="002D5D76" w14:paraId="3411FD00" w14:textId="77777777" w:rsidTr="00C80E8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314B88" w14:textId="77777777" w:rsidR="002D5D76" w:rsidRDefault="002D5D76" w:rsidP="00C80E8F">
            <w:pPr>
              <w:spacing w:before="80" w:after="80"/>
            </w:pPr>
            <w:r>
              <w:rPr>
                <w:color w:val="000000"/>
                <w:sz w:val="17"/>
                <w:szCs w:val="17"/>
              </w:rPr>
              <w:t>2021–2022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2B5C47" w14:textId="77777777" w:rsidR="002D5D76" w:rsidRDefault="002D5D76" w:rsidP="00C80E8F">
            <w:pPr>
              <w:spacing w:before="80" w:after="80"/>
            </w:pPr>
            <w:r>
              <w:rPr>
                <w:color w:val="000000"/>
                <w:sz w:val="17"/>
                <w:szCs w:val="17"/>
              </w:rPr>
              <w:t>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7FC84B" w14:textId="77777777" w:rsidR="002D5D76" w:rsidRDefault="002D5D76" w:rsidP="00C80E8F">
            <w:pPr>
              <w:spacing w:before="80" w:after="80"/>
            </w:pPr>
            <w:r>
              <w:rPr>
                <w:color w:val="000000"/>
                <w:sz w:val="17"/>
                <w:szCs w:val="17"/>
              </w:rPr>
              <w:t>0.58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339713" w14:textId="77777777" w:rsidR="002D5D76" w:rsidRDefault="002D5D76" w:rsidP="00C80E8F">
            <w:pPr>
              <w:spacing w:before="80" w:after="80"/>
            </w:pPr>
            <w:r>
              <w:rPr>
                <w:color w:val="000000"/>
                <w:sz w:val="17"/>
                <w:szCs w:val="17"/>
              </w:rPr>
              <w:t>87</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3785B9" w14:textId="77777777" w:rsidR="002D5D76" w:rsidRDefault="002D5D76" w:rsidP="00C80E8F">
            <w:pPr>
              <w:spacing w:before="80" w:after="80"/>
            </w:pPr>
            <w:r>
              <w:rPr>
                <w:color w:val="000000"/>
                <w:sz w:val="17"/>
                <w:szCs w:val="17"/>
              </w:rPr>
              <w:t>Pre-v3.0 methodology. Included for reference only.</w:t>
            </w:r>
          </w:p>
        </w:tc>
      </w:tr>
      <w:tr w:rsidR="002D5D76" w14:paraId="6F1600D9" w14:textId="77777777" w:rsidTr="00C80E8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23A6F8" w14:textId="77777777" w:rsidR="002D5D76" w:rsidRDefault="002D5D76" w:rsidP="00C80E8F">
            <w:pPr>
              <w:spacing w:before="80" w:after="80"/>
            </w:pPr>
            <w:r>
              <w:rPr>
                <w:color w:val="000000"/>
                <w:sz w:val="17"/>
                <w:szCs w:val="17"/>
              </w:rPr>
              <w:t>2022–2023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C933E3" w14:textId="77777777" w:rsidR="002D5D76" w:rsidRDefault="002D5D76" w:rsidP="00C80E8F">
            <w:pPr>
              <w:spacing w:before="80" w:after="80"/>
            </w:pPr>
            <w:r>
              <w:rPr>
                <w:color w:val="000000"/>
                <w:sz w:val="17"/>
                <w:szCs w:val="17"/>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D8635C" w14:textId="77777777" w:rsidR="002D5D76" w:rsidRDefault="002D5D76" w:rsidP="00C80E8F">
            <w:pPr>
              <w:spacing w:before="80" w:after="80"/>
            </w:pPr>
            <w:r>
              <w:rPr>
                <w:color w:val="000000"/>
                <w:sz w:val="17"/>
                <w:szCs w:val="17"/>
              </w:rPr>
              <w:t>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68765F" w14:textId="77777777" w:rsidR="002D5D76" w:rsidRDefault="002D5D76" w:rsidP="00C80E8F">
            <w:pPr>
              <w:spacing w:before="80" w:after="80"/>
            </w:pPr>
            <w:r>
              <w:rPr>
                <w:color w:val="000000"/>
                <w:sz w:val="17"/>
                <w:szCs w:val="17"/>
              </w:rPr>
              <w:t>90</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91EBF5" w14:textId="77777777" w:rsidR="002D5D76" w:rsidRDefault="002D5D76" w:rsidP="00C80E8F">
            <w:pPr>
              <w:spacing w:before="80" w:after="80"/>
            </w:pPr>
            <w:r>
              <w:rPr>
                <w:color w:val="000000"/>
                <w:sz w:val="17"/>
                <w:szCs w:val="17"/>
              </w:rPr>
              <w:t>First full year under v3.0 methodology.</w:t>
            </w:r>
          </w:p>
        </w:tc>
      </w:tr>
      <w:tr w:rsidR="002D5D76" w14:paraId="4DE2B495" w14:textId="77777777" w:rsidTr="00C80E8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2B85EF" w14:textId="77777777" w:rsidR="002D5D76" w:rsidRDefault="002D5D76" w:rsidP="00C80E8F">
            <w:pPr>
              <w:spacing w:before="80" w:after="80"/>
            </w:pPr>
            <w:r>
              <w:rPr>
                <w:color w:val="000000"/>
                <w:sz w:val="17"/>
                <w:szCs w:val="17"/>
              </w:rPr>
              <w:t>2023–2024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BDFA77" w14:textId="77777777" w:rsidR="002D5D76" w:rsidRDefault="002D5D76" w:rsidP="00C80E8F">
            <w:pPr>
              <w:spacing w:before="80" w:after="80"/>
            </w:pPr>
            <w:r>
              <w:rPr>
                <w:color w:val="000000"/>
                <w:sz w:val="17"/>
                <w:szCs w:val="17"/>
              </w:rPr>
              <w:t>31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3E7C80" w14:textId="77777777" w:rsidR="002D5D76" w:rsidRDefault="002D5D76" w:rsidP="00C80E8F">
            <w:pPr>
              <w:spacing w:before="80" w:after="80"/>
            </w:pPr>
            <w:r>
              <w:rPr>
                <w:color w:val="000000"/>
                <w:sz w:val="17"/>
                <w:szCs w:val="17"/>
              </w:rPr>
              <w:t>0.63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3B091A" w14:textId="77777777" w:rsidR="002D5D76" w:rsidRDefault="002D5D76" w:rsidP="00C80E8F">
            <w:pPr>
              <w:spacing w:before="80" w:after="80"/>
            </w:pPr>
            <w:r>
              <w:rPr>
                <w:color w:val="000000"/>
                <w:sz w:val="17"/>
                <w:szCs w:val="17"/>
              </w:rPr>
              <w:t>93</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D8F2AC" w14:textId="77777777" w:rsidR="002D5D76" w:rsidRDefault="002D5D76" w:rsidP="00C80E8F">
            <w:pPr>
              <w:spacing w:before="80" w:after="80"/>
            </w:pPr>
            <w:r>
              <w:rPr>
                <w:color w:val="000000"/>
                <w:sz w:val="17"/>
                <w:szCs w:val="17"/>
              </w:rPr>
              <w:t>Current year. Included in published figure.</w:t>
            </w:r>
          </w:p>
        </w:tc>
      </w:tr>
      <w:tr w:rsidR="002D5D76" w14:paraId="4E07EC8A" w14:textId="77777777" w:rsidTr="00C80E8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369AF6" w14:textId="77777777" w:rsidR="002D5D76" w:rsidRDefault="002D5D76" w:rsidP="00C80E8F">
            <w:pPr>
              <w:spacing w:before="80" w:after="80"/>
            </w:pPr>
            <w:r>
              <w:rPr>
                <w:color w:val="000000"/>
                <w:sz w:val="17"/>
                <w:szCs w:val="17"/>
              </w:rPr>
              <w:t>2022–2024 (pooled)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E39940" w14:textId="77777777" w:rsidR="002D5D76" w:rsidRDefault="002D5D76" w:rsidP="00C80E8F">
            <w:pPr>
              <w:spacing w:before="80" w:after="80"/>
            </w:pPr>
            <w:r>
              <w:rPr>
                <w:color w:val="000000"/>
                <w:sz w:val="17"/>
                <w:szCs w:val="17"/>
              </w:rPr>
              <w:t>31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7AE378" w14:textId="77777777" w:rsidR="002D5D76" w:rsidRDefault="002D5D76" w:rsidP="00C80E8F">
            <w:pPr>
              <w:spacing w:before="80" w:after="80"/>
            </w:pPr>
            <w:r>
              <w:rPr>
                <w:color w:val="000000"/>
                <w:sz w:val="17"/>
                <w:szCs w:val="17"/>
              </w:rPr>
              <w:t>0.61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756DC7" w14:textId="77777777" w:rsidR="002D5D76" w:rsidRDefault="002D5D76" w:rsidP="00C80E8F">
            <w:pPr>
              <w:spacing w:before="80" w:after="80"/>
            </w:pPr>
            <w:r>
              <w:rPr>
                <w:color w:val="000000"/>
                <w:sz w:val="17"/>
                <w:szCs w:val="17"/>
              </w:rPr>
              <w:t>93</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014D85" w14:textId="77777777" w:rsidR="002D5D76" w:rsidRDefault="002D5D76" w:rsidP="00C80E8F">
            <w:pPr>
              <w:spacing w:before="80" w:after="80"/>
            </w:pPr>
            <w:r>
              <w:rPr>
                <w:color w:val="000000"/>
                <w:sz w:val="17"/>
                <w:szCs w:val="17"/>
              </w:rPr>
              <w:t>Published programme effect size. Use this figure in all documents.</w:t>
            </w:r>
          </w:p>
        </w:tc>
      </w:tr>
    </w:tbl>
    <w:p w14:paraId="210A427A" w14:textId="77777777" w:rsidR="002D5D76" w:rsidRDefault="002D5D76" w:rsidP="002D5D76">
      <w:pPr>
        <w:spacing w:before="40" w:after="40"/>
      </w:pPr>
    </w:p>
    <w:p w14:paraId="21A4FBB8" w14:textId="77777777" w:rsidR="002D5D76" w:rsidRDefault="002D5D76" w:rsidP="002D5D76">
      <w:pPr>
        <w:spacing w:before="80" w:after="80"/>
      </w:pPr>
      <w:r>
        <w:rPr>
          <w:i/>
          <w:iCs/>
          <w:color w:val="555555"/>
          <w:sz w:val="18"/>
          <w:szCs w:val="18"/>
        </w:rPr>
        <w:t>Note: The number of schools in analysis reflects schools classified as compliant in the relevant year. Schools classified as non-compliant are not included in these figures. The total number of partner schools across the programme period is higher than the figures above.</w:t>
      </w:r>
    </w:p>
    <w:p w14:paraId="51597A90" w14:textId="77777777" w:rsidR="002D5D76" w:rsidRDefault="002D5D76" w:rsidP="002D5D76">
      <w:pPr>
        <w:pStyle w:val="Heading1"/>
      </w:pPr>
      <w:r>
        <w:rPr>
          <w:rFonts w:ascii="Arial" w:eastAsia="Arial" w:hAnsi="Arial" w:cs="Arial"/>
          <w:b/>
          <w:bCs/>
          <w:color w:val="1B2631"/>
          <w:sz w:val="36"/>
          <w:szCs w:val="36"/>
        </w:rPr>
        <w:t>Appendix C — Methodology Statement Template</w:t>
      </w:r>
    </w:p>
    <w:p w14:paraId="70BFD368" w14:textId="77777777" w:rsidR="002D5D76" w:rsidRDefault="002D5D76" w:rsidP="002D5D76">
      <w:pPr>
        <w:spacing w:before="80" w:after="80"/>
      </w:pPr>
      <w:r>
        <w:rPr>
          <w:color w:val="000000"/>
        </w:rPr>
        <w:t>All renewal evidence packs and impact reports that include comparative analysis must include a methodology statement. The statement should be placed in the appendices of the document. The following template should be adapted, not replaced, for each document. Fields in [brackets] must be completed with document-specific information.</w:t>
      </w:r>
    </w:p>
    <w:p w14:paraId="0A1E289B"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D5D76" w14:paraId="388D664A" w14:textId="77777777" w:rsidTr="00C80E8F">
        <w:tc>
          <w:tcPr>
            <w:tcW w:w="9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42088478" w14:textId="77777777" w:rsidR="002D5D76" w:rsidRDefault="002D5D76" w:rsidP="00C80E8F">
            <w:pPr>
              <w:spacing w:before="60" w:after="60"/>
            </w:pPr>
            <w:r>
              <w:rPr>
                <w:b/>
                <w:bCs/>
                <w:color w:val="1A5276"/>
                <w:sz w:val="18"/>
                <w:szCs w:val="18"/>
              </w:rPr>
              <w:t>METHODOLOGY STATEMENT TEMPLATE</w:t>
            </w:r>
          </w:p>
          <w:p w14:paraId="5BCED858" w14:textId="77777777" w:rsidR="002D5D76" w:rsidRDefault="002D5D76" w:rsidP="00C80E8F">
            <w:pPr>
              <w:spacing w:before="40" w:after="40"/>
            </w:pPr>
          </w:p>
          <w:p w14:paraId="294E7F43" w14:textId="77777777" w:rsidR="002D5D76" w:rsidRDefault="002D5D76" w:rsidP="00C80E8F">
            <w:pPr>
              <w:spacing w:before="40" w:after="40"/>
            </w:pPr>
            <w:r>
              <w:rPr>
                <w:color w:val="000000"/>
                <w:sz w:val="18"/>
                <w:szCs w:val="18"/>
              </w:rPr>
              <w:t xml:space="preserve">Data Source: </w:t>
            </w:r>
            <w:proofErr w:type="spellStart"/>
            <w:r>
              <w:rPr>
                <w:color w:val="000000"/>
                <w:sz w:val="18"/>
                <w:szCs w:val="18"/>
              </w:rPr>
              <w:t>MPI_Current</w:t>
            </w:r>
            <w:proofErr w:type="spellEnd"/>
            <w:r>
              <w:rPr>
                <w:color w:val="000000"/>
                <w:sz w:val="18"/>
                <w:szCs w:val="18"/>
              </w:rPr>
              <w:t xml:space="preserve"> dataset, school-level outcome summaries, [year range].</w:t>
            </w:r>
          </w:p>
          <w:p w14:paraId="4374F845" w14:textId="77777777" w:rsidR="002D5D76" w:rsidRDefault="002D5D76" w:rsidP="00C80E8F">
            <w:pPr>
              <w:spacing w:before="40" w:after="40"/>
            </w:pPr>
          </w:p>
          <w:p w14:paraId="79653B1E" w14:textId="77777777" w:rsidR="002D5D76" w:rsidRDefault="002D5D76" w:rsidP="00C80E8F">
            <w:pPr>
              <w:spacing w:before="40" w:after="40"/>
            </w:pPr>
            <w:r>
              <w:rPr>
                <w:color w:val="000000"/>
                <w:sz w:val="18"/>
                <w:szCs w:val="18"/>
              </w:rPr>
              <w:t>Outcome Measure: Calibrated progress delta, as defined in the MPI Technical Handbook (Edition 4.2, Chapter 3.3). Expressed as Cohen's d relative to comparison group.</w:t>
            </w:r>
          </w:p>
          <w:p w14:paraId="3B99D5C0" w14:textId="77777777" w:rsidR="002D5D76" w:rsidRDefault="002D5D76" w:rsidP="00C80E8F">
            <w:pPr>
              <w:spacing w:before="40" w:after="40"/>
            </w:pPr>
          </w:p>
          <w:p w14:paraId="17A9F74D" w14:textId="77777777" w:rsidR="002D5D76" w:rsidRDefault="002D5D76" w:rsidP="00C80E8F">
            <w:pPr>
              <w:spacing w:before="40" w:after="40"/>
            </w:pPr>
            <w:r>
              <w:rPr>
                <w:color w:val="000000"/>
                <w:sz w:val="18"/>
                <w:szCs w:val="18"/>
              </w:rPr>
              <w:lastRenderedPageBreak/>
              <w:t>School Inclusion Criteria: Schools classified as having achieved compliant implementation in the relevant programme year(s), in accordance with the standards set out in Chapter 11 of the MPI Technical Handbook. Schools with non-compliant implementation classification in the relevant year are not included. The criteria for non-compliant classification are: [insert reference to Chapter 11.2 criteria, noting which criteria were applied in this specific analysis].</w:t>
            </w:r>
          </w:p>
          <w:p w14:paraId="6E810290" w14:textId="77777777" w:rsidR="002D5D76" w:rsidRDefault="002D5D76" w:rsidP="00C80E8F">
            <w:pPr>
              <w:spacing w:before="40" w:after="40"/>
            </w:pPr>
          </w:p>
          <w:p w14:paraId="664C33FD" w14:textId="77777777" w:rsidR="002D5D76" w:rsidRDefault="002D5D76" w:rsidP="00C80E8F">
            <w:pPr>
              <w:spacing w:before="40" w:after="40"/>
            </w:pPr>
            <w:r>
              <w:rPr>
                <w:color w:val="000000"/>
                <w:sz w:val="18"/>
                <w:szCs w:val="18"/>
              </w:rPr>
              <w:t>Comparison Group: [Description of comparison group — how matched, on which variables, from which source.]</w:t>
            </w:r>
          </w:p>
          <w:p w14:paraId="14735D7C" w14:textId="77777777" w:rsidR="002D5D76" w:rsidRDefault="002D5D76" w:rsidP="00C80E8F">
            <w:pPr>
              <w:spacing w:before="40" w:after="40"/>
            </w:pPr>
          </w:p>
          <w:p w14:paraId="28D61918" w14:textId="77777777" w:rsidR="002D5D76" w:rsidRDefault="002D5D76" w:rsidP="00C80E8F">
            <w:pPr>
              <w:spacing w:before="40" w:after="40"/>
            </w:pPr>
            <w:r>
              <w:rPr>
                <w:color w:val="000000"/>
                <w:sz w:val="18"/>
                <w:szCs w:val="18"/>
              </w:rPr>
              <w:t>Limitations: This analysis covers MPI partner schools meeting programme fidelity standards in [year range]. It does not cover all schools that contracted with Meridian during this period. Results should be interpreted as reflecting outcomes in schools with sufficient programme fidelity to generate valid impact data.</w:t>
            </w:r>
          </w:p>
        </w:tc>
      </w:tr>
    </w:tbl>
    <w:p w14:paraId="239A040B" w14:textId="77777777" w:rsidR="002D5D76" w:rsidRDefault="002D5D76" w:rsidP="002D5D76">
      <w:pPr>
        <w:spacing w:before="40" w:after="40"/>
      </w:pPr>
    </w:p>
    <w:p w14:paraId="6699E7B2" w14:textId="77777777" w:rsidR="002D5D76" w:rsidRDefault="002D5D76" w:rsidP="002D5D76">
      <w:pPr>
        <w:spacing w:before="80" w:after="80"/>
      </w:pPr>
      <w:r>
        <w:rPr>
          <w:i/>
          <w:iCs/>
          <w:color w:val="922B21"/>
          <w:sz w:val="18"/>
          <w:szCs w:val="18"/>
        </w:rPr>
        <w:t>Staff completing this template should note that the "limitations" section is mandatory. A methodology statement that does not acknowledge the scope of the analysis — specifically, that it covers compliant schools only — is not complete.</w:t>
      </w:r>
    </w:p>
    <w:p w14:paraId="395A7F5E" w14:textId="77777777" w:rsidR="002D5D76" w:rsidRDefault="002D5D76" w:rsidP="002D5D76">
      <w:pPr>
        <w:pStyle w:val="Heading1"/>
      </w:pPr>
      <w:r>
        <w:rPr>
          <w:rFonts w:ascii="Arial" w:eastAsia="Arial" w:hAnsi="Arial" w:cs="Arial"/>
          <w:b/>
          <w:bCs/>
          <w:color w:val="1B2631"/>
          <w:sz w:val="36"/>
          <w:szCs w:val="36"/>
        </w:rPr>
        <w:t>Appendix D — Data Submission Forms</w:t>
      </w:r>
    </w:p>
    <w:p w14:paraId="5FD4FB9C" w14:textId="77777777" w:rsidR="002D5D76" w:rsidRDefault="002D5D76" w:rsidP="002D5D76">
      <w:pPr>
        <w:spacing w:before="80" w:after="80"/>
      </w:pPr>
      <w:r>
        <w:rPr>
          <w:color w:val="000000"/>
        </w:rPr>
        <w:t xml:space="preserve">Data submission forms are available in the </w:t>
      </w:r>
      <w:proofErr w:type="spellStart"/>
      <w:r>
        <w:rPr>
          <w:color w:val="000000"/>
        </w:rPr>
        <w:t>SynergyDrive</w:t>
      </w:r>
      <w:proofErr w:type="spellEnd"/>
      <w:r>
        <w:rPr>
          <w:color w:val="000000"/>
        </w:rPr>
        <w:t xml:space="preserve"> portal under </w:t>
      </w:r>
      <w:proofErr w:type="spellStart"/>
      <w:r>
        <w:rPr>
          <w:color w:val="000000"/>
        </w:rPr>
        <w:t>Impact_Data</w:t>
      </w:r>
      <w:proofErr w:type="spellEnd"/>
      <w:r>
        <w:rPr>
          <w:color w:val="000000"/>
        </w:rPr>
        <w:t xml:space="preserve"> / </w:t>
      </w:r>
      <w:proofErr w:type="spellStart"/>
      <w:r>
        <w:rPr>
          <w:color w:val="000000"/>
        </w:rPr>
        <w:t>Submission_Templates</w:t>
      </w:r>
      <w:proofErr w:type="spellEnd"/>
      <w:r>
        <w:rPr>
          <w:color w:val="000000"/>
        </w:rPr>
        <w:t>. The following table lists the current versions of each form. Staff should ensure they are using current versions; earlier versions may have column structures that differ from the current validation requirements and will fail automated checking.</w:t>
      </w:r>
    </w:p>
    <w:p w14:paraId="08C56DEF" w14:textId="77777777" w:rsidR="002D5D76" w:rsidRDefault="002D5D76" w:rsidP="002D5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200"/>
        <w:gridCol w:w="4226"/>
      </w:tblGrid>
      <w:tr w:rsidR="002D5D76" w14:paraId="1F3642C4"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191730A2" w14:textId="77777777" w:rsidR="002D5D76" w:rsidRDefault="002D5D76" w:rsidP="00C80E8F">
            <w:pPr>
              <w:spacing w:before="80" w:after="80"/>
            </w:pPr>
            <w:r>
              <w:rPr>
                <w:b/>
                <w:bCs/>
                <w:color w:val="000000"/>
                <w:sz w:val="17"/>
                <w:szCs w:val="17"/>
              </w:rPr>
              <w:t>Form</w:t>
            </w:r>
          </w:p>
        </w:tc>
        <w:tc>
          <w:tcPr>
            <w:tcW w:w="1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29B18348" w14:textId="77777777" w:rsidR="002D5D76" w:rsidRDefault="002D5D76" w:rsidP="00C80E8F">
            <w:pPr>
              <w:spacing w:before="80" w:after="80"/>
            </w:pPr>
            <w:r>
              <w:rPr>
                <w:b/>
                <w:bCs/>
                <w:color w:val="000000"/>
                <w:sz w:val="17"/>
                <w:szCs w:val="17"/>
              </w:rPr>
              <w:t>Current Version</w:t>
            </w:r>
          </w:p>
        </w:tc>
        <w:tc>
          <w:tcPr>
            <w:tcW w:w="1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1A061F20" w14:textId="77777777" w:rsidR="002D5D76" w:rsidRDefault="002D5D76" w:rsidP="00C80E8F">
            <w:pPr>
              <w:spacing w:before="80" w:after="80"/>
            </w:pPr>
            <w:r>
              <w:rPr>
                <w:b/>
                <w:bCs/>
                <w:color w:val="000000"/>
                <w:sz w:val="17"/>
                <w:szCs w:val="17"/>
              </w:rPr>
              <w:t>Last Updated</w:t>
            </w:r>
          </w:p>
        </w:tc>
        <w:tc>
          <w:tcPr>
            <w:tcW w:w="42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77E4CA6A" w14:textId="77777777" w:rsidR="002D5D76" w:rsidRDefault="002D5D76" w:rsidP="00C80E8F">
            <w:pPr>
              <w:spacing w:before="80" w:after="80"/>
            </w:pPr>
            <w:r>
              <w:rPr>
                <w:b/>
                <w:bCs/>
                <w:color w:val="000000"/>
                <w:sz w:val="17"/>
                <w:szCs w:val="17"/>
              </w:rPr>
              <w:t>Notes</w:t>
            </w:r>
          </w:p>
        </w:tc>
      </w:tr>
      <w:tr w:rsidR="002D5D76" w14:paraId="3301454D"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AC0F39" w14:textId="77777777" w:rsidR="002D5D76" w:rsidRDefault="002D5D76" w:rsidP="00C80E8F">
            <w:pPr>
              <w:spacing w:before="80" w:after="80"/>
            </w:pPr>
            <w:r>
              <w:rPr>
                <w:color w:val="000000"/>
                <w:sz w:val="17"/>
                <w:szCs w:val="17"/>
              </w:rPr>
              <w:t>Annual Outcome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D0FC7D" w14:textId="77777777" w:rsidR="002D5D76" w:rsidRDefault="002D5D76" w:rsidP="00C80E8F">
            <w:pPr>
              <w:spacing w:before="80" w:after="80"/>
            </w:pPr>
            <w:r>
              <w:rPr>
                <w:color w:val="000000"/>
                <w:sz w:val="17"/>
                <w:szCs w:val="17"/>
              </w:rPr>
              <w:t>v4.1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7307C7" w14:textId="77777777" w:rsidR="002D5D76" w:rsidRDefault="002D5D76" w:rsidP="00C80E8F">
            <w:pPr>
              <w:spacing w:before="80" w:after="80"/>
            </w:pPr>
            <w:r>
              <w:rPr>
                <w:color w:val="000000"/>
                <w:sz w:val="17"/>
                <w:szCs w:val="17"/>
              </w:rPr>
              <w:t>August 2024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FE11E4" w14:textId="77777777" w:rsidR="002D5D76" w:rsidRDefault="002D5D76" w:rsidP="00C80E8F">
            <w:pPr>
              <w:spacing w:before="80" w:after="80"/>
            </w:pPr>
            <w:r>
              <w:rPr>
                <w:color w:val="000000"/>
                <w:sz w:val="17"/>
                <w:szCs w:val="17"/>
              </w:rPr>
              <w:t>Column headers standardised in v4.0. Earlier versions not accepted.</w:t>
            </w:r>
          </w:p>
        </w:tc>
      </w:tr>
      <w:tr w:rsidR="002D5D76" w14:paraId="3BD2FDCD"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CC5CE9" w14:textId="77777777" w:rsidR="002D5D76" w:rsidRDefault="002D5D76" w:rsidP="00C80E8F">
            <w:pPr>
              <w:spacing w:before="80" w:after="80"/>
            </w:pPr>
            <w:r>
              <w:rPr>
                <w:color w:val="000000"/>
                <w:sz w:val="17"/>
                <w:szCs w:val="17"/>
              </w:rPr>
              <w:t>KS2 Baseline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152A7E" w14:textId="77777777" w:rsidR="002D5D76" w:rsidRDefault="002D5D76" w:rsidP="00C80E8F">
            <w:pPr>
              <w:spacing w:before="80" w:after="80"/>
            </w:pPr>
            <w:r>
              <w:rPr>
                <w:color w:val="000000"/>
                <w:sz w:val="17"/>
                <w:szCs w:val="17"/>
              </w:rPr>
              <w:t>v3.2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0BE111" w14:textId="77777777" w:rsidR="002D5D76" w:rsidRDefault="002D5D76" w:rsidP="00C80E8F">
            <w:pPr>
              <w:spacing w:before="80" w:after="80"/>
            </w:pPr>
            <w:r>
              <w:rPr>
                <w:color w:val="000000"/>
                <w:sz w:val="17"/>
                <w:szCs w:val="17"/>
              </w:rPr>
              <w:t>August 2023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C612FC" w14:textId="77777777" w:rsidR="002D5D76" w:rsidRDefault="002D5D76" w:rsidP="00C80E8F">
            <w:pPr>
              <w:spacing w:before="80" w:after="80"/>
            </w:pPr>
            <w:r>
              <w:rPr>
                <w:color w:val="000000"/>
                <w:sz w:val="17"/>
                <w:szCs w:val="17"/>
              </w:rPr>
              <w:t>Accepts pupil-level or school-level data.</w:t>
            </w:r>
          </w:p>
        </w:tc>
      </w:tr>
      <w:tr w:rsidR="002D5D76" w14:paraId="435DF287"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5F7A6A" w14:textId="77777777" w:rsidR="002D5D76" w:rsidRDefault="002D5D76" w:rsidP="00C80E8F">
            <w:pPr>
              <w:spacing w:before="80" w:after="80"/>
            </w:pPr>
            <w:r>
              <w:rPr>
                <w:color w:val="000000"/>
                <w:sz w:val="17"/>
                <w:szCs w:val="17"/>
              </w:rPr>
              <w:t>Implementation Quality Checklist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E7FF49" w14:textId="77777777" w:rsidR="002D5D76" w:rsidRDefault="002D5D76" w:rsidP="00C80E8F">
            <w:pPr>
              <w:spacing w:before="80" w:after="80"/>
            </w:pPr>
            <w:r>
              <w:rPr>
                <w:color w:val="000000"/>
                <w:sz w:val="17"/>
                <w:szCs w:val="17"/>
              </w:rPr>
              <w:t>v2.4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3977FF" w14:textId="77777777" w:rsidR="002D5D76" w:rsidRDefault="002D5D76" w:rsidP="00C80E8F">
            <w:pPr>
              <w:spacing w:before="80" w:after="80"/>
            </w:pPr>
            <w:r>
              <w:rPr>
                <w:color w:val="000000"/>
                <w:sz w:val="17"/>
                <w:szCs w:val="17"/>
              </w:rPr>
              <w:t>January 2024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BD61CD" w14:textId="77777777" w:rsidR="002D5D76" w:rsidRDefault="002D5D76" w:rsidP="00C80E8F">
            <w:pPr>
              <w:spacing w:before="80" w:after="80"/>
            </w:pPr>
            <w:r>
              <w:rPr>
                <w:color w:val="000000"/>
                <w:sz w:val="17"/>
                <w:szCs w:val="17"/>
              </w:rPr>
              <w:t>Eight dimensions. Completion mandatory for audit.</w:t>
            </w:r>
          </w:p>
        </w:tc>
      </w:tr>
      <w:tr w:rsidR="002D5D76" w14:paraId="4A334F77"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2E0508" w14:textId="77777777" w:rsidR="002D5D76" w:rsidRDefault="002D5D76" w:rsidP="00C80E8F">
            <w:pPr>
              <w:spacing w:before="80" w:after="80"/>
            </w:pPr>
            <w:r>
              <w:rPr>
                <w:color w:val="000000"/>
                <w:sz w:val="17"/>
                <w:szCs w:val="17"/>
              </w:rPr>
              <w:t>Cohort Composition 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83AB2C" w14:textId="77777777" w:rsidR="002D5D76" w:rsidRDefault="002D5D76" w:rsidP="00C80E8F">
            <w:pPr>
              <w:spacing w:before="80" w:after="80"/>
            </w:pPr>
            <w:r>
              <w:rPr>
                <w:color w:val="000000"/>
                <w:sz w:val="17"/>
                <w:szCs w:val="17"/>
              </w:rPr>
              <w:t>v2.1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4A715B" w14:textId="77777777" w:rsidR="002D5D76" w:rsidRDefault="002D5D76" w:rsidP="00C80E8F">
            <w:pPr>
              <w:spacing w:before="80" w:after="80"/>
            </w:pPr>
            <w:r>
              <w:rPr>
                <w:color w:val="000000"/>
                <w:sz w:val="17"/>
                <w:szCs w:val="17"/>
              </w:rPr>
              <w:t>August 2023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EB76A5" w14:textId="77777777" w:rsidR="002D5D76" w:rsidRDefault="002D5D76" w:rsidP="00C80E8F">
            <w:pPr>
              <w:spacing w:before="80" w:after="80"/>
            </w:pPr>
            <w:r>
              <w:rPr>
                <w:color w:val="000000"/>
                <w:sz w:val="17"/>
                <w:szCs w:val="17"/>
              </w:rPr>
              <w:t>FSM, SEN, EAL fields required.</w:t>
            </w:r>
          </w:p>
        </w:tc>
      </w:tr>
      <w:tr w:rsidR="002D5D76" w14:paraId="6D877802" w14:textId="77777777" w:rsidTr="00C80E8F">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7C5290" w14:textId="77777777" w:rsidR="002D5D76" w:rsidRDefault="002D5D76" w:rsidP="00C80E8F">
            <w:pPr>
              <w:spacing w:before="80" w:after="80"/>
            </w:pPr>
            <w:r>
              <w:rPr>
                <w:color w:val="000000"/>
                <w:sz w:val="17"/>
                <w:szCs w:val="17"/>
              </w:rPr>
              <w:t>Context Factors 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7818FC" w14:textId="77777777" w:rsidR="002D5D76" w:rsidRDefault="002D5D76" w:rsidP="00C80E8F">
            <w:pPr>
              <w:spacing w:before="80" w:after="80"/>
            </w:pPr>
            <w:r>
              <w:rPr>
                <w:color w:val="000000"/>
                <w:sz w:val="17"/>
                <w:szCs w:val="17"/>
              </w:rPr>
              <w:t>v1.3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6337A4" w14:textId="77777777" w:rsidR="002D5D76" w:rsidRDefault="002D5D76" w:rsidP="00C80E8F">
            <w:pPr>
              <w:spacing w:before="80" w:after="80"/>
            </w:pPr>
            <w:r>
              <w:rPr>
                <w:color w:val="000000"/>
                <w:sz w:val="17"/>
                <w:szCs w:val="17"/>
              </w:rPr>
              <w:t>August 2022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5A5BFA" w14:textId="77777777" w:rsidR="002D5D76" w:rsidRDefault="002D5D76" w:rsidP="00C80E8F">
            <w:pPr>
              <w:spacing w:before="80" w:after="80"/>
            </w:pPr>
            <w:r>
              <w:rPr>
                <w:color w:val="000000"/>
                <w:sz w:val="17"/>
                <w:szCs w:val="17"/>
              </w:rPr>
              <w:t>Free text. Optional but recommended.</w:t>
            </w:r>
          </w:p>
        </w:tc>
      </w:tr>
    </w:tbl>
    <w:p w14:paraId="0113DE0A" w14:textId="77777777" w:rsidR="002D5D76" w:rsidRDefault="002D5D76" w:rsidP="002D5D76">
      <w:pPr>
        <w:spacing w:before="40" w:after="40"/>
      </w:pPr>
    </w:p>
    <w:p w14:paraId="7239DC1A" w14:textId="77777777" w:rsidR="002D5D76" w:rsidRDefault="002D5D76" w:rsidP="002D5D76">
      <w:pPr>
        <w:spacing w:before="40" w:after="40"/>
      </w:pPr>
    </w:p>
    <w:p w14:paraId="30BDD3AC" w14:textId="77777777" w:rsidR="002D5D76" w:rsidRDefault="002D5D76" w:rsidP="002D5D76">
      <w:pPr>
        <w:spacing w:before="80" w:after="80"/>
      </w:pPr>
      <w:r>
        <w:rPr>
          <w:color w:val="CCCCCC"/>
          <w:sz w:val="16"/>
          <w:szCs w:val="16"/>
        </w:rPr>
        <w:t>─────────────────────────</w:t>
      </w:r>
    </w:p>
    <w:p w14:paraId="7D6E4705" w14:textId="77777777" w:rsidR="002D5D76" w:rsidRDefault="002D5D76" w:rsidP="002D5D76">
      <w:pPr>
        <w:spacing w:before="80" w:after="80"/>
      </w:pPr>
      <w:r>
        <w:rPr>
          <w:i/>
          <w:iCs/>
          <w:color w:val="888888"/>
          <w:sz w:val="16"/>
          <w:szCs w:val="16"/>
        </w:rPr>
        <w:t>MPI Technical Handbook — Edition 4.2 — Meridian Education Group — Internal Reference Document</w:t>
      </w:r>
    </w:p>
    <w:p w14:paraId="0AA78D58" w14:textId="77777777" w:rsidR="002D5D76" w:rsidRDefault="002D5D76" w:rsidP="002D5D76">
      <w:pPr>
        <w:spacing w:before="80" w:after="80"/>
      </w:pPr>
      <w:r>
        <w:rPr>
          <w:i/>
          <w:iCs/>
          <w:color w:val="888888"/>
          <w:sz w:val="16"/>
          <w:szCs w:val="16"/>
        </w:rPr>
        <w:t>Not for external distribution. For access queries, contact the Outcomes &amp; Impact Division.</w:t>
      </w:r>
    </w:p>
    <w:p w14:paraId="7B5538EA" w14:textId="08F3D350" w:rsidR="00403B08" w:rsidRDefault="00403B08">
      <w:pPr>
        <w:spacing w:after="160" w:line="278" w:lineRule="auto"/>
        <w:rPr>
          <w:sz w:val="22"/>
          <w:szCs w:val="22"/>
        </w:rPr>
      </w:pPr>
      <w:r>
        <w:rPr>
          <w:sz w:val="22"/>
          <w:szCs w:val="22"/>
        </w:rPr>
        <w:br w:type="page"/>
      </w:r>
    </w:p>
    <w:p w14:paraId="2ABE2EDB" w14:textId="77777777" w:rsidR="00403B08" w:rsidRPr="00403B08" w:rsidRDefault="00403B08" w:rsidP="00403B08">
      <w:pPr>
        <w:rPr>
          <w:b/>
          <w:bCs/>
          <w:sz w:val="22"/>
          <w:szCs w:val="22"/>
        </w:rPr>
      </w:pPr>
      <w:r w:rsidRPr="00403B08">
        <w:rPr>
          <w:b/>
          <w:bCs/>
          <w:sz w:val="22"/>
          <w:szCs w:val="22"/>
        </w:rPr>
        <w:lastRenderedPageBreak/>
        <w:t>MERIDIAN EDUCATION GROUP</w:t>
      </w:r>
    </w:p>
    <w:p w14:paraId="5D183E54" w14:textId="77777777" w:rsidR="00403B08" w:rsidRPr="00403B08" w:rsidRDefault="00403B08" w:rsidP="00403B08">
      <w:pPr>
        <w:rPr>
          <w:b/>
          <w:bCs/>
          <w:sz w:val="22"/>
          <w:szCs w:val="22"/>
        </w:rPr>
      </w:pPr>
      <w:r w:rsidRPr="00403B08">
        <w:rPr>
          <w:b/>
          <w:bCs/>
          <w:sz w:val="22"/>
          <w:szCs w:val="22"/>
        </w:rPr>
        <w:t>Professional Practice: Reflective Journal (Worksheet 04)</w:t>
      </w:r>
    </w:p>
    <w:p w14:paraId="061C1441" w14:textId="77777777" w:rsidR="00403B08" w:rsidRPr="00403B08" w:rsidRDefault="00403B08" w:rsidP="00403B08">
      <w:pPr>
        <w:rPr>
          <w:sz w:val="22"/>
          <w:szCs w:val="22"/>
        </w:rPr>
      </w:pPr>
      <w:r w:rsidRPr="00403B08">
        <w:rPr>
          <w:b/>
          <w:bCs/>
          <w:sz w:val="22"/>
          <w:szCs w:val="22"/>
        </w:rPr>
        <w:t>Name:</w:t>
      </w:r>
      <w:r w:rsidRPr="00403B08">
        <w:rPr>
          <w:sz w:val="22"/>
          <w:szCs w:val="22"/>
        </w:rPr>
        <w:t xml:space="preserve"> __________________________ </w:t>
      </w:r>
      <w:r w:rsidRPr="00403B08">
        <w:rPr>
          <w:b/>
          <w:bCs/>
          <w:sz w:val="22"/>
          <w:szCs w:val="22"/>
        </w:rPr>
        <w:t>Date Assigned:</w:t>
      </w:r>
      <w:r w:rsidRPr="00403B08">
        <w:rPr>
          <w:sz w:val="22"/>
          <w:szCs w:val="22"/>
        </w:rPr>
        <w:t xml:space="preserve"> Day 07 </w:t>
      </w:r>
      <w:r w:rsidRPr="00403B08">
        <w:rPr>
          <w:b/>
          <w:bCs/>
          <w:sz w:val="22"/>
          <w:szCs w:val="22"/>
        </w:rPr>
        <w:t>Due Date:</w:t>
      </w:r>
      <w:r w:rsidRPr="00403B08">
        <w:rPr>
          <w:sz w:val="22"/>
          <w:szCs w:val="22"/>
        </w:rPr>
        <w:t xml:space="preserve"> Day 08 (09:00) </w:t>
      </w:r>
      <w:r w:rsidRPr="00403B08">
        <w:rPr>
          <w:b/>
          <w:bCs/>
          <w:sz w:val="22"/>
          <w:szCs w:val="22"/>
        </w:rPr>
        <w:t>Estimated Completion Time:</w:t>
      </w:r>
      <w:r w:rsidRPr="00403B08">
        <w:rPr>
          <w:sz w:val="22"/>
          <w:szCs w:val="22"/>
        </w:rPr>
        <w:t xml:space="preserve"> 120 minutes</w:t>
      </w:r>
    </w:p>
    <w:p w14:paraId="7E41BF20" w14:textId="77777777" w:rsidR="00403B08" w:rsidRPr="00403B08" w:rsidRDefault="00403B08" w:rsidP="00403B08">
      <w:pPr>
        <w:rPr>
          <w:sz w:val="22"/>
          <w:szCs w:val="22"/>
        </w:rPr>
      </w:pPr>
      <w:r w:rsidRPr="00403B08">
        <w:rPr>
          <w:b/>
          <w:bCs/>
          <w:sz w:val="22"/>
          <w:szCs w:val="22"/>
        </w:rPr>
        <w:t>Instructions:</w:t>
      </w:r>
      <w:r w:rsidRPr="00403B08">
        <w:rPr>
          <w:sz w:val="22"/>
          <w:szCs w:val="22"/>
        </w:rPr>
        <w:t xml:space="preserve"> Please provide concise, rigorous academic responses to the following prompts. Ensure your terminology aligns with the Meridian Progress Index (MPI) Technical Handbook.</w:t>
      </w:r>
    </w:p>
    <w:p w14:paraId="3B4E33B3" w14:textId="77777777" w:rsidR="00403B08" w:rsidRPr="00403B08" w:rsidRDefault="00403B08" w:rsidP="00403B08">
      <w:pPr>
        <w:numPr>
          <w:ilvl w:val="0"/>
          <w:numId w:val="7"/>
        </w:numPr>
        <w:rPr>
          <w:sz w:val="22"/>
          <w:szCs w:val="22"/>
        </w:rPr>
      </w:pPr>
      <w:r w:rsidRPr="00403B08">
        <w:rPr>
          <w:b/>
          <w:bCs/>
          <w:sz w:val="22"/>
          <w:szCs w:val="22"/>
        </w:rPr>
        <w:t>Define the distinction between formative and summative assessment in your own words.</w:t>
      </w:r>
      <w:r w:rsidRPr="00403B08">
        <w:rPr>
          <w:sz w:val="22"/>
          <w:szCs w:val="22"/>
        </w:rPr>
        <w:t xml:space="preserve"> [ ]</w:t>
      </w:r>
    </w:p>
    <w:p w14:paraId="42222448" w14:textId="77777777" w:rsidR="00403B08" w:rsidRPr="00403B08" w:rsidRDefault="00403B08" w:rsidP="00403B08">
      <w:pPr>
        <w:numPr>
          <w:ilvl w:val="0"/>
          <w:numId w:val="7"/>
        </w:numPr>
        <w:rPr>
          <w:sz w:val="22"/>
          <w:szCs w:val="22"/>
        </w:rPr>
      </w:pPr>
      <w:r w:rsidRPr="00403B08">
        <w:rPr>
          <w:b/>
          <w:bCs/>
          <w:sz w:val="22"/>
          <w:szCs w:val="22"/>
        </w:rPr>
        <w:t>What is an effect size, and why is 0.4 significant in the context of educational research?</w:t>
      </w:r>
      <w:r w:rsidRPr="00403B08">
        <w:rPr>
          <w:sz w:val="22"/>
          <w:szCs w:val="22"/>
        </w:rPr>
        <w:t xml:space="preserve"> [ ]</w:t>
      </w:r>
    </w:p>
    <w:p w14:paraId="32D6B839" w14:textId="77777777" w:rsidR="00403B08" w:rsidRPr="00403B08" w:rsidRDefault="00403B08" w:rsidP="00403B08">
      <w:pPr>
        <w:numPr>
          <w:ilvl w:val="0"/>
          <w:numId w:val="7"/>
        </w:numPr>
        <w:rPr>
          <w:sz w:val="22"/>
          <w:szCs w:val="22"/>
        </w:rPr>
      </w:pPr>
      <w:r w:rsidRPr="00403B08">
        <w:rPr>
          <w:b/>
          <w:bCs/>
          <w:sz w:val="22"/>
          <w:szCs w:val="22"/>
        </w:rPr>
        <w:t>Describe Vygotsky's zone of proximal development and its relevance to structured curriculum design.</w:t>
      </w:r>
      <w:r w:rsidRPr="00403B08">
        <w:rPr>
          <w:sz w:val="22"/>
          <w:szCs w:val="22"/>
        </w:rPr>
        <w:t xml:space="preserve"> [ ]</w:t>
      </w:r>
    </w:p>
    <w:p w14:paraId="726622EB" w14:textId="77777777" w:rsidR="00403B08" w:rsidRPr="00403B08" w:rsidRDefault="00403B08" w:rsidP="00403B08">
      <w:pPr>
        <w:numPr>
          <w:ilvl w:val="0"/>
          <w:numId w:val="7"/>
        </w:numPr>
        <w:rPr>
          <w:sz w:val="22"/>
          <w:szCs w:val="22"/>
        </w:rPr>
      </w:pPr>
      <w:r w:rsidRPr="00403B08">
        <w:rPr>
          <w:b/>
          <w:bCs/>
          <w:sz w:val="22"/>
          <w:szCs w:val="22"/>
        </w:rPr>
        <w:t>What does "progress" mean in an educational measurement context, and how does it differ from "attainment"?</w:t>
      </w:r>
      <w:r w:rsidRPr="00403B08">
        <w:rPr>
          <w:sz w:val="22"/>
          <w:szCs w:val="22"/>
        </w:rPr>
        <w:t xml:space="preserve"> [ ]</w:t>
      </w:r>
    </w:p>
    <w:p w14:paraId="535684C3" w14:textId="77777777" w:rsidR="00403B08" w:rsidRPr="00403B08" w:rsidRDefault="00403B08" w:rsidP="00403B08">
      <w:pPr>
        <w:numPr>
          <w:ilvl w:val="0"/>
          <w:numId w:val="7"/>
        </w:numPr>
        <w:rPr>
          <w:sz w:val="22"/>
          <w:szCs w:val="22"/>
        </w:rPr>
      </w:pPr>
      <w:r w:rsidRPr="00403B08">
        <w:rPr>
          <w:b/>
          <w:bCs/>
          <w:sz w:val="22"/>
          <w:szCs w:val="22"/>
        </w:rPr>
        <w:t>What are the three strands of the MPI framework, and how do they interact?</w:t>
      </w:r>
      <w:r w:rsidRPr="00403B08">
        <w:rPr>
          <w:sz w:val="22"/>
          <w:szCs w:val="22"/>
        </w:rPr>
        <w:t xml:space="preserve"> [ ]</w:t>
      </w:r>
    </w:p>
    <w:p w14:paraId="392FFC31" w14:textId="77777777" w:rsidR="00403B08" w:rsidRPr="00403B08" w:rsidRDefault="00403B08" w:rsidP="00403B08">
      <w:pPr>
        <w:numPr>
          <w:ilvl w:val="0"/>
          <w:numId w:val="7"/>
        </w:numPr>
        <w:rPr>
          <w:sz w:val="22"/>
          <w:szCs w:val="22"/>
        </w:rPr>
      </w:pPr>
      <w:r w:rsidRPr="00403B08">
        <w:rPr>
          <w:b/>
          <w:bCs/>
          <w:sz w:val="22"/>
          <w:szCs w:val="22"/>
        </w:rPr>
        <w:t>Why is cohort calibration necessary in longitudinal educational impact analysis?</w:t>
      </w:r>
      <w:r w:rsidRPr="00403B08">
        <w:rPr>
          <w:sz w:val="22"/>
          <w:szCs w:val="22"/>
        </w:rPr>
        <w:t xml:space="preserve"> [ ]</w:t>
      </w:r>
    </w:p>
    <w:p w14:paraId="00EAA4FE" w14:textId="77777777" w:rsidR="00403B08" w:rsidRPr="00403B08" w:rsidRDefault="00403B08" w:rsidP="00403B08">
      <w:pPr>
        <w:numPr>
          <w:ilvl w:val="0"/>
          <w:numId w:val="7"/>
        </w:numPr>
        <w:rPr>
          <w:sz w:val="22"/>
          <w:szCs w:val="22"/>
        </w:rPr>
      </w:pPr>
      <w:r w:rsidRPr="00403B08">
        <w:rPr>
          <w:b/>
          <w:bCs/>
          <w:sz w:val="22"/>
          <w:szCs w:val="22"/>
        </w:rPr>
        <w:t>Reflect on a time when your professional practice aligned with Bloom's higher-order thinking domains. What did you do, what was the outcome, and what would you do differently?</w:t>
      </w:r>
      <w:r w:rsidRPr="00403B08">
        <w:rPr>
          <w:sz w:val="22"/>
          <w:szCs w:val="22"/>
        </w:rPr>
        <w:t xml:space="preserve"> [ ]</w:t>
      </w:r>
    </w:p>
    <w:p w14:paraId="44C858CC" w14:textId="77777777" w:rsidR="00403B08" w:rsidRPr="00403B08" w:rsidRDefault="00403B08" w:rsidP="00403B08">
      <w:pPr>
        <w:numPr>
          <w:ilvl w:val="0"/>
          <w:numId w:val="7"/>
        </w:numPr>
        <w:rPr>
          <w:sz w:val="22"/>
          <w:szCs w:val="22"/>
        </w:rPr>
      </w:pPr>
      <w:r w:rsidRPr="00403B08">
        <w:rPr>
          <w:b/>
          <w:bCs/>
          <w:sz w:val="22"/>
          <w:szCs w:val="22"/>
        </w:rPr>
        <w:t>What is a progress fidelity score, and what factors contribute to it?</w:t>
      </w:r>
      <w:r w:rsidRPr="00403B08">
        <w:rPr>
          <w:sz w:val="22"/>
          <w:szCs w:val="22"/>
        </w:rPr>
        <w:t xml:space="preserve"> [ ]</w:t>
      </w:r>
    </w:p>
    <w:p w14:paraId="5503709D" w14:textId="77777777" w:rsidR="00403B08" w:rsidRPr="00403B08" w:rsidRDefault="00403B08" w:rsidP="00403B08">
      <w:pPr>
        <w:numPr>
          <w:ilvl w:val="0"/>
          <w:numId w:val="7"/>
        </w:numPr>
        <w:rPr>
          <w:sz w:val="22"/>
          <w:szCs w:val="22"/>
        </w:rPr>
      </w:pPr>
      <w:r w:rsidRPr="00403B08">
        <w:rPr>
          <w:b/>
          <w:bCs/>
          <w:sz w:val="22"/>
          <w:szCs w:val="22"/>
        </w:rPr>
        <w:t>Why might a school with strong absolute GCSE results still show negative progress in an MPI context?</w:t>
      </w:r>
      <w:r w:rsidRPr="00403B08">
        <w:rPr>
          <w:sz w:val="22"/>
          <w:szCs w:val="22"/>
        </w:rPr>
        <w:t xml:space="preserve"> [ ]</w:t>
      </w:r>
    </w:p>
    <w:p w14:paraId="00040890" w14:textId="77777777" w:rsidR="00403B08" w:rsidRPr="00403B08" w:rsidRDefault="00403B08" w:rsidP="00403B08">
      <w:pPr>
        <w:numPr>
          <w:ilvl w:val="0"/>
          <w:numId w:val="7"/>
        </w:numPr>
        <w:rPr>
          <w:sz w:val="22"/>
          <w:szCs w:val="22"/>
        </w:rPr>
      </w:pPr>
      <w:r w:rsidRPr="00403B08">
        <w:rPr>
          <w:b/>
          <w:bCs/>
          <w:sz w:val="22"/>
          <w:szCs w:val="22"/>
        </w:rPr>
        <w:t>What is the significance of the Black and Wiliam (1998) meta-analysis for formative assessment practice?</w:t>
      </w:r>
      <w:r w:rsidRPr="00403B08">
        <w:rPr>
          <w:sz w:val="22"/>
          <w:szCs w:val="22"/>
        </w:rPr>
        <w:t xml:space="preserve"> [ ]</w:t>
      </w:r>
    </w:p>
    <w:p w14:paraId="35C92167" w14:textId="77777777" w:rsidR="00403B08" w:rsidRPr="00403B08" w:rsidRDefault="00403B08" w:rsidP="00403B08">
      <w:pPr>
        <w:numPr>
          <w:ilvl w:val="0"/>
          <w:numId w:val="7"/>
        </w:numPr>
        <w:rPr>
          <w:sz w:val="22"/>
          <w:szCs w:val="22"/>
        </w:rPr>
      </w:pPr>
      <w:r w:rsidRPr="00403B08">
        <w:rPr>
          <w:b/>
          <w:bCs/>
          <w:sz w:val="22"/>
          <w:szCs w:val="22"/>
        </w:rPr>
        <w:t>Describe one limitation of aggregate data in educational programme evaluation.</w:t>
      </w:r>
      <w:r w:rsidRPr="00403B08">
        <w:rPr>
          <w:sz w:val="22"/>
          <w:szCs w:val="22"/>
        </w:rPr>
        <w:t xml:space="preserve"> [ ]</w:t>
      </w:r>
    </w:p>
    <w:p w14:paraId="001342E4" w14:textId="77777777" w:rsidR="00403B08" w:rsidRPr="00403B08" w:rsidRDefault="00403B08" w:rsidP="00403B08">
      <w:pPr>
        <w:numPr>
          <w:ilvl w:val="0"/>
          <w:numId w:val="7"/>
        </w:numPr>
        <w:rPr>
          <w:sz w:val="22"/>
          <w:szCs w:val="22"/>
        </w:rPr>
      </w:pPr>
      <w:r w:rsidRPr="00403B08">
        <w:rPr>
          <w:b/>
          <w:bCs/>
          <w:sz w:val="22"/>
          <w:szCs w:val="22"/>
        </w:rPr>
        <w:t>What steps would you take if you noticed an inconsistency between a programme's published outcome data and its underlying dataset?</w:t>
      </w:r>
      <w:r w:rsidRPr="00403B08">
        <w:rPr>
          <w:sz w:val="22"/>
          <w:szCs w:val="22"/>
        </w:rPr>
        <w:t xml:space="preserve"> [ ]</w:t>
      </w:r>
    </w:p>
    <w:p w14:paraId="7DF9D754" w14:textId="77777777" w:rsidR="00403B08" w:rsidRPr="00403B08" w:rsidRDefault="00403B08" w:rsidP="00403B08">
      <w:pPr>
        <w:rPr>
          <w:sz w:val="22"/>
          <w:szCs w:val="22"/>
        </w:rPr>
      </w:pPr>
      <w:r w:rsidRPr="00403B08">
        <w:rPr>
          <w:b/>
          <w:bCs/>
          <w:sz w:val="22"/>
          <w:szCs w:val="22"/>
        </w:rPr>
        <w:t>Submission Note:</w:t>
      </w:r>
      <w:r w:rsidRPr="00403B08">
        <w:rPr>
          <w:sz w:val="22"/>
          <w:szCs w:val="22"/>
        </w:rPr>
        <w:t xml:space="preserve"> Hand-signed copies should be scanned and uploaded to the /Personnel/Journals/ subfolder. Incomplete or "superficial" reflections will be returned for revision.</w:t>
      </w:r>
    </w:p>
    <w:p w14:paraId="0CFE61E2" w14:textId="2FF1E374" w:rsidR="00403B08" w:rsidRDefault="00403B08">
      <w:pPr>
        <w:spacing w:after="160" w:line="278" w:lineRule="auto"/>
        <w:rPr>
          <w:sz w:val="22"/>
          <w:szCs w:val="22"/>
        </w:rPr>
      </w:pPr>
      <w:r>
        <w:rPr>
          <w:sz w:val="22"/>
          <w:szCs w:val="22"/>
        </w:rPr>
        <w:br w:type="page"/>
      </w:r>
    </w:p>
    <w:p w14:paraId="56ACE0C5" w14:textId="77777777" w:rsidR="00CF0650" w:rsidRPr="00CF0650" w:rsidRDefault="00CF0650" w:rsidP="00CF0650">
      <w:pPr>
        <w:rPr>
          <w:b/>
          <w:bCs/>
          <w:sz w:val="22"/>
          <w:szCs w:val="22"/>
        </w:rPr>
      </w:pPr>
      <w:r w:rsidRPr="00CF0650">
        <w:rPr>
          <w:b/>
          <w:bCs/>
          <w:sz w:val="22"/>
          <w:szCs w:val="22"/>
        </w:rPr>
        <w:lastRenderedPageBreak/>
        <w:t>Paul's Files / Data / Q3 / Drafts / Final_v1 / ATT_DATA_EXPORT_DO_NOT_EDIT_FINAL.xlsx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100"/>
        <w:gridCol w:w="1087"/>
        <w:gridCol w:w="1099"/>
        <w:gridCol w:w="1198"/>
        <w:gridCol w:w="2093"/>
      </w:tblGrid>
      <w:tr w:rsidR="00CF0650" w:rsidRPr="00CF0650" w14:paraId="055A1EB4" w14:textId="77777777">
        <w:trPr>
          <w:tblCellSpacing w:w="15" w:type="dxa"/>
        </w:trPr>
        <w:tc>
          <w:tcPr>
            <w:tcW w:w="0" w:type="auto"/>
            <w:vAlign w:val="center"/>
            <w:hideMark/>
          </w:tcPr>
          <w:p w14:paraId="4137D177" w14:textId="77777777" w:rsidR="00CF0650" w:rsidRPr="00CF0650" w:rsidRDefault="00CF0650" w:rsidP="00CF0650">
            <w:pPr>
              <w:rPr>
                <w:b/>
                <w:bCs/>
                <w:sz w:val="22"/>
                <w:szCs w:val="22"/>
              </w:rPr>
            </w:pPr>
            <w:proofErr w:type="spellStart"/>
            <w:r w:rsidRPr="00CF0650">
              <w:rPr>
                <w:b/>
                <w:bCs/>
                <w:sz w:val="22"/>
                <w:szCs w:val="22"/>
              </w:rPr>
              <w:t>SchoolName</w:t>
            </w:r>
            <w:proofErr w:type="spellEnd"/>
          </w:p>
        </w:tc>
        <w:tc>
          <w:tcPr>
            <w:tcW w:w="0" w:type="auto"/>
            <w:vAlign w:val="center"/>
            <w:hideMark/>
          </w:tcPr>
          <w:p w14:paraId="156B8B4A" w14:textId="77777777" w:rsidR="00CF0650" w:rsidRPr="00CF0650" w:rsidRDefault="00CF0650" w:rsidP="00CF0650">
            <w:pPr>
              <w:rPr>
                <w:b/>
                <w:bCs/>
                <w:sz w:val="22"/>
                <w:szCs w:val="22"/>
              </w:rPr>
            </w:pPr>
            <w:r w:rsidRPr="00CF0650">
              <w:rPr>
                <w:b/>
                <w:bCs/>
                <w:sz w:val="22"/>
                <w:szCs w:val="22"/>
              </w:rPr>
              <w:t>Q3_Att_%</w:t>
            </w:r>
          </w:p>
        </w:tc>
        <w:tc>
          <w:tcPr>
            <w:tcW w:w="0" w:type="auto"/>
            <w:vAlign w:val="center"/>
            <w:hideMark/>
          </w:tcPr>
          <w:p w14:paraId="59CB4D2E" w14:textId="77777777" w:rsidR="00CF0650" w:rsidRPr="00CF0650" w:rsidRDefault="00CF0650" w:rsidP="00CF0650">
            <w:pPr>
              <w:rPr>
                <w:b/>
                <w:bCs/>
                <w:sz w:val="22"/>
                <w:szCs w:val="22"/>
              </w:rPr>
            </w:pPr>
            <w:proofErr w:type="spellStart"/>
            <w:r w:rsidRPr="00CF0650">
              <w:rPr>
                <w:b/>
                <w:bCs/>
                <w:sz w:val="22"/>
                <w:szCs w:val="22"/>
              </w:rPr>
              <w:t>SEN_Flag</w:t>
            </w:r>
            <w:proofErr w:type="spellEnd"/>
          </w:p>
        </w:tc>
        <w:tc>
          <w:tcPr>
            <w:tcW w:w="0" w:type="auto"/>
            <w:vAlign w:val="center"/>
            <w:hideMark/>
          </w:tcPr>
          <w:p w14:paraId="675CB97F" w14:textId="77777777" w:rsidR="00CF0650" w:rsidRPr="00CF0650" w:rsidRDefault="00CF0650" w:rsidP="00CF0650">
            <w:pPr>
              <w:rPr>
                <w:b/>
                <w:bCs/>
                <w:sz w:val="22"/>
                <w:szCs w:val="22"/>
              </w:rPr>
            </w:pPr>
            <w:proofErr w:type="spellStart"/>
            <w:r w:rsidRPr="00CF0650">
              <w:rPr>
                <w:b/>
                <w:bCs/>
                <w:sz w:val="22"/>
                <w:szCs w:val="22"/>
              </w:rPr>
              <w:t>FSM_Flag</w:t>
            </w:r>
            <w:proofErr w:type="spellEnd"/>
          </w:p>
        </w:tc>
        <w:tc>
          <w:tcPr>
            <w:tcW w:w="0" w:type="auto"/>
            <w:vAlign w:val="center"/>
            <w:hideMark/>
          </w:tcPr>
          <w:p w14:paraId="6B452A88" w14:textId="77777777" w:rsidR="00CF0650" w:rsidRPr="00CF0650" w:rsidRDefault="00CF0650" w:rsidP="00CF0650">
            <w:pPr>
              <w:rPr>
                <w:b/>
                <w:bCs/>
                <w:sz w:val="22"/>
                <w:szCs w:val="22"/>
              </w:rPr>
            </w:pPr>
            <w:r w:rsidRPr="00CF0650">
              <w:rPr>
                <w:b/>
                <w:bCs/>
                <w:sz w:val="22"/>
                <w:szCs w:val="22"/>
              </w:rPr>
              <w:t>Region</w:t>
            </w:r>
          </w:p>
        </w:tc>
        <w:tc>
          <w:tcPr>
            <w:tcW w:w="0" w:type="auto"/>
            <w:vAlign w:val="center"/>
            <w:hideMark/>
          </w:tcPr>
          <w:p w14:paraId="577D84BD" w14:textId="77777777" w:rsidR="00CF0650" w:rsidRPr="00CF0650" w:rsidRDefault="00CF0650" w:rsidP="00CF0650">
            <w:pPr>
              <w:rPr>
                <w:b/>
                <w:bCs/>
                <w:sz w:val="22"/>
                <w:szCs w:val="22"/>
              </w:rPr>
            </w:pPr>
            <w:r w:rsidRPr="00CF0650">
              <w:rPr>
                <w:b/>
                <w:bCs/>
                <w:sz w:val="22"/>
                <w:szCs w:val="22"/>
              </w:rPr>
              <w:t>Notes</w:t>
            </w:r>
          </w:p>
        </w:tc>
      </w:tr>
      <w:tr w:rsidR="00CF0650" w:rsidRPr="00CF0650" w14:paraId="5AD14952" w14:textId="77777777">
        <w:trPr>
          <w:tblCellSpacing w:w="15" w:type="dxa"/>
        </w:trPr>
        <w:tc>
          <w:tcPr>
            <w:tcW w:w="0" w:type="auto"/>
            <w:vAlign w:val="center"/>
            <w:hideMark/>
          </w:tcPr>
          <w:p w14:paraId="6D58A346" w14:textId="77777777" w:rsidR="00CF0650" w:rsidRPr="00CF0650" w:rsidRDefault="00CF0650" w:rsidP="00CF0650">
            <w:pPr>
              <w:rPr>
                <w:sz w:val="22"/>
                <w:szCs w:val="22"/>
              </w:rPr>
            </w:pPr>
            <w:r w:rsidRPr="00CF0650">
              <w:rPr>
                <w:sz w:val="22"/>
                <w:szCs w:val="22"/>
              </w:rPr>
              <w:t>Ashcroft Academy</w:t>
            </w:r>
          </w:p>
        </w:tc>
        <w:tc>
          <w:tcPr>
            <w:tcW w:w="0" w:type="auto"/>
            <w:vAlign w:val="center"/>
            <w:hideMark/>
          </w:tcPr>
          <w:p w14:paraId="7C7CA3FF" w14:textId="77777777" w:rsidR="00CF0650" w:rsidRPr="00CF0650" w:rsidRDefault="00CF0650" w:rsidP="00CF0650">
            <w:pPr>
              <w:rPr>
                <w:sz w:val="22"/>
                <w:szCs w:val="22"/>
              </w:rPr>
            </w:pPr>
            <w:r w:rsidRPr="00CF0650">
              <w:rPr>
                <w:sz w:val="22"/>
                <w:szCs w:val="22"/>
              </w:rPr>
              <w:t>94.2%</w:t>
            </w:r>
          </w:p>
        </w:tc>
        <w:tc>
          <w:tcPr>
            <w:tcW w:w="0" w:type="auto"/>
            <w:vAlign w:val="center"/>
            <w:hideMark/>
          </w:tcPr>
          <w:p w14:paraId="54AC594F" w14:textId="77777777" w:rsidR="00CF0650" w:rsidRPr="00CF0650" w:rsidRDefault="00CF0650" w:rsidP="00CF0650">
            <w:pPr>
              <w:rPr>
                <w:sz w:val="22"/>
                <w:szCs w:val="22"/>
              </w:rPr>
            </w:pPr>
            <w:r w:rsidRPr="00CF0650">
              <w:rPr>
                <w:sz w:val="22"/>
                <w:szCs w:val="22"/>
              </w:rPr>
              <w:t>Y</w:t>
            </w:r>
          </w:p>
        </w:tc>
        <w:tc>
          <w:tcPr>
            <w:tcW w:w="0" w:type="auto"/>
            <w:vAlign w:val="center"/>
            <w:hideMark/>
          </w:tcPr>
          <w:p w14:paraId="72EB0649" w14:textId="77777777" w:rsidR="00CF0650" w:rsidRPr="00CF0650" w:rsidRDefault="00CF0650" w:rsidP="00CF0650">
            <w:pPr>
              <w:rPr>
                <w:sz w:val="22"/>
                <w:szCs w:val="22"/>
              </w:rPr>
            </w:pPr>
            <w:r w:rsidRPr="00CF0650">
              <w:rPr>
                <w:sz w:val="22"/>
                <w:szCs w:val="22"/>
              </w:rPr>
              <w:t>N</w:t>
            </w:r>
          </w:p>
        </w:tc>
        <w:tc>
          <w:tcPr>
            <w:tcW w:w="0" w:type="auto"/>
            <w:vAlign w:val="center"/>
            <w:hideMark/>
          </w:tcPr>
          <w:p w14:paraId="3D5D0F83" w14:textId="77777777" w:rsidR="00CF0650" w:rsidRPr="00CF0650" w:rsidRDefault="00CF0650" w:rsidP="00CF0650">
            <w:pPr>
              <w:rPr>
                <w:sz w:val="22"/>
                <w:szCs w:val="22"/>
              </w:rPr>
            </w:pPr>
            <w:proofErr w:type="gramStart"/>
            <w:r w:rsidRPr="00CF0650">
              <w:rPr>
                <w:sz w:val="22"/>
                <w:szCs w:val="22"/>
              </w:rPr>
              <w:t>South West</w:t>
            </w:r>
            <w:proofErr w:type="gramEnd"/>
          </w:p>
        </w:tc>
        <w:tc>
          <w:tcPr>
            <w:tcW w:w="0" w:type="auto"/>
            <w:vAlign w:val="center"/>
            <w:hideMark/>
          </w:tcPr>
          <w:p w14:paraId="3628EB22" w14:textId="77777777" w:rsidR="00CF0650" w:rsidRPr="00CF0650" w:rsidRDefault="00CF0650" w:rsidP="00CF0650">
            <w:pPr>
              <w:rPr>
                <w:sz w:val="22"/>
                <w:szCs w:val="22"/>
              </w:rPr>
            </w:pPr>
            <w:r w:rsidRPr="00CF0650">
              <w:rPr>
                <w:sz w:val="22"/>
                <w:szCs w:val="22"/>
              </w:rPr>
              <w:t>Above target</w:t>
            </w:r>
          </w:p>
        </w:tc>
      </w:tr>
      <w:tr w:rsidR="00CF0650" w:rsidRPr="00CF0650" w14:paraId="124194DB" w14:textId="77777777">
        <w:trPr>
          <w:tblCellSpacing w:w="15" w:type="dxa"/>
        </w:trPr>
        <w:tc>
          <w:tcPr>
            <w:tcW w:w="0" w:type="auto"/>
            <w:vAlign w:val="center"/>
            <w:hideMark/>
          </w:tcPr>
          <w:p w14:paraId="29F6C40E" w14:textId="77777777" w:rsidR="00CF0650" w:rsidRPr="00CF0650" w:rsidRDefault="00CF0650" w:rsidP="00CF0650">
            <w:pPr>
              <w:rPr>
                <w:sz w:val="22"/>
                <w:szCs w:val="22"/>
              </w:rPr>
            </w:pPr>
            <w:r w:rsidRPr="00CF0650">
              <w:rPr>
                <w:sz w:val="22"/>
                <w:szCs w:val="22"/>
              </w:rPr>
              <w:t>Bardsley High</w:t>
            </w:r>
          </w:p>
        </w:tc>
        <w:tc>
          <w:tcPr>
            <w:tcW w:w="0" w:type="auto"/>
            <w:vAlign w:val="center"/>
            <w:hideMark/>
          </w:tcPr>
          <w:p w14:paraId="7ACC0AD3" w14:textId="77777777" w:rsidR="00CF0650" w:rsidRPr="00CF0650" w:rsidRDefault="00CF0650" w:rsidP="00CF0650">
            <w:pPr>
              <w:rPr>
                <w:sz w:val="22"/>
                <w:szCs w:val="22"/>
              </w:rPr>
            </w:pPr>
            <w:r w:rsidRPr="00CF0650">
              <w:rPr>
                <w:sz w:val="22"/>
                <w:szCs w:val="22"/>
              </w:rPr>
              <w:t>89.5%</w:t>
            </w:r>
          </w:p>
        </w:tc>
        <w:tc>
          <w:tcPr>
            <w:tcW w:w="0" w:type="auto"/>
            <w:vAlign w:val="center"/>
            <w:hideMark/>
          </w:tcPr>
          <w:p w14:paraId="00C83445" w14:textId="77777777" w:rsidR="00CF0650" w:rsidRPr="00CF0650" w:rsidRDefault="00CF0650" w:rsidP="00CF0650">
            <w:pPr>
              <w:rPr>
                <w:sz w:val="22"/>
                <w:szCs w:val="22"/>
              </w:rPr>
            </w:pPr>
            <w:r w:rsidRPr="00CF0650">
              <w:rPr>
                <w:sz w:val="22"/>
                <w:szCs w:val="22"/>
              </w:rPr>
              <w:t>N</w:t>
            </w:r>
          </w:p>
        </w:tc>
        <w:tc>
          <w:tcPr>
            <w:tcW w:w="0" w:type="auto"/>
            <w:vAlign w:val="center"/>
            <w:hideMark/>
          </w:tcPr>
          <w:p w14:paraId="1B89F909" w14:textId="77777777" w:rsidR="00CF0650" w:rsidRPr="00CF0650" w:rsidRDefault="00CF0650" w:rsidP="00CF0650">
            <w:pPr>
              <w:rPr>
                <w:sz w:val="22"/>
                <w:szCs w:val="22"/>
              </w:rPr>
            </w:pPr>
            <w:r w:rsidRPr="00CF0650">
              <w:rPr>
                <w:sz w:val="22"/>
                <w:szCs w:val="22"/>
              </w:rPr>
              <w:t>Y</w:t>
            </w:r>
          </w:p>
        </w:tc>
        <w:tc>
          <w:tcPr>
            <w:tcW w:w="0" w:type="auto"/>
            <w:vAlign w:val="center"/>
            <w:hideMark/>
          </w:tcPr>
          <w:p w14:paraId="17238A11"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49746B34" w14:textId="77777777" w:rsidR="00CF0650" w:rsidRPr="00CF0650" w:rsidRDefault="00CF0650" w:rsidP="00CF0650">
            <w:pPr>
              <w:rPr>
                <w:sz w:val="22"/>
                <w:szCs w:val="22"/>
              </w:rPr>
            </w:pPr>
            <w:r w:rsidRPr="00CF0650">
              <w:rPr>
                <w:sz w:val="22"/>
                <w:szCs w:val="22"/>
              </w:rPr>
              <w:t>High absence Friday</w:t>
            </w:r>
          </w:p>
        </w:tc>
      </w:tr>
      <w:tr w:rsidR="00CF0650" w:rsidRPr="00CF0650" w14:paraId="6A0B00F7" w14:textId="77777777">
        <w:trPr>
          <w:tblCellSpacing w:w="15" w:type="dxa"/>
        </w:trPr>
        <w:tc>
          <w:tcPr>
            <w:tcW w:w="0" w:type="auto"/>
            <w:vAlign w:val="center"/>
            <w:hideMark/>
          </w:tcPr>
          <w:p w14:paraId="78F84104" w14:textId="77777777" w:rsidR="00CF0650" w:rsidRPr="00CF0650" w:rsidRDefault="00CF0650" w:rsidP="00CF0650">
            <w:pPr>
              <w:rPr>
                <w:sz w:val="22"/>
                <w:szCs w:val="22"/>
              </w:rPr>
            </w:pPr>
            <w:r w:rsidRPr="00CF0650">
              <w:rPr>
                <w:sz w:val="22"/>
                <w:szCs w:val="22"/>
              </w:rPr>
              <w:t>Carlton Manor</w:t>
            </w:r>
          </w:p>
        </w:tc>
        <w:tc>
          <w:tcPr>
            <w:tcW w:w="0" w:type="auto"/>
            <w:vAlign w:val="center"/>
            <w:hideMark/>
          </w:tcPr>
          <w:p w14:paraId="66E31DC7" w14:textId="77777777" w:rsidR="00CF0650" w:rsidRPr="00CF0650" w:rsidRDefault="00CF0650" w:rsidP="00CF0650">
            <w:pPr>
              <w:rPr>
                <w:sz w:val="22"/>
                <w:szCs w:val="22"/>
              </w:rPr>
            </w:pPr>
            <w:r w:rsidRPr="00CF0650">
              <w:rPr>
                <w:sz w:val="22"/>
                <w:szCs w:val="22"/>
              </w:rPr>
              <w:t>96.8%</w:t>
            </w:r>
          </w:p>
        </w:tc>
        <w:tc>
          <w:tcPr>
            <w:tcW w:w="0" w:type="auto"/>
            <w:vAlign w:val="center"/>
            <w:hideMark/>
          </w:tcPr>
          <w:p w14:paraId="31FA47B7" w14:textId="77777777" w:rsidR="00CF0650" w:rsidRPr="00CF0650" w:rsidRDefault="00CF0650" w:rsidP="00CF0650">
            <w:pPr>
              <w:rPr>
                <w:sz w:val="22"/>
                <w:szCs w:val="22"/>
              </w:rPr>
            </w:pPr>
            <w:r w:rsidRPr="00CF0650">
              <w:rPr>
                <w:sz w:val="22"/>
                <w:szCs w:val="22"/>
              </w:rPr>
              <w:t>N</w:t>
            </w:r>
          </w:p>
        </w:tc>
        <w:tc>
          <w:tcPr>
            <w:tcW w:w="0" w:type="auto"/>
            <w:vAlign w:val="center"/>
            <w:hideMark/>
          </w:tcPr>
          <w:p w14:paraId="699E0AF3" w14:textId="77777777" w:rsidR="00CF0650" w:rsidRPr="00CF0650" w:rsidRDefault="00CF0650" w:rsidP="00CF0650">
            <w:pPr>
              <w:rPr>
                <w:sz w:val="22"/>
                <w:szCs w:val="22"/>
              </w:rPr>
            </w:pPr>
            <w:r w:rsidRPr="00CF0650">
              <w:rPr>
                <w:sz w:val="22"/>
                <w:szCs w:val="22"/>
              </w:rPr>
              <w:t>N</w:t>
            </w:r>
          </w:p>
        </w:tc>
        <w:tc>
          <w:tcPr>
            <w:tcW w:w="0" w:type="auto"/>
            <w:vAlign w:val="center"/>
            <w:hideMark/>
          </w:tcPr>
          <w:p w14:paraId="6F16F373" w14:textId="77777777" w:rsidR="00CF0650" w:rsidRPr="00CF0650" w:rsidRDefault="00CF0650" w:rsidP="00CF0650">
            <w:pPr>
              <w:rPr>
                <w:sz w:val="22"/>
                <w:szCs w:val="22"/>
              </w:rPr>
            </w:pPr>
            <w:proofErr w:type="gramStart"/>
            <w:r w:rsidRPr="00CF0650">
              <w:rPr>
                <w:sz w:val="22"/>
                <w:szCs w:val="22"/>
              </w:rPr>
              <w:t>South East</w:t>
            </w:r>
            <w:proofErr w:type="gramEnd"/>
          </w:p>
        </w:tc>
        <w:tc>
          <w:tcPr>
            <w:tcW w:w="0" w:type="auto"/>
            <w:vAlign w:val="center"/>
            <w:hideMark/>
          </w:tcPr>
          <w:p w14:paraId="5E86878C" w14:textId="77777777" w:rsidR="00CF0650" w:rsidRPr="00CF0650" w:rsidRDefault="00CF0650" w:rsidP="00CF0650">
            <w:pPr>
              <w:rPr>
                <w:sz w:val="22"/>
                <w:szCs w:val="22"/>
              </w:rPr>
            </w:pPr>
            <w:r w:rsidRPr="00CF0650">
              <w:rPr>
                <w:sz w:val="22"/>
                <w:szCs w:val="22"/>
              </w:rPr>
              <w:t>Outstanding</w:t>
            </w:r>
          </w:p>
        </w:tc>
      </w:tr>
      <w:tr w:rsidR="00CF0650" w:rsidRPr="00CF0650" w14:paraId="1B8CADF3" w14:textId="77777777">
        <w:trPr>
          <w:tblCellSpacing w:w="15" w:type="dxa"/>
        </w:trPr>
        <w:tc>
          <w:tcPr>
            <w:tcW w:w="0" w:type="auto"/>
            <w:vAlign w:val="center"/>
            <w:hideMark/>
          </w:tcPr>
          <w:p w14:paraId="4330EE47" w14:textId="77777777" w:rsidR="00CF0650" w:rsidRPr="00CF0650" w:rsidRDefault="00CF0650" w:rsidP="00CF0650">
            <w:pPr>
              <w:rPr>
                <w:sz w:val="22"/>
                <w:szCs w:val="22"/>
              </w:rPr>
            </w:pPr>
            <w:r w:rsidRPr="00CF0650">
              <w:rPr>
                <w:sz w:val="22"/>
                <w:szCs w:val="22"/>
              </w:rPr>
              <w:t>Dene Valley</w:t>
            </w:r>
          </w:p>
        </w:tc>
        <w:tc>
          <w:tcPr>
            <w:tcW w:w="0" w:type="auto"/>
            <w:vAlign w:val="center"/>
            <w:hideMark/>
          </w:tcPr>
          <w:p w14:paraId="4731FEDF" w14:textId="77777777" w:rsidR="00CF0650" w:rsidRPr="00CF0650" w:rsidRDefault="00CF0650" w:rsidP="00CF0650">
            <w:pPr>
              <w:rPr>
                <w:sz w:val="22"/>
                <w:szCs w:val="22"/>
              </w:rPr>
            </w:pPr>
            <w:r w:rsidRPr="00CF0650">
              <w:rPr>
                <w:sz w:val="22"/>
                <w:szCs w:val="22"/>
              </w:rPr>
              <w:t>91.2%</w:t>
            </w:r>
          </w:p>
        </w:tc>
        <w:tc>
          <w:tcPr>
            <w:tcW w:w="0" w:type="auto"/>
            <w:vAlign w:val="center"/>
            <w:hideMark/>
          </w:tcPr>
          <w:p w14:paraId="640B8C1F" w14:textId="77777777" w:rsidR="00CF0650" w:rsidRPr="00CF0650" w:rsidRDefault="00CF0650" w:rsidP="00CF0650">
            <w:pPr>
              <w:rPr>
                <w:sz w:val="22"/>
                <w:szCs w:val="22"/>
              </w:rPr>
            </w:pPr>
            <w:r w:rsidRPr="00CF0650">
              <w:rPr>
                <w:sz w:val="22"/>
                <w:szCs w:val="22"/>
              </w:rPr>
              <w:t>Y</w:t>
            </w:r>
          </w:p>
        </w:tc>
        <w:tc>
          <w:tcPr>
            <w:tcW w:w="0" w:type="auto"/>
            <w:vAlign w:val="center"/>
            <w:hideMark/>
          </w:tcPr>
          <w:p w14:paraId="2A0B7CAC" w14:textId="77777777" w:rsidR="00CF0650" w:rsidRPr="00CF0650" w:rsidRDefault="00CF0650" w:rsidP="00CF0650">
            <w:pPr>
              <w:rPr>
                <w:sz w:val="22"/>
                <w:szCs w:val="22"/>
              </w:rPr>
            </w:pPr>
            <w:r w:rsidRPr="00CF0650">
              <w:rPr>
                <w:sz w:val="22"/>
                <w:szCs w:val="22"/>
              </w:rPr>
              <w:t>Y</w:t>
            </w:r>
          </w:p>
        </w:tc>
        <w:tc>
          <w:tcPr>
            <w:tcW w:w="0" w:type="auto"/>
            <w:vAlign w:val="center"/>
            <w:hideMark/>
          </w:tcPr>
          <w:p w14:paraId="15BA8C2F" w14:textId="77777777" w:rsidR="00CF0650" w:rsidRPr="00CF0650" w:rsidRDefault="00CF0650" w:rsidP="00CF0650">
            <w:pPr>
              <w:rPr>
                <w:sz w:val="22"/>
                <w:szCs w:val="22"/>
              </w:rPr>
            </w:pPr>
            <w:proofErr w:type="gramStart"/>
            <w:r w:rsidRPr="00CF0650">
              <w:rPr>
                <w:sz w:val="22"/>
                <w:szCs w:val="22"/>
              </w:rPr>
              <w:t>North East</w:t>
            </w:r>
            <w:proofErr w:type="gramEnd"/>
          </w:p>
        </w:tc>
        <w:tc>
          <w:tcPr>
            <w:tcW w:w="0" w:type="auto"/>
            <w:vAlign w:val="center"/>
            <w:hideMark/>
          </w:tcPr>
          <w:p w14:paraId="30A0954E" w14:textId="77777777" w:rsidR="00CF0650" w:rsidRPr="00CF0650" w:rsidRDefault="00CF0650" w:rsidP="00CF0650">
            <w:pPr>
              <w:rPr>
                <w:sz w:val="22"/>
                <w:szCs w:val="22"/>
              </w:rPr>
            </w:pPr>
            <w:r w:rsidRPr="00CF0650">
              <w:rPr>
                <w:sz w:val="22"/>
                <w:szCs w:val="22"/>
              </w:rPr>
              <w:t xml:space="preserve">Intervention </w:t>
            </w:r>
            <w:proofErr w:type="spellStart"/>
            <w:r w:rsidRPr="00CF0650">
              <w:rPr>
                <w:sz w:val="22"/>
                <w:szCs w:val="22"/>
              </w:rPr>
              <w:t>req</w:t>
            </w:r>
            <w:proofErr w:type="spellEnd"/>
          </w:p>
        </w:tc>
      </w:tr>
      <w:tr w:rsidR="00CF0650" w:rsidRPr="00CF0650" w14:paraId="13DF9BC6" w14:textId="77777777">
        <w:trPr>
          <w:tblCellSpacing w:w="15" w:type="dxa"/>
        </w:trPr>
        <w:tc>
          <w:tcPr>
            <w:tcW w:w="0" w:type="auto"/>
            <w:vAlign w:val="center"/>
            <w:hideMark/>
          </w:tcPr>
          <w:p w14:paraId="7EFA0A3B" w14:textId="77777777" w:rsidR="00CF0650" w:rsidRPr="00CF0650" w:rsidRDefault="00CF0650" w:rsidP="00CF0650">
            <w:pPr>
              <w:rPr>
                <w:sz w:val="22"/>
                <w:szCs w:val="22"/>
              </w:rPr>
            </w:pPr>
            <w:r w:rsidRPr="00CF0650">
              <w:rPr>
                <w:sz w:val="22"/>
                <w:szCs w:val="22"/>
              </w:rPr>
              <w:t>Elmwood School</w:t>
            </w:r>
          </w:p>
        </w:tc>
        <w:tc>
          <w:tcPr>
            <w:tcW w:w="0" w:type="auto"/>
            <w:vAlign w:val="center"/>
            <w:hideMark/>
          </w:tcPr>
          <w:p w14:paraId="59677A29" w14:textId="77777777" w:rsidR="00CF0650" w:rsidRPr="00CF0650" w:rsidRDefault="00CF0650" w:rsidP="00CF0650">
            <w:pPr>
              <w:rPr>
                <w:sz w:val="22"/>
                <w:szCs w:val="22"/>
              </w:rPr>
            </w:pPr>
            <w:r w:rsidRPr="00CF0650">
              <w:rPr>
                <w:sz w:val="22"/>
                <w:szCs w:val="22"/>
              </w:rPr>
              <w:t>93.4%</w:t>
            </w:r>
          </w:p>
        </w:tc>
        <w:tc>
          <w:tcPr>
            <w:tcW w:w="0" w:type="auto"/>
            <w:vAlign w:val="center"/>
            <w:hideMark/>
          </w:tcPr>
          <w:p w14:paraId="71C65321" w14:textId="77777777" w:rsidR="00CF0650" w:rsidRPr="00CF0650" w:rsidRDefault="00CF0650" w:rsidP="00CF0650">
            <w:pPr>
              <w:rPr>
                <w:sz w:val="22"/>
                <w:szCs w:val="22"/>
              </w:rPr>
            </w:pPr>
            <w:r w:rsidRPr="00CF0650">
              <w:rPr>
                <w:sz w:val="22"/>
                <w:szCs w:val="22"/>
              </w:rPr>
              <w:t>N</w:t>
            </w:r>
          </w:p>
        </w:tc>
        <w:tc>
          <w:tcPr>
            <w:tcW w:w="0" w:type="auto"/>
            <w:vAlign w:val="center"/>
            <w:hideMark/>
          </w:tcPr>
          <w:p w14:paraId="607009D4" w14:textId="77777777" w:rsidR="00CF0650" w:rsidRPr="00CF0650" w:rsidRDefault="00CF0650" w:rsidP="00CF0650">
            <w:pPr>
              <w:rPr>
                <w:sz w:val="22"/>
                <w:szCs w:val="22"/>
              </w:rPr>
            </w:pPr>
            <w:r w:rsidRPr="00CF0650">
              <w:rPr>
                <w:sz w:val="22"/>
                <w:szCs w:val="22"/>
              </w:rPr>
              <w:t>N</w:t>
            </w:r>
          </w:p>
        </w:tc>
        <w:tc>
          <w:tcPr>
            <w:tcW w:w="0" w:type="auto"/>
            <w:vAlign w:val="center"/>
            <w:hideMark/>
          </w:tcPr>
          <w:p w14:paraId="4535F922" w14:textId="77777777" w:rsidR="00CF0650" w:rsidRPr="00CF0650" w:rsidRDefault="00CF0650" w:rsidP="00CF0650">
            <w:pPr>
              <w:rPr>
                <w:sz w:val="22"/>
                <w:szCs w:val="22"/>
              </w:rPr>
            </w:pPr>
            <w:r w:rsidRPr="00CF0650">
              <w:rPr>
                <w:sz w:val="22"/>
                <w:szCs w:val="22"/>
              </w:rPr>
              <w:t>Midlands</w:t>
            </w:r>
          </w:p>
        </w:tc>
        <w:tc>
          <w:tcPr>
            <w:tcW w:w="0" w:type="auto"/>
            <w:vAlign w:val="center"/>
            <w:hideMark/>
          </w:tcPr>
          <w:p w14:paraId="42A37581" w14:textId="77777777" w:rsidR="00CF0650" w:rsidRPr="00CF0650" w:rsidRDefault="00CF0650" w:rsidP="00CF0650">
            <w:pPr>
              <w:rPr>
                <w:sz w:val="22"/>
                <w:szCs w:val="22"/>
              </w:rPr>
            </w:pPr>
            <w:r w:rsidRPr="00CF0650">
              <w:rPr>
                <w:sz w:val="22"/>
                <w:szCs w:val="22"/>
              </w:rPr>
              <w:t>Steady</w:t>
            </w:r>
          </w:p>
        </w:tc>
      </w:tr>
      <w:tr w:rsidR="00CF0650" w:rsidRPr="00CF0650" w14:paraId="323875B4" w14:textId="77777777">
        <w:trPr>
          <w:tblCellSpacing w:w="15" w:type="dxa"/>
        </w:trPr>
        <w:tc>
          <w:tcPr>
            <w:tcW w:w="0" w:type="auto"/>
            <w:vAlign w:val="center"/>
            <w:hideMark/>
          </w:tcPr>
          <w:p w14:paraId="0467C078" w14:textId="77777777" w:rsidR="00CF0650" w:rsidRPr="00CF0650" w:rsidRDefault="00CF0650" w:rsidP="00CF0650">
            <w:pPr>
              <w:rPr>
                <w:sz w:val="22"/>
                <w:szCs w:val="22"/>
              </w:rPr>
            </w:pPr>
            <w:r w:rsidRPr="00CF0650">
              <w:rPr>
                <w:sz w:val="22"/>
                <w:szCs w:val="22"/>
              </w:rPr>
              <w:t>Fairway Secondary</w:t>
            </w:r>
          </w:p>
        </w:tc>
        <w:tc>
          <w:tcPr>
            <w:tcW w:w="0" w:type="auto"/>
            <w:vAlign w:val="center"/>
            <w:hideMark/>
          </w:tcPr>
          <w:p w14:paraId="1B4F5E4A" w14:textId="77777777" w:rsidR="00CF0650" w:rsidRPr="00CF0650" w:rsidRDefault="00CF0650" w:rsidP="00CF0650">
            <w:pPr>
              <w:rPr>
                <w:sz w:val="22"/>
                <w:szCs w:val="22"/>
              </w:rPr>
            </w:pPr>
            <w:r w:rsidRPr="00CF0650">
              <w:rPr>
                <w:sz w:val="22"/>
                <w:szCs w:val="22"/>
              </w:rPr>
              <w:t>88.9%</w:t>
            </w:r>
          </w:p>
        </w:tc>
        <w:tc>
          <w:tcPr>
            <w:tcW w:w="0" w:type="auto"/>
            <w:vAlign w:val="center"/>
            <w:hideMark/>
          </w:tcPr>
          <w:p w14:paraId="4EE0F42E" w14:textId="77777777" w:rsidR="00CF0650" w:rsidRPr="00CF0650" w:rsidRDefault="00CF0650" w:rsidP="00CF0650">
            <w:pPr>
              <w:rPr>
                <w:sz w:val="22"/>
                <w:szCs w:val="22"/>
              </w:rPr>
            </w:pPr>
            <w:r w:rsidRPr="00CF0650">
              <w:rPr>
                <w:sz w:val="22"/>
                <w:szCs w:val="22"/>
              </w:rPr>
              <w:t>Y</w:t>
            </w:r>
          </w:p>
        </w:tc>
        <w:tc>
          <w:tcPr>
            <w:tcW w:w="0" w:type="auto"/>
            <w:vAlign w:val="center"/>
            <w:hideMark/>
          </w:tcPr>
          <w:p w14:paraId="27046480" w14:textId="77777777" w:rsidR="00CF0650" w:rsidRPr="00CF0650" w:rsidRDefault="00CF0650" w:rsidP="00CF0650">
            <w:pPr>
              <w:rPr>
                <w:sz w:val="22"/>
                <w:szCs w:val="22"/>
              </w:rPr>
            </w:pPr>
            <w:r w:rsidRPr="00CF0650">
              <w:rPr>
                <w:sz w:val="22"/>
                <w:szCs w:val="22"/>
              </w:rPr>
              <w:t>N</w:t>
            </w:r>
          </w:p>
        </w:tc>
        <w:tc>
          <w:tcPr>
            <w:tcW w:w="0" w:type="auto"/>
            <w:vAlign w:val="center"/>
            <w:hideMark/>
          </w:tcPr>
          <w:p w14:paraId="6E904988" w14:textId="77777777" w:rsidR="00CF0650" w:rsidRPr="00CF0650" w:rsidRDefault="00CF0650" w:rsidP="00CF0650">
            <w:pPr>
              <w:rPr>
                <w:sz w:val="22"/>
                <w:szCs w:val="22"/>
              </w:rPr>
            </w:pPr>
            <w:r w:rsidRPr="00CF0650">
              <w:rPr>
                <w:sz w:val="22"/>
                <w:szCs w:val="22"/>
              </w:rPr>
              <w:t>London</w:t>
            </w:r>
          </w:p>
        </w:tc>
        <w:tc>
          <w:tcPr>
            <w:tcW w:w="0" w:type="auto"/>
            <w:vAlign w:val="center"/>
            <w:hideMark/>
          </w:tcPr>
          <w:p w14:paraId="3061C7BD" w14:textId="77777777" w:rsidR="00CF0650" w:rsidRPr="00CF0650" w:rsidRDefault="00CF0650" w:rsidP="00CF0650">
            <w:pPr>
              <w:rPr>
                <w:sz w:val="22"/>
                <w:szCs w:val="22"/>
              </w:rPr>
            </w:pPr>
            <w:r w:rsidRPr="00CF0650">
              <w:rPr>
                <w:sz w:val="22"/>
                <w:szCs w:val="22"/>
              </w:rPr>
              <w:t>Transport issues</w:t>
            </w:r>
          </w:p>
        </w:tc>
      </w:tr>
      <w:tr w:rsidR="00CF0650" w:rsidRPr="00CF0650" w14:paraId="1BFA44C1" w14:textId="77777777">
        <w:trPr>
          <w:tblCellSpacing w:w="15" w:type="dxa"/>
        </w:trPr>
        <w:tc>
          <w:tcPr>
            <w:tcW w:w="0" w:type="auto"/>
            <w:vAlign w:val="center"/>
            <w:hideMark/>
          </w:tcPr>
          <w:p w14:paraId="3B083E47" w14:textId="77777777" w:rsidR="00CF0650" w:rsidRPr="00CF0650" w:rsidRDefault="00CF0650" w:rsidP="00CF0650">
            <w:pPr>
              <w:rPr>
                <w:sz w:val="22"/>
                <w:szCs w:val="22"/>
              </w:rPr>
            </w:pPr>
            <w:r w:rsidRPr="00CF0650">
              <w:rPr>
                <w:sz w:val="22"/>
                <w:szCs w:val="22"/>
              </w:rPr>
              <w:t>Grange Hill</w:t>
            </w:r>
          </w:p>
        </w:tc>
        <w:tc>
          <w:tcPr>
            <w:tcW w:w="0" w:type="auto"/>
            <w:vAlign w:val="center"/>
            <w:hideMark/>
          </w:tcPr>
          <w:p w14:paraId="4649F2FF" w14:textId="77777777" w:rsidR="00CF0650" w:rsidRPr="00CF0650" w:rsidRDefault="00CF0650" w:rsidP="00CF0650">
            <w:pPr>
              <w:rPr>
                <w:sz w:val="22"/>
                <w:szCs w:val="22"/>
              </w:rPr>
            </w:pPr>
            <w:r w:rsidRPr="00CF0650">
              <w:rPr>
                <w:sz w:val="22"/>
                <w:szCs w:val="22"/>
              </w:rPr>
              <w:t>92.1%</w:t>
            </w:r>
          </w:p>
        </w:tc>
        <w:tc>
          <w:tcPr>
            <w:tcW w:w="0" w:type="auto"/>
            <w:vAlign w:val="center"/>
            <w:hideMark/>
          </w:tcPr>
          <w:p w14:paraId="1DFC0C3C" w14:textId="77777777" w:rsidR="00CF0650" w:rsidRPr="00CF0650" w:rsidRDefault="00CF0650" w:rsidP="00CF0650">
            <w:pPr>
              <w:rPr>
                <w:sz w:val="22"/>
                <w:szCs w:val="22"/>
              </w:rPr>
            </w:pPr>
            <w:r w:rsidRPr="00CF0650">
              <w:rPr>
                <w:sz w:val="22"/>
                <w:szCs w:val="22"/>
              </w:rPr>
              <w:t>N</w:t>
            </w:r>
          </w:p>
        </w:tc>
        <w:tc>
          <w:tcPr>
            <w:tcW w:w="0" w:type="auto"/>
            <w:vAlign w:val="center"/>
            <w:hideMark/>
          </w:tcPr>
          <w:p w14:paraId="696E2D57" w14:textId="77777777" w:rsidR="00CF0650" w:rsidRPr="00CF0650" w:rsidRDefault="00CF0650" w:rsidP="00CF0650">
            <w:pPr>
              <w:rPr>
                <w:sz w:val="22"/>
                <w:szCs w:val="22"/>
              </w:rPr>
            </w:pPr>
            <w:r w:rsidRPr="00CF0650">
              <w:rPr>
                <w:sz w:val="22"/>
                <w:szCs w:val="22"/>
              </w:rPr>
              <w:t>Y</w:t>
            </w:r>
          </w:p>
        </w:tc>
        <w:tc>
          <w:tcPr>
            <w:tcW w:w="0" w:type="auto"/>
            <w:vAlign w:val="center"/>
            <w:hideMark/>
          </w:tcPr>
          <w:p w14:paraId="42CE50C0" w14:textId="77777777" w:rsidR="00CF0650" w:rsidRPr="00CF0650" w:rsidRDefault="00CF0650" w:rsidP="00CF0650">
            <w:pPr>
              <w:rPr>
                <w:sz w:val="22"/>
                <w:szCs w:val="22"/>
              </w:rPr>
            </w:pPr>
            <w:r w:rsidRPr="00CF0650">
              <w:rPr>
                <w:sz w:val="22"/>
                <w:szCs w:val="22"/>
              </w:rPr>
              <w:t>East</w:t>
            </w:r>
          </w:p>
        </w:tc>
        <w:tc>
          <w:tcPr>
            <w:tcW w:w="0" w:type="auto"/>
            <w:vAlign w:val="center"/>
            <w:hideMark/>
          </w:tcPr>
          <w:p w14:paraId="7FFCB009" w14:textId="77777777" w:rsidR="00CF0650" w:rsidRPr="00CF0650" w:rsidRDefault="00CF0650" w:rsidP="00CF0650">
            <w:pPr>
              <w:rPr>
                <w:sz w:val="22"/>
                <w:szCs w:val="22"/>
              </w:rPr>
            </w:pPr>
            <w:r w:rsidRPr="00CF0650">
              <w:rPr>
                <w:sz w:val="22"/>
                <w:szCs w:val="22"/>
              </w:rPr>
              <w:t>Pending review</w:t>
            </w:r>
          </w:p>
        </w:tc>
      </w:tr>
      <w:tr w:rsidR="00CF0650" w:rsidRPr="00CF0650" w14:paraId="140AABEB" w14:textId="77777777">
        <w:trPr>
          <w:tblCellSpacing w:w="15" w:type="dxa"/>
        </w:trPr>
        <w:tc>
          <w:tcPr>
            <w:tcW w:w="0" w:type="auto"/>
            <w:vAlign w:val="center"/>
            <w:hideMark/>
          </w:tcPr>
          <w:p w14:paraId="6B2C60C6" w14:textId="77777777" w:rsidR="00CF0650" w:rsidRPr="00CF0650" w:rsidRDefault="00CF0650" w:rsidP="00CF0650">
            <w:pPr>
              <w:rPr>
                <w:sz w:val="22"/>
                <w:szCs w:val="22"/>
              </w:rPr>
            </w:pPr>
            <w:proofErr w:type="spellStart"/>
            <w:r w:rsidRPr="00CF0650">
              <w:rPr>
                <w:sz w:val="22"/>
                <w:szCs w:val="22"/>
              </w:rPr>
              <w:t>Hallowes</w:t>
            </w:r>
            <w:proofErr w:type="spellEnd"/>
            <w:r w:rsidRPr="00CF0650">
              <w:rPr>
                <w:sz w:val="22"/>
                <w:szCs w:val="22"/>
              </w:rPr>
              <w:t xml:space="preserve"> End</w:t>
            </w:r>
          </w:p>
        </w:tc>
        <w:tc>
          <w:tcPr>
            <w:tcW w:w="0" w:type="auto"/>
            <w:vAlign w:val="center"/>
            <w:hideMark/>
          </w:tcPr>
          <w:p w14:paraId="208982C5" w14:textId="77777777" w:rsidR="00CF0650" w:rsidRPr="00CF0650" w:rsidRDefault="00CF0650" w:rsidP="00CF0650">
            <w:pPr>
              <w:rPr>
                <w:sz w:val="22"/>
                <w:szCs w:val="22"/>
              </w:rPr>
            </w:pPr>
            <w:r w:rsidRPr="00CF0650">
              <w:rPr>
                <w:sz w:val="22"/>
                <w:szCs w:val="22"/>
              </w:rPr>
              <w:t>95.5%</w:t>
            </w:r>
          </w:p>
        </w:tc>
        <w:tc>
          <w:tcPr>
            <w:tcW w:w="0" w:type="auto"/>
            <w:vAlign w:val="center"/>
            <w:hideMark/>
          </w:tcPr>
          <w:p w14:paraId="566A7657" w14:textId="77777777" w:rsidR="00CF0650" w:rsidRPr="00CF0650" w:rsidRDefault="00CF0650" w:rsidP="00CF0650">
            <w:pPr>
              <w:rPr>
                <w:sz w:val="22"/>
                <w:szCs w:val="22"/>
              </w:rPr>
            </w:pPr>
            <w:r w:rsidRPr="00CF0650">
              <w:rPr>
                <w:sz w:val="22"/>
                <w:szCs w:val="22"/>
              </w:rPr>
              <w:t>N</w:t>
            </w:r>
          </w:p>
        </w:tc>
        <w:tc>
          <w:tcPr>
            <w:tcW w:w="0" w:type="auto"/>
            <w:vAlign w:val="center"/>
            <w:hideMark/>
          </w:tcPr>
          <w:p w14:paraId="4D4AB8FA" w14:textId="77777777" w:rsidR="00CF0650" w:rsidRPr="00CF0650" w:rsidRDefault="00CF0650" w:rsidP="00CF0650">
            <w:pPr>
              <w:rPr>
                <w:sz w:val="22"/>
                <w:szCs w:val="22"/>
              </w:rPr>
            </w:pPr>
            <w:r w:rsidRPr="00CF0650">
              <w:rPr>
                <w:sz w:val="22"/>
                <w:szCs w:val="22"/>
              </w:rPr>
              <w:t>N</w:t>
            </w:r>
          </w:p>
        </w:tc>
        <w:tc>
          <w:tcPr>
            <w:tcW w:w="0" w:type="auto"/>
            <w:vAlign w:val="center"/>
            <w:hideMark/>
          </w:tcPr>
          <w:p w14:paraId="46A732B3" w14:textId="77777777" w:rsidR="00CF0650" w:rsidRPr="00CF0650" w:rsidRDefault="00CF0650" w:rsidP="00CF0650">
            <w:pPr>
              <w:rPr>
                <w:sz w:val="22"/>
                <w:szCs w:val="22"/>
              </w:rPr>
            </w:pPr>
            <w:proofErr w:type="gramStart"/>
            <w:r w:rsidRPr="00CF0650">
              <w:rPr>
                <w:sz w:val="22"/>
                <w:szCs w:val="22"/>
              </w:rPr>
              <w:t>South West</w:t>
            </w:r>
            <w:proofErr w:type="gramEnd"/>
          </w:p>
        </w:tc>
        <w:tc>
          <w:tcPr>
            <w:tcW w:w="0" w:type="auto"/>
            <w:vAlign w:val="center"/>
            <w:hideMark/>
          </w:tcPr>
          <w:p w14:paraId="1750DBBD" w14:textId="77777777" w:rsidR="00CF0650" w:rsidRPr="00CF0650" w:rsidRDefault="00CF0650" w:rsidP="00CF0650">
            <w:pPr>
              <w:rPr>
                <w:sz w:val="22"/>
                <w:szCs w:val="22"/>
              </w:rPr>
            </w:pPr>
            <w:r w:rsidRPr="00CF0650">
              <w:rPr>
                <w:sz w:val="22"/>
                <w:szCs w:val="22"/>
              </w:rPr>
              <w:t>Strong</w:t>
            </w:r>
          </w:p>
        </w:tc>
      </w:tr>
      <w:tr w:rsidR="00CF0650" w:rsidRPr="00CF0650" w14:paraId="18926646" w14:textId="77777777">
        <w:trPr>
          <w:tblCellSpacing w:w="15" w:type="dxa"/>
        </w:trPr>
        <w:tc>
          <w:tcPr>
            <w:tcW w:w="0" w:type="auto"/>
            <w:vAlign w:val="center"/>
            <w:hideMark/>
          </w:tcPr>
          <w:p w14:paraId="78720A12" w14:textId="77777777" w:rsidR="00CF0650" w:rsidRPr="00CF0650" w:rsidRDefault="00CF0650" w:rsidP="00CF0650">
            <w:pPr>
              <w:rPr>
                <w:sz w:val="22"/>
                <w:szCs w:val="22"/>
              </w:rPr>
            </w:pPr>
            <w:r w:rsidRPr="00CF0650">
              <w:rPr>
                <w:sz w:val="22"/>
                <w:szCs w:val="22"/>
              </w:rPr>
              <w:t>Ivy Lane Tech</w:t>
            </w:r>
          </w:p>
        </w:tc>
        <w:tc>
          <w:tcPr>
            <w:tcW w:w="0" w:type="auto"/>
            <w:vAlign w:val="center"/>
            <w:hideMark/>
          </w:tcPr>
          <w:p w14:paraId="49F93B1E" w14:textId="77777777" w:rsidR="00CF0650" w:rsidRPr="00CF0650" w:rsidRDefault="00CF0650" w:rsidP="00CF0650">
            <w:pPr>
              <w:rPr>
                <w:sz w:val="22"/>
                <w:szCs w:val="22"/>
              </w:rPr>
            </w:pPr>
            <w:r w:rsidRPr="00CF0650">
              <w:rPr>
                <w:sz w:val="22"/>
                <w:szCs w:val="22"/>
              </w:rPr>
              <w:t>90.7%</w:t>
            </w:r>
          </w:p>
        </w:tc>
        <w:tc>
          <w:tcPr>
            <w:tcW w:w="0" w:type="auto"/>
            <w:vAlign w:val="center"/>
            <w:hideMark/>
          </w:tcPr>
          <w:p w14:paraId="795DBAFF" w14:textId="77777777" w:rsidR="00CF0650" w:rsidRPr="00CF0650" w:rsidRDefault="00CF0650" w:rsidP="00CF0650">
            <w:pPr>
              <w:rPr>
                <w:sz w:val="22"/>
                <w:szCs w:val="22"/>
              </w:rPr>
            </w:pPr>
            <w:r w:rsidRPr="00CF0650">
              <w:rPr>
                <w:sz w:val="22"/>
                <w:szCs w:val="22"/>
              </w:rPr>
              <w:t>Y</w:t>
            </w:r>
          </w:p>
        </w:tc>
        <w:tc>
          <w:tcPr>
            <w:tcW w:w="0" w:type="auto"/>
            <w:vAlign w:val="center"/>
            <w:hideMark/>
          </w:tcPr>
          <w:p w14:paraId="1BDBC552" w14:textId="77777777" w:rsidR="00CF0650" w:rsidRPr="00CF0650" w:rsidRDefault="00CF0650" w:rsidP="00CF0650">
            <w:pPr>
              <w:rPr>
                <w:sz w:val="22"/>
                <w:szCs w:val="22"/>
              </w:rPr>
            </w:pPr>
            <w:r w:rsidRPr="00CF0650">
              <w:rPr>
                <w:sz w:val="22"/>
                <w:szCs w:val="22"/>
              </w:rPr>
              <w:t>Y</w:t>
            </w:r>
          </w:p>
        </w:tc>
        <w:tc>
          <w:tcPr>
            <w:tcW w:w="0" w:type="auto"/>
            <w:vAlign w:val="center"/>
            <w:hideMark/>
          </w:tcPr>
          <w:p w14:paraId="592D97DB"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452787D2" w14:textId="77777777" w:rsidR="00CF0650" w:rsidRPr="00CF0650" w:rsidRDefault="00CF0650" w:rsidP="00CF0650">
            <w:pPr>
              <w:rPr>
                <w:sz w:val="22"/>
                <w:szCs w:val="22"/>
              </w:rPr>
            </w:pPr>
            <w:r w:rsidRPr="00CF0650">
              <w:rPr>
                <w:sz w:val="22"/>
                <w:szCs w:val="22"/>
              </w:rPr>
              <w:t>Attendance drive</w:t>
            </w:r>
          </w:p>
        </w:tc>
      </w:tr>
      <w:tr w:rsidR="00CF0650" w:rsidRPr="00CF0650" w14:paraId="27A768BC" w14:textId="77777777">
        <w:trPr>
          <w:tblCellSpacing w:w="15" w:type="dxa"/>
        </w:trPr>
        <w:tc>
          <w:tcPr>
            <w:tcW w:w="0" w:type="auto"/>
            <w:vAlign w:val="center"/>
            <w:hideMark/>
          </w:tcPr>
          <w:p w14:paraId="436A3CE2" w14:textId="77777777" w:rsidR="00CF0650" w:rsidRPr="00CF0650" w:rsidRDefault="00CF0650" w:rsidP="00CF0650">
            <w:pPr>
              <w:rPr>
                <w:sz w:val="22"/>
                <w:szCs w:val="22"/>
              </w:rPr>
            </w:pPr>
            <w:r w:rsidRPr="00CF0650">
              <w:rPr>
                <w:sz w:val="22"/>
                <w:szCs w:val="22"/>
              </w:rPr>
              <w:t>Jubilee Park</w:t>
            </w:r>
          </w:p>
        </w:tc>
        <w:tc>
          <w:tcPr>
            <w:tcW w:w="0" w:type="auto"/>
            <w:vAlign w:val="center"/>
            <w:hideMark/>
          </w:tcPr>
          <w:p w14:paraId="5DAE7F72" w14:textId="77777777" w:rsidR="00CF0650" w:rsidRPr="00CF0650" w:rsidRDefault="00CF0650" w:rsidP="00CF0650">
            <w:pPr>
              <w:rPr>
                <w:sz w:val="22"/>
                <w:szCs w:val="22"/>
              </w:rPr>
            </w:pPr>
            <w:r w:rsidRPr="00CF0650">
              <w:rPr>
                <w:sz w:val="22"/>
                <w:szCs w:val="22"/>
              </w:rPr>
              <w:t>94.8%</w:t>
            </w:r>
          </w:p>
        </w:tc>
        <w:tc>
          <w:tcPr>
            <w:tcW w:w="0" w:type="auto"/>
            <w:vAlign w:val="center"/>
            <w:hideMark/>
          </w:tcPr>
          <w:p w14:paraId="0A5C0DFC" w14:textId="77777777" w:rsidR="00CF0650" w:rsidRPr="00CF0650" w:rsidRDefault="00CF0650" w:rsidP="00CF0650">
            <w:pPr>
              <w:rPr>
                <w:sz w:val="22"/>
                <w:szCs w:val="22"/>
              </w:rPr>
            </w:pPr>
            <w:r w:rsidRPr="00CF0650">
              <w:rPr>
                <w:sz w:val="22"/>
                <w:szCs w:val="22"/>
              </w:rPr>
              <w:t>N</w:t>
            </w:r>
          </w:p>
        </w:tc>
        <w:tc>
          <w:tcPr>
            <w:tcW w:w="0" w:type="auto"/>
            <w:vAlign w:val="center"/>
            <w:hideMark/>
          </w:tcPr>
          <w:p w14:paraId="089140A9" w14:textId="77777777" w:rsidR="00CF0650" w:rsidRPr="00CF0650" w:rsidRDefault="00CF0650" w:rsidP="00CF0650">
            <w:pPr>
              <w:rPr>
                <w:sz w:val="22"/>
                <w:szCs w:val="22"/>
              </w:rPr>
            </w:pPr>
            <w:r w:rsidRPr="00CF0650">
              <w:rPr>
                <w:sz w:val="22"/>
                <w:szCs w:val="22"/>
              </w:rPr>
              <w:t>N</w:t>
            </w:r>
          </w:p>
        </w:tc>
        <w:tc>
          <w:tcPr>
            <w:tcW w:w="0" w:type="auto"/>
            <w:vAlign w:val="center"/>
            <w:hideMark/>
          </w:tcPr>
          <w:p w14:paraId="476A4B24" w14:textId="77777777" w:rsidR="00CF0650" w:rsidRPr="00CF0650" w:rsidRDefault="00CF0650" w:rsidP="00CF0650">
            <w:pPr>
              <w:rPr>
                <w:sz w:val="22"/>
                <w:szCs w:val="22"/>
              </w:rPr>
            </w:pPr>
            <w:r w:rsidRPr="00CF0650">
              <w:rPr>
                <w:sz w:val="22"/>
                <w:szCs w:val="22"/>
              </w:rPr>
              <w:t>Midlands</w:t>
            </w:r>
          </w:p>
        </w:tc>
        <w:tc>
          <w:tcPr>
            <w:tcW w:w="0" w:type="auto"/>
            <w:vAlign w:val="center"/>
            <w:hideMark/>
          </w:tcPr>
          <w:p w14:paraId="53D18350" w14:textId="77777777" w:rsidR="00CF0650" w:rsidRPr="00CF0650" w:rsidRDefault="00CF0650" w:rsidP="00CF0650">
            <w:pPr>
              <w:rPr>
                <w:sz w:val="22"/>
                <w:szCs w:val="22"/>
              </w:rPr>
            </w:pPr>
            <w:r w:rsidRPr="00CF0650">
              <w:rPr>
                <w:sz w:val="22"/>
                <w:szCs w:val="22"/>
              </w:rPr>
              <w:t>No change</w:t>
            </w:r>
          </w:p>
        </w:tc>
      </w:tr>
      <w:tr w:rsidR="00CF0650" w:rsidRPr="00CF0650" w14:paraId="596C9250" w14:textId="77777777">
        <w:trPr>
          <w:tblCellSpacing w:w="15" w:type="dxa"/>
        </w:trPr>
        <w:tc>
          <w:tcPr>
            <w:tcW w:w="0" w:type="auto"/>
            <w:vAlign w:val="center"/>
            <w:hideMark/>
          </w:tcPr>
          <w:p w14:paraId="5C69B183" w14:textId="77777777" w:rsidR="00CF0650" w:rsidRPr="00CF0650" w:rsidRDefault="00CF0650" w:rsidP="00CF0650">
            <w:pPr>
              <w:rPr>
                <w:sz w:val="22"/>
                <w:szCs w:val="22"/>
              </w:rPr>
            </w:pPr>
            <w:r w:rsidRPr="00CF0650">
              <w:rPr>
                <w:sz w:val="22"/>
                <w:szCs w:val="22"/>
              </w:rPr>
              <w:t xml:space="preserve">King's Cross </w:t>
            </w:r>
            <w:proofErr w:type="spellStart"/>
            <w:r w:rsidRPr="00CF0650">
              <w:rPr>
                <w:sz w:val="22"/>
                <w:szCs w:val="22"/>
              </w:rPr>
              <w:t>Acad</w:t>
            </w:r>
            <w:proofErr w:type="spellEnd"/>
          </w:p>
        </w:tc>
        <w:tc>
          <w:tcPr>
            <w:tcW w:w="0" w:type="auto"/>
            <w:vAlign w:val="center"/>
            <w:hideMark/>
          </w:tcPr>
          <w:p w14:paraId="5DCBD7CA" w14:textId="77777777" w:rsidR="00CF0650" w:rsidRPr="00CF0650" w:rsidRDefault="00CF0650" w:rsidP="00CF0650">
            <w:pPr>
              <w:rPr>
                <w:sz w:val="22"/>
                <w:szCs w:val="22"/>
              </w:rPr>
            </w:pPr>
            <w:r w:rsidRPr="00CF0650">
              <w:rPr>
                <w:sz w:val="22"/>
                <w:szCs w:val="22"/>
              </w:rPr>
              <w:t>87.6%</w:t>
            </w:r>
          </w:p>
        </w:tc>
        <w:tc>
          <w:tcPr>
            <w:tcW w:w="0" w:type="auto"/>
            <w:vAlign w:val="center"/>
            <w:hideMark/>
          </w:tcPr>
          <w:p w14:paraId="70223B1E" w14:textId="77777777" w:rsidR="00CF0650" w:rsidRPr="00CF0650" w:rsidRDefault="00CF0650" w:rsidP="00CF0650">
            <w:pPr>
              <w:rPr>
                <w:sz w:val="22"/>
                <w:szCs w:val="22"/>
              </w:rPr>
            </w:pPr>
            <w:r w:rsidRPr="00CF0650">
              <w:rPr>
                <w:sz w:val="22"/>
                <w:szCs w:val="22"/>
              </w:rPr>
              <w:t>Y</w:t>
            </w:r>
          </w:p>
        </w:tc>
        <w:tc>
          <w:tcPr>
            <w:tcW w:w="0" w:type="auto"/>
            <w:vAlign w:val="center"/>
            <w:hideMark/>
          </w:tcPr>
          <w:p w14:paraId="6C42ECD3" w14:textId="77777777" w:rsidR="00CF0650" w:rsidRPr="00CF0650" w:rsidRDefault="00CF0650" w:rsidP="00CF0650">
            <w:pPr>
              <w:rPr>
                <w:sz w:val="22"/>
                <w:szCs w:val="22"/>
              </w:rPr>
            </w:pPr>
            <w:r w:rsidRPr="00CF0650">
              <w:rPr>
                <w:sz w:val="22"/>
                <w:szCs w:val="22"/>
              </w:rPr>
              <w:t>Y</w:t>
            </w:r>
          </w:p>
        </w:tc>
        <w:tc>
          <w:tcPr>
            <w:tcW w:w="0" w:type="auto"/>
            <w:vAlign w:val="center"/>
            <w:hideMark/>
          </w:tcPr>
          <w:p w14:paraId="5E844F77" w14:textId="77777777" w:rsidR="00CF0650" w:rsidRPr="00CF0650" w:rsidRDefault="00CF0650" w:rsidP="00CF0650">
            <w:pPr>
              <w:rPr>
                <w:sz w:val="22"/>
                <w:szCs w:val="22"/>
              </w:rPr>
            </w:pPr>
            <w:r w:rsidRPr="00CF0650">
              <w:rPr>
                <w:sz w:val="22"/>
                <w:szCs w:val="22"/>
              </w:rPr>
              <w:t>London</w:t>
            </w:r>
          </w:p>
        </w:tc>
        <w:tc>
          <w:tcPr>
            <w:tcW w:w="0" w:type="auto"/>
            <w:vAlign w:val="center"/>
            <w:hideMark/>
          </w:tcPr>
          <w:p w14:paraId="14E968F7" w14:textId="77777777" w:rsidR="00CF0650" w:rsidRPr="00CF0650" w:rsidRDefault="00CF0650" w:rsidP="00CF0650">
            <w:pPr>
              <w:rPr>
                <w:sz w:val="22"/>
                <w:szCs w:val="22"/>
              </w:rPr>
            </w:pPr>
            <w:r w:rsidRPr="00CF0650">
              <w:rPr>
                <w:sz w:val="22"/>
                <w:szCs w:val="22"/>
              </w:rPr>
              <w:t>Low Q3</w:t>
            </w:r>
          </w:p>
        </w:tc>
      </w:tr>
      <w:tr w:rsidR="00CF0650" w:rsidRPr="00CF0650" w14:paraId="78C7F13C" w14:textId="77777777">
        <w:trPr>
          <w:tblCellSpacing w:w="15" w:type="dxa"/>
        </w:trPr>
        <w:tc>
          <w:tcPr>
            <w:tcW w:w="0" w:type="auto"/>
            <w:vAlign w:val="center"/>
            <w:hideMark/>
          </w:tcPr>
          <w:p w14:paraId="3535E4F3" w14:textId="77777777" w:rsidR="00CF0650" w:rsidRPr="00CF0650" w:rsidRDefault="00CF0650" w:rsidP="00CF0650">
            <w:pPr>
              <w:rPr>
                <w:sz w:val="22"/>
                <w:szCs w:val="22"/>
              </w:rPr>
            </w:pPr>
            <w:r w:rsidRPr="00CF0650">
              <w:rPr>
                <w:sz w:val="22"/>
                <w:szCs w:val="22"/>
              </w:rPr>
              <w:t>Langdon Bridge</w:t>
            </w:r>
          </w:p>
        </w:tc>
        <w:tc>
          <w:tcPr>
            <w:tcW w:w="0" w:type="auto"/>
            <w:vAlign w:val="center"/>
            <w:hideMark/>
          </w:tcPr>
          <w:p w14:paraId="6F9D089B" w14:textId="77777777" w:rsidR="00CF0650" w:rsidRPr="00CF0650" w:rsidRDefault="00CF0650" w:rsidP="00CF0650">
            <w:pPr>
              <w:rPr>
                <w:sz w:val="22"/>
                <w:szCs w:val="22"/>
              </w:rPr>
            </w:pPr>
            <w:r w:rsidRPr="00CF0650">
              <w:rPr>
                <w:sz w:val="22"/>
                <w:szCs w:val="22"/>
              </w:rPr>
              <w:t>93.2%</w:t>
            </w:r>
          </w:p>
        </w:tc>
        <w:tc>
          <w:tcPr>
            <w:tcW w:w="0" w:type="auto"/>
            <w:vAlign w:val="center"/>
            <w:hideMark/>
          </w:tcPr>
          <w:p w14:paraId="76600356" w14:textId="77777777" w:rsidR="00CF0650" w:rsidRPr="00CF0650" w:rsidRDefault="00CF0650" w:rsidP="00CF0650">
            <w:pPr>
              <w:rPr>
                <w:sz w:val="22"/>
                <w:szCs w:val="22"/>
              </w:rPr>
            </w:pPr>
            <w:r w:rsidRPr="00CF0650">
              <w:rPr>
                <w:sz w:val="22"/>
                <w:szCs w:val="22"/>
              </w:rPr>
              <w:t>N</w:t>
            </w:r>
          </w:p>
        </w:tc>
        <w:tc>
          <w:tcPr>
            <w:tcW w:w="0" w:type="auto"/>
            <w:vAlign w:val="center"/>
            <w:hideMark/>
          </w:tcPr>
          <w:p w14:paraId="5C6D0323" w14:textId="77777777" w:rsidR="00CF0650" w:rsidRPr="00CF0650" w:rsidRDefault="00CF0650" w:rsidP="00CF0650">
            <w:pPr>
              <w:rPr>
                <w:sz w:val="22"/>
                <w:szCs w:val="22"/>
              </w:rPr>
            </w:pPr>
            <w:r w:rsidRPr="00CF0650">
              <w:rPr>
                <w:sz w:val="22"/>
                <w:szCs w:val="22"/>
              </w:rPr>
              <w:t>N</w:t>
            </w:r>
          </w:p>
        </w:tc>
        <w:tc>
          <w:tcPr>
            <w:tcW w:w="0" w:type="auto"/>
            <w:vAlign w:val="center"/>
            <w:hideMark/>
          </w:tcPr>
          <w:p w14:paraId="5D1E2A28" w14:textId="77777777" w:rsidR="00CF0650" w:rsidRPr="00CF0650" w:rsidRDefault="00CF0650" w:rsidP="00CF0650">
            <w:pPr>
              <w:rPr>
                <w:sz w:val="22"/>
                <w:szCs w:val="22"/>
              </w:rPr>
            </w:pPr>
            <w:proofErr w:type="gramStart"/>
            <w:r w:rsidRPr="00CF0650">
              <w:rPr>
                <w:sz w:val="22"/>
                <w:szCs w:val="22"/>
              </w:rPr>
              <w:t>South East</w:t>
            </w:r>
            <w:proofErr w:type="gramEnd"/>
          </w:p>
        </w:tc>
        <w:tc>
          <w:tcPr>
            <w:tcW w:w="0" w:type="auto"/>
            <w:vAlign w:val="center"/>
            <w:hideMark/>
          </w:tcPr>
          <w:p w14:paraId="69443591" w14:textId="77777777" w:rsidR="00CF0650" w:rsidRPr="00CF0650" w:rsidRDefault="00CF0650" w:rsidP="00CF0650">
            <w:pPr>
              <w:rPr>
                <w:sz w:val="22"/>
                <w:szCs w:val="22"/>
              </w:rPr>
            </w:pPr>
            <w:r w:rsidRPr="00CF0650">
              <w:rPr>
                <w:sz w:val="22"/>
                <w:szCs w:val="22"/>
              </w:rPr>
              <w:t>Normal</w:t>
            </w:r>
          </w:p>
        </w:tc>
      </w:tr>
      <w:tr w:rsidR="00CF0650" w:rsidRPr="00CF0650" w14:paraId="5678FB30" w14:textId="77777777">
        <w:trPr>
          <w:tblCellSpacing w:w="15" w:type="dxa"/>
        </w:trPr>
        <w:tc>
          <w:tcPr>
            <w:tcW w:w="0" w:type="auto"/>
            <w:vAlign w:val="center"/>
            <w:hideMark/>
          </w:tcPr>
          <w:p w14:paraId="297E8AC7" w14:textId="77777777" w:rsidR="00CF0650" w:rsidRPr="00CF0650" w:rsidRDefault="00CF0650" w:rsidP="00CF0650">
            <w:pPr>
              <w:rPr>
                <w:sz w:val="22"/>
                <w:szCs w:val="22"/>
              </w:rPr>
            </w:pPr>
            <w:r w:rsidRPr="00CF0650">
              <w:rPr>
                <w:sz w:val="22"/>
                <w:szCs w:val="22"/>
              </w:rPr>
              <w:t>Marshland Comp</w:t>
            </w:r>
          </w:p>
        </w:tc>
        <w:tc>
          <w:tcPr>
            <w:tcW w:w="0" w:type="auto"/>
            <w:vAlign w:val="center"/>
            <w:hideMark/>
          </w:tcPr>
          <w:p w14:paraId="769EB10F" w14:textId="77777777" w:rsidR="00CF0650" w:rsidRPr="00CF0650" w:rsidRDefault="00CF0650" w:rsidP="00CF0650">
            <w:pPr>
              <w:rPr>
                <w:sz w:val="22"/>
                <w:szCs w:val="22"/>
              </w:rPr>
            </w:pPr>
            <w:r w:rsidRPr="00CF0650">
              <w:rPr>
                <w:sz w:val="22"/>
                <w:szCs w:val="22"/>
              </w:rPr>
              <w:t>91.9%</w:t>
            </w:r>
          </w:p>
        </w:tc>
        <w:tc>
          <w:tcPr>
            <w:tcW w:w="0" w:type="auto"/>
            <w:vAlign w:val="center"/>
            <w:hideMark/>
          </w:tcPr>
          <w:p w14:paraId="40FB7234" w14:textId="77777777" w:rsidR="00CF0650" w:rsidRPr="00CF0650" w:rsidRDefault="00CF0650" w:rsidP="00CF0650">
            <w:pPr>
              <w:rPr>
                <w:sz w:val="22"/>
                <w:szCs w:val="22"/>
              </w:rPr>
            </w:pPr>
            <w:r w:rsidRPr="00CF0650">
              <w:rPr>
                <w:sz w:val="22"/>
                <w:szCs w:val="22"/>
              </w:rPr>
              <w:t>Y</w:t>
            </w:r>
          </w:p>
        </w:tc>
        <w:tc>
          <w:tcPr>
            <w:tcW w:w="0" w:type="auto"/>
            <w:vAlign w:val="center"/>
            <w:hideMark/>
          </w:tcPr>
          <w:p w14:paraId="09590225" w14:textId="77777777" w:rsidR="00CF0650" w:rsidRPr="00CF0650" w:rsidRDefault="00CF0650" w:rsidP="00CF0650">
            <w:pPr>
              <w:rPr>
                <w:sz w:val="22"/>
                <w:szCs w:val="22"/>
              </w:rPr>
            </w:pPr>
            <w:r w:rsidRPr="00CF0650">
              <w:rPr>
                <w:sz w:val="22"/>
                <w:szCs w:val="22"/>
              </w:rPr>
              <w:t>N</w:t>
            </w:r>
          </w:p>
        </w:tc>
        <w:tc>
          <w:tcPr>
            <w:tcW w:w="0" w:type="auto"/>
            <w:vAlign w:val="center"/>
            <w:hideMark/>
          </w:tcPr>
          <w:p w14:paraId="36B40355" w14:textId="77777777" w:rsidR="00CF0650" w:rsidRPr="00CF0650" w:rsidRDefault="00CF0650" w:rsidP="00CF0650">
            <w:pPr>
              <w:rPr>
                <w:sz w:val="22"/>
                <w:szCs w:val="22"/>
              </w:rPr>
            </w:pPr>
            <w:proofErr w:type="gramStart"/>
            <w:r w:rsidRPr="00CF0650">
              <w:rPr>
                <w:sz w:val="22"/>
                <w:szCs w:val="22"/>
              </w:rPr>
              <w:t>North East</w:t>
            </w:r>
            <w:proofErr w:type="gramEnd"/>
          </w:p>
        </w:tc>
        <w:tc>
          <w:tcPr>
            <w:tcW w:w="0" w:type="auto"/>
            <w:vAlign w:val="center"/>
            <w:hideMark/>
          </w:tcPr>
          <w:p w14:paraId="32F0AF11" w14:textId="77777777" w:rsidR="00CF0650" w:rsidRPr="00CF0650" w:rsidRDefault="00CF0650" w:rsidP="00CF0650">
            <w:pPr>
              <w:rPr>
                <w:sz w:val="22"/>
                <w:szCs w:val="22"/>
              </w:rPr>
            </w:pPr>
            <w:r w:rsidRPr="00CF0650">
              <w:rPr>
                <w:sz w:val="22"/>
                <w:szCs w:val="22"/>
              </w:rPr>
              <w:t>Stable</w:t>
            </w:r>
          </w:p>
        </w:tc>
      </w:tr>
      <w:tr w:rsidR="00CF0650" w:rsidRPr="00CF0650" w14:paraId="7ABD1C3D" w14:textId="77777777">
        <w:trPr>
          <w:tblCellSpacing w:w="15" w:type="dxa"/>
        </w:trPr>
        <w:tc>
          <w:tcPr>
            <w:tcW w:w="0" w:type="auto"/>
            <w:vAlign w:val="center"/>
            <w:hideMark/>
          </w:tcPr>
          <w:p w14:paraId="7A493C5F" w14:textId="77777777" w:rsidR="00CF0650" w:rsidRPr="00CF0650" w:rsidRDefault="00CF0650" w:rsidP="00CF0650">
            <w:pPr>
              <w:rPr>
                <w:sz w:val="22"/>
                <w:szCs w:val="22"/>
              </w:rPr>
            </w:pPr>
            <w:r w:rsidRPr="00CF0650">
              <w:rPr>
                <w:sz w:val="22"/>
                <w:szCs w:val="22"/>
              </w:rPr>
              <w:t>North Star High</w:t>
            </w:r>
          </w:p>
        </w:tc>
        <w:tc>
          <w:tcPr>
            <w:tcW w:w="0" w:type="auto"/>
            <w:vAlign w:val="center"/>
            <w:hideMark/>
          </w:tcPr>
          <w:p w14:paraId="669E03D7" w14:textId="77777777" w:rsidR="00CF0650" w:rsidRPr="00CF0650" w:rsidRDefault="00CF0650" w:rsidP="00CF0650">
            <w:pPr>
              <w:rPr>
                <w:sz w:val="22"/>
                <w:szCs w:val="22"/>
              </w:rPr>
            </w:pPr>
            <w:r w:rsidRPr="00CF0650">
              <w:rPr>
                <w:sz w:val="22"/>
                <w:szCs w:val="22"/>
              </w:rPr>
              <w:t>95.1%</w:t>
            </w:r>
          </w:p>
        </w:tc>
        <w:tc>
          <w:tcPr>
            <w:tcW w:w="0" w:type="auto"/>
            <w:vAlign w:val="center"/>
            <w:hideMark/>
          </w:tcPr>
          <w:p w14:paraId="57064EB5" w14:textId="77777777" w:rsidR="00CF0650" w:rsidRPr="00CF0650" w:rsidRDefault="00CF0650" w:rsidP="00CF0650">
            <w:pPr>
              <w:rPr>
                <w:sz w:val="22"/>
                <w:szCs w:val="22"/>
              </w:rPr>
            </w:pPr>
            <w:r w:rsidRPr="00CF0650">
              <w:rPr>
                <w:sz w:val="22"/>
                <w:szCs w:val="22"/>
              </w:rPr>
              <w:t>N</w:t>
            </w:r>
          </w:p>
        </w:tc>
        <w:tc>
          <w:tcPr>
            <w:tcW w:w="0" w:type="auto"/>
            <w:vAlign w:val="center"/>
            <w:hideMark/>
          </w:tcPr>
          <w:p w14:paraId="28065C68" w14:textId="77777777" w:rsidR="00CF0650" w:rsidRPr="00CF0650" w:rsidRDefault="00CF0650" w:rsidP="00CF0650">
            <w:pPr>
              <w:rPr>
                <w:sz w:val="22"/>
                <w:szCs w:val="22"/>
              </w:rPr>
            </w:pPr>
            <w:r w:rsidRPr="00CF0650">
              <w:rPr>
                <w:sz w:val="22"/>
                <w:szCs w:val="22"/>
              </w:rPr>
              <w:t>Y</w:t>
            </w:r>
          </w:p>
        </w:tc>
        <w:tc>
          <w:tcPr>
            <w:tcW w:w="0" w:type="auto"/>
            <w:vAlign w:val="center"/>
            <w:hideMark/>
          </w:tcPr>
          <w:p w14:paraId="1713D5C7" w14:textId="77777777" w:rsidR="00CF0650" w:rsidRPr="00CF0650" w:rsidRDefault="00CF0650" w:rsidP="00CF0650">
            <w:pPr>
              <w:rPr>
                <w:sz w:val="22"/>
                <w:szCs w:val="22"/>
              </w:rPr>
            </w:pPr>
            <w:proofErr w:type="gramStart"/>
            <w:r w:rsidRPr="00CF0650">
              <w:rPr>
                <w:sz w:val="22"/>
                <w:szCs w:val="22"/>
              </w:rPr>
              <w:t>South West</w:t>
            </w:r>
            <w:proofErr w:type="gramEnd"/>
          </w:p>
        </w:tc>
        <w:tc>
          <w:tcPr>
            <w:tcW w:w="0" w:type="auto"/>
            <w:vAlign w:val="center"/>
            <w:hideMark/>
          </w:tcPr>
          <w:p w14:paraId="6EFCFE85" w14:textId="77777777" w:rsidR="00CF0650" w:rsidRPr="00CF0650" w:rsidRDefault="00CF0650" w:rsidP="00CF0650">
            <w:pPr>
              <w:rPr>
                <w:sz w:val="22"/>
                <w:szCs w:val="22"/>
              </w:rPr>
            </w:pPr>
            <w:r w:rsidRPr="00CF0650">
              <w:rPr>
                <w:sz w:val="22"/>
                <w:szCs w:val="22"/>
              </w:rPr>
              <w:t>Good</w:t>
            </w:r>
          </w:p>
        </w:tc>
      </w:tr>
      <w:tr w:rsidR="00CF0650" w:rsidRPr="00CF0650" w14:paraId="21CEAF4B" w14:textId="77777777">
        <w:trPr>
          <w:tblCellSpacing w:w="15" w:type="dxa"/>
        </w:trPr>
        <w:tc>
          <w:tcPr>
            <w:tcW w:w="0" w:type="auto"/>
            <w:vAlign w:val="center"/>
            <w:hideMark/>
          </w:tcPr>
          <w:p w14:paraId="43F14DF7" w14:textId="77777777" w:rsidR="00CF0650" w:rsidRPr="00CF0650" w:rsidRDefault="00CF0650" w:rsidP="00CF0650">
            <w:pPr>
              <w:rPr>
                <w:sz w:val="22"/>
                <w:szCs w:val="22"/>
              </w:rPr>
            </w:pPr>
            <w:r w:rsidRPr="00CF0650">
              <w:rPr>
                <w:sz w:val="22"/>
                <w:szCs w:val="22"/>
              </w:rPr>
              <w:t>Oakwood Grammar</w:t>
            </w:r>
          </w:p>
        </w:tc>
        <w:tc>
          <w:tcPr>
            <w:tcW w:w="0" w:type="auto"/>
            <w:vAlign w:val="center"/>
            <w:hideMark/>
          </w:tcPr>
          <w:p w14:paraId="1B48D5AC" w14:textId="77777777" w:rsidR="00CF0650" w:rsidRPr="00CF0650" w:rsidRDefault="00CF0650" w:rsidP="00CF0650">
            <w:pPr>
              <w:rPr>
                <w:sz w:val="22"/>
                <w:szCs w:val="22"/>
              </w:rPr>
            </w:pPr>
            <w:r w:rsidRPr="00CF0650">
              <w:rPr>
                <w:sz w:val="22"/>
                <w:szCs w:val="22"/>
              </w:rPr>
              <w:t>97.2%</w:t>
            </w:r>
          </w:p>
        </w:tc>
        <w:tc>
          <w:tcPr>
            <w:tcW w:w="0" w:type="auto"/>
            <w:vAlign w:val="center"/>
            <w:hideMark/>
          </w:tcPr>
          <w:p w14:paraId="5439F243" w14:textId="77777777" w:rsidR="00CF0650" w:rsidRPr="00CF0650" w:rsidRDefault="00CF0650" w:rsidP="00CF0650">
            <w:pPr>
              <w:rPr>
                <w:sz w:val="22"/>
                <w:szCs w:val="22"/>
              </w:rPr>
            </w:pPr>
            <w:r w:rsidRPr="00CF0650">
              <w:rPr>
                <w:sz w:val="22"/>
                <w:szCs w:val="22"/>
              </w:rPr>
              <w:t>N</w:t>
            </w:r>
          </w:p>
        </w:tc>
        <w:tc>
          <w:tcPr>
            <w:tcW w:w="0" w:type="auto"/>
            <w:vAlign w:val="center"/>
            <w:hideMark/>
          </w:tcPr>
          <w:p w14:paraId="4E0FD8D1" w14:textId="77777777" w:rsidR="00CF0650" w:rsidRPr="00CF0650" w:rsidRDefault="00CF0650" w:rsidP="00CF0650">
            <w:pPr>
              <w:rPr>
                <w:sz w:val="22"/>
                <w:szCs w:val="22"/>
              </w:rPr>
            </w:pPr>
            <w:r w:rsidRPr="00CF0650">
              <w:rPr>
                <w:sz w:val="22"/>
                <w:szCs w:val="22"/>
              </w:rPr>
              <w:t>N</w:t>
            </w:r>
          </w:p>
        </w:tc>
        <w:tc>
          <w:tcPr>
            <w:tcW w:w="0" w:type="auto"/>
            <w:vAlign w:val="center"/>
            <w:hideMark/>
          </w:tcPr>
          <w:p w14:paraId="50FDBA05" w14:textId="77777777" w:rsidR="00CF0650" w:rsidRPr="00CF0650" w:rsidRDefault="00CF0650" w:rsidP="00CF0650">
            <w:pPr>
              <w:rPr>
                <w:sz w:val="22"/>
                <w:szCs w:val="22"/>
              </w:rPr>
            </w:pPr>
            <w:proofErr w:type="gramStart"/>
            <w:r w:rsidRPr="00CF0650">
              <w:rPr>
                <w:sz w:val="22"/>
                <w:szCs w:val="22"/>
              </w:rPr>
              <w:t>South East</w:t>
            </w:r>
            <w:proofErr w:type="gramEnd"/>
          </w:p>
        </w:tc>
        <w:tc>
          <w:tcPr>
            <w:tcW w:w="0" w:type="auto"/>
            <w:vAlign w:val="center"/>
            <w:hideMark/>
          </w:tcPr>
          <w:p w14:paraId="30D62177" w14:textId="77777777" w:rsidR="00CF0650" w:rsidRPr="00CF0650" w:rsidRDefault="00CF0650" w:rsidP="00CF0650">
            <w:pPr>
              <w:rPr>
                <w:sz w:val="22"/>
                <w:szCs w:val="22"/>
              </w:rPr>
            </w:pPr>
            <w:r w:rsidRPr="00CF0650">
              <w:rPr>
                <w:sz w:val="22"/>
                <w:szCs w:val="22"/>
              </w:rPr>
              <w:t>High</w:t>
            </w:r>
          </w:p>
        </w:tc>
      </w:tr>
      <w:tr w:rsidR="00CF0650" w:rsidRPr="00CF0650" w14:paraId="6D9FE493" w14:textId="77777777">
        <w:trPr>
          <w:tblCellSpacing w:w="15" w:type="dxa"/>
        </w:trPr>
        <w:tc>
          <w:tcPr>
            <w:tcW w:w="0" w:type="auto"/>
            <w:vAlign w:val="center"/>
            <w:hideMark/>
          </w:tcPr>
          <w:p w14:paraId="11279AA7" w14:textId="77777777" w:rsidR="00CF0650" w:rsidRPr="00CF0650" w:rsidRDefault="00CF0650" w:rsidP="00CF0650">
            <w:pPr>
              <w:rPr>
                <w:sz w:val="22"/>
                <w:szCs w:val="22"/>
              </w:rPr>
            </w:pPr>
            <w:r w:rsidRPr="00CF0650">
              <w:rPr>
                <w:sz w:val="22"/>
                <w:szCs w:val="22"/>
              </w:rPr>
              <w:t>Primrose Hill</w:t>
            </w:r>
          </w:p>
        </w:tc>
        <w:tc>
          <w:tcPr>
            <w:tcW w:w="0" w:type="auto"/>
            <w:vAlign w:val="center"/>
            <w:hideMark/>
          </w:tcPr>
          <w:p w14:paraId="3764BA4E" w14:textId="77777777" w:rsidR="00CF0650" w:rsidRPr="00CF0650" w:rsidRDefault="00CF0650" w:rsidP="00CF0650">
            <w:pPr>
              <w:rPr>
                <w:sz w:val="22"/>
                <w:szCs w:val="22"/>
              </w:rPr>
            </w:pPr>
            <w:r w:rsidRPr="00CF0650">
              <w:rPr>
                <w:sz w:val="22"/>
                <w:szCs w:val="22"/>
              </w:rPr>
              <w:t>92.4%</w:t>
            </w:r>
          </w:p>
        </w:tc>
        <w:tc>
          <w:tcPr>
            <w:tcW w:w="0" w:type="auto"/>
            <w:vAlign w:val="center"/>
            <w:hideMark/>
          </w:tcPr>
          <w:p w14:paraId="2E4C20AC" w14:textId="77777777" w:rsidR="00CF0650" w:rsidRPr="00CF0650" w:rsidRDefault="00CF0650" w:rsidP="00CF0650">
            <w:pPr>
              <w:rPr>
                <w:sz w:val="22"/>
                <w:szCs w:val="22"/>
              </w:rPr>
            </w:pPr>
            <w:r w:rsidRPr="00CF0650">
              <w:rPr>
                <w:sz w:val="22"/>
                <w:szCs w:val="22"/>
              </w:rPr>
              <w:t>Y</w:t>
            </w:r>
          </w:p>
        </w:tc>
        <w:tc>
          <w:tcPr>
            <w:tcW w:w="0" w:type="auto"/>
            <w:vAlign w:val="center"/>
            <w:hideMark/>
          </w:tcPr>
          <w:p w14:paraId="398E3443" w14:textId="77777777" w:rsidR="00CF0650" w:rsidRPr="00CF0650" w:rsidRDefault="00CF0650" w:rsidP="00CF0650">
            <w:pPr>
              <w:rPr>
                <w:sz w:val="22"/>
                <w:szCs w:val="22"/>
              </w:rPr>
            </w:pPr>
            <w:r w:rsidRPr="00CF0650">
              <w:rPr>
                <w:sz w:val="22"/>
                <w:szCs w:val="22"/>
              </w:rPr>
              <w:t>Y</w:t>
            </w:r>
          </w:p>
        </w:tc>
        <w:tc>
          <w:tcPr>
            <w:tcW w:w="0" w:type="auto"/>
            <w:vAlign w:val="center"/>
            <w:hideMark/>
          </w:tcPr>
          <w:p w14:paraId="1F77B6A6" w14:textId="77777777" w:rsidR="00CF0650" w:rsidRPr="00CF0650" w:rsidRDefault="00CF0650" w:rsidP="00CF0650">
            <w:pPr>
              <w:rPr>
                <w:sz w:val="22"/>
                <w:szCs w:val="22"/>
              </w:rPr>
            </w:pPr>
            <w:r w:rsidRPr="00CF0650">
              <w:rPr>
                <w:sz w:val="22"/>
                <w:szCs w:val="22"/>
              </w:rPr>
              <w:t>London</w:t>
            </w:r>
          </w:p>
        </w:tc>
        <w:tc>
          <w:tcPr>
            <w:tcW w:w="0" w:type="auto"/>
            <w:vAlign w:val="center"/>
            <w:hideMark/>
          </w:tcPr>
          <w:p w14:paraId="4EA6BCA5" w14:textId="77777777" w:rsidR="00CF0650" w:rsidRPr="00CF0650" w:rsidRDefault="00CF0650" w:rsidP="00CF0650">
            <w:pPr>
              <w:rPr>
                <w:sz w:val="22"/>
                <w:szCs w:val="22"/>
              </w:rPr>
            </w:pPr>
            <w:r w:rsidRPr="00CF0650">
              <w:rPr>
                <w:sz w:val="22"/>
                <w:szCs w:val="22"/>
              </w:rPr>
              <w:t>Monitoring</w:t>
            </w:r>
          </w:p>
        </w:tc>
      </w:tr>
      <w:tr w:rsidR="00CF0650" w:rsidRPr="00CF0650" w14:paraId="6ED401B3" w14:textId="77777777">
        <w:trPr>
          <w:tblCellSpacing w:w="15" w:type="dxa"/>
        </w:trPr>
        <w:tc>
          <w:tcPr>
            <w:tcW w:w="0" w:type="auto"/>
            <w:vAlign w:val="center"/>
            <w:hideMark/>
          </w:tcPr>
          <w:p w14:paraId="2A10C50E" w14:textId="77777777" w:rsidR="00CF0650" w:rsidRPr="00CF0650" w:rsidRDefault="00CF0650" w:rsidP="00CF0650">
            <w:pPr>
              <w:rPr>
                <w:sz w:val="22"/>
                <w:szCs w:val="22"/>
              </w:rPr>
            </w:pPr>
            <w:r w:rsidRPr="00CF0650">
              <w:rPr>
                <w:sz w:val="22"/>
                <w:szCs w:val="22"/>
              </w:rPr>
              <w:t>Quarry Bank</w:t>
            </w:r>
          </w:p>
        </w:tc>
        <w:tc>
          <w:tcPr>
            <w:tcW w:w="0" w:type="auto"/>
            <w:vAlign w:val="center"/>
            <w:hideMark/>
          </w:tcPr>
          <w:p w14:paraId="6064620E" w14:textId="77777777" w:rsidR="00CF0650" w:rsidRPr="00CF0650" w:rsidRDefault="00CF0650" w:rsidP="00CF0650">
            <w:pPr>
              <w:rPr>
                <w:sz w:val="22"/>
                <w:szCs w:val="22"/>
              </w:rPr>
            </w:pPr>
            <w:r w:rsidRPr="00CF0650">
              <w:rPr>
                <w:sz w:val="22"/>
                <w:szCs w:val="22"/>
              </w:rPr>
              <w:t>89.8%</w:t>
            </w:r>
          </w:p>
        </w:tc>
        <w:tc>
          <w:tcPr>
            <w:tcW w:w="0" w:type="auto"/>
            <w:vAlign w:val="center"/>
            <w:hideMark/>
          </w:tcPr>
          <w:p w14:paraId="0612A73B" w14:textId="77777777" w:rsidR="00CF0650" w:rsidRPr="00CF0650" w:rsidRDefault="00CF0650" w:rsidP="00CF0650">
            <w:pPr>
              <w:rPr>
                <w:sz w:val="22"/>
                <w:szCs w:val="22"/>
              </w:rPr>
            </w:pPr>
            <w:r w:rsidRPr="00CF0650">
              <w:rPr>
                <w:sz w:val="22"/>
                <w:szCs w:val="22"/>
              </w:rPr>
              <w:t>Y</w:t>
            </w:r>
          </w:p>
        </w:tc>
        <w:tc>
          <w:tcPr>
            <w:tcW w:w="0" w:type="auto"/>
            <w:vAlign w:val="center"/>
            <w:hideMark/>
          </w:tcPr>
          <w:p w14:paraId="14A62461" w14:textId="77777777" w:rsidR="00CF0650" w:rsidRPr="00CF0650" w:rsidRDefault="00CF0650" w:rsidP="00CF0650">
            <w:pPr>
              <w:rPr>
                <w:sz w:val="22"/>
                <w:szCs w:val="22"/>
              </w:rPr>
            </w:pPr>
            <w:r w:rsidRPr="00CF0650">
              <w:rPr>
                <w:sz w:val="22"/>
                <w:szCs w:val="22"/>
              </w:rPr>
              <w:t>N</w:t>
            </w:r>
          </w:p>
        </w:tc>
        <w:tc>
          <w:tcPr>
            <w:tcW w:w="0" w:type="auto"/>
            <w:vAlign w:val="center"/>
            <w:hideMark/>
          </w:tcPr>
          <w:p w14:paraId="44CE5B94"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3B9C1B67" w14:textId="77777777" w:rsidR="00CF0650" w:rsidRPr="00CF0650" w:rsidRDefault="00CF0650" w:rsidP="00CF0650">
            <w:pPr>
              <w:rPr>
                <w:sz w:val="22"/>
                <w:szCs w:val="22"/>
              </w:rPr>
            </w:pPr>
            <w:r w:rsidRPr="00CF0650">
              <w:rPr>
                <w:sz w:val="22"/>
                <w:szCs w:val="22"/>
              </w:rPr>
              <w:t>Below benchmark</w:t>
            </w:r>
          </w:p>
        </w:tc>
      </w:tr>
      <w:tr w:rsidR="00CF0650" w:rsidRPr="00CF0650" w14:paraId="1ED0399E" w14:textId="77777777">
        <w:trPr>
          <w:tblCellSpacing w:w="15" w:type="dxa"/>
        </w:trPr>
        <w:tc>
          <w:tcPr>
            <w:tcW w:w="0" w:type="auto"/>
            <w:vAlign w:val="center"/>
            <w:hideMark/>
          </w:tcPr>
          <w:p w14:paraId="56523493" w14:textId="77777777" w:rsidR="00CF0650" w:rsidRPr="00CF0650" w:rsidRDefault="00CF0650" w:rsidP="00CF0650">
            <w:pPr>
              <w:rPr>
                <w:sz w:val="22"/>
                <w:szCs w:val="22"/>
              </w:rPr>
            </w:pPr>
            <w:r w:rsidRPr="00CF0650">
              <w:rPr>
                <w:sz w:val="22"/>
                <w:szCs w:val="22"/>
              </w:rPr>
              <w:t xml:space="preserve">Riverside </w:t>
            </w:r>
            <w:proofErr w:type="spellStart"/>
            <w:r w:rsidRPr="00CF0650">
              <w:rPr>
                <w:sz w:val="22"/>
                <w:szCs w:val="22"/>
              </w:rPr>
              <w:t>Acad</w:t>
            </w:r>
            <w:proofErr w:type="spellEnd"/>
          </w:p>
        </w:tc>
        <w:tc>
          <w:tcPr>
            <w:tcW w:w="0" w:type="auto"/>
            <w:vAlign w:val="center"/>
            <w:hideMark/>
          </w:tcPr>
          <w:p w14:paraId="2AB7D1AE" w14:textId="77777777" w:rsidR="00CF0650" w:rsidRPr="00CF0650" w:rsidRDefault="00CF0650" w:rsidP="00CF0650">
            <w:pPr>
              <w:rPr>
                <w:sz w:val="22"/>
                <w:szCs w:val="22"/>
              </w:rPr>
            </w:pPr>
            <w:r w:rsidRPr="00CF0650">
              <w:rPr>
                <w:sz w:val="22"/>
                <w:szCs w:val="22"/>
              </w:rPr>
              <w:t>94.0%</w:t>
            </w:r>
          </w:p>
        </w:tc>
        <w:tc>
          <w:tcPr>
            <w:tcW w:w="0" w:type="auto"/>
            <w:vAlign w:val="center"/>
            <w:hideMark/>
          </w:tcPr>
          <w:p w14:paraId="68F3D7BA" w14:textId="77777777" w:rsidR="00CF0650" w:rsidRPr="00CF0650" w:rsidRDefault="00CF0650" w:rsidP="00CF0650">
            <w:pPr>
              <w:rPr>
                <w:sz w:val="22"/>
                <w:szCs w:val="22"/>
              </w:rPr>
            </w:pPr>
            <w:r w:rsidRPr="00CF0650">
              <w:rPr>
                <w:sz w:val="22"/>
                <w:szCs w:val="22"/>
              </w:rPr>
              <w:t>N</w:t>
            </w:r>
          </w:p>
        </w:tc>
        <w:tc>
          <w:tcPr>
            <w:tcW w:w="0" w:type="auto"/>
            <w:vAlign w:val="center"/>
            <w:hideMark/>
          </w:tcPr>
          <w:p w14:paraId="6DA7DA67" w14:textId="77777777" w:rsidR="00CF0650" w:rsidRPr="00CF0650" w:rsidRDefault="00CF0650" w:rsidP="00CF0650">
            <w:pPr>
              <w:rPr>
                <w:sz w:val="22"/>
                <w:szCs w:val="22"/>
              </w:rPr>
            </w:pPr>
            <w:r w:rsidRPr="00CF0650">
              <w:rPr>
                <w:sz w:val="22"/>
                <w:szCs w:val="22"/>
              </w:rPr>
              <w:t>N</w:t>
            </w:r>
          </w:p>
        </w:tc>
        <w:tc>
          <w:tcPr>
            <w:tcW w:w="0" w:type="auto"/>
            <w:vAlign w:val="center"/>
            <w:hideMark/>
          </w:tcPr>
          <w:p w14:paraId="5B728778" w14:textId="77777777" w:rsidR="00CF0650" w:rsidRPr="00CF0650" w:rsidRDefault="00CF0650" w:rsidP="00CF0650">
            <w:pPr>
              <w:rPr>
                <w:sz w:val="22"/>
                <w:szCs w:val="22"/>
              </w:rPr>
            </w:pPr>
            <w:r w:rsidRPr="00CF0650">
              <w:rPr>
                <w:sz w:val="22"/>
                <w:szCs w:val="22"/>
              </w:rPr>
              <w:t>Midlands</w:t>
            </w:r>
          </w:p>
        </w:tc>
        <w:tc>
          <w:tcPr>
            <w:tcW w:w="0" w:type="auto"/>
            <w:vAlign w:val="center"/>
            <w:hideMark/>
          </w:tcPr>
          <w:p w14:paraId="53C3EFB8" w14:textId="77777777" w:rsidR="00CF0650" w:rsidRPr="00CF0650" w:rsidRDefault="00CF0650" w:rsidP="00CF0650">
            <w:pPr>
              <w:rPr>
                <w:sz w:val="22"/>
                <w:szCs w:val="22"/>
              </w:rPr>
            </w:pPr>
            <w:r w:rsidRPr="00CF0650">
              <w:rPr>
                <w:sz w:val="22"/>
                <w:szCs w:val="22"/>
              </w:rPr>
              <w:t>Consistent</w:t>
            </w:r>
          </w:p>
        </w:tc>
      </w:tr>
      <w:tr w:rsidR="00CF0650" w:rsidRPr="00CF0650" w14:paraId="4336B0FD" w14:textId="77777777">
        <w:trPr>
          <w:tblCellSpacing w:w="15" w:type="dxa"/>
        </w:trPr>
        <w:tc>
          <w:tcPr>
            <w:tcW w:w="0" w:type="auto"/>
            <w:vAlign w:val="center"/>
            <w:hideMark/>
          </w:tcPr>
          <w:p w14:paraId="353F18B9" w14:textId="77777777" w:rsidR="00CF0650" w:rsidRPr="00CF0650" w:rsidRDefault="00CF0650" w:rsidP="00CF0650">
            <w:pPr>
              <w:rPr>
                <w:sz w:val="22"/>
                <w:szCs w:val="22"/>
              </w:rPr>
            </w:pPr>
            <w:r w:rsidRPr="00CF0650">
              <w:rPr>
                <w:sz w:val="22"/>
                <w:szCs w:val="22"/>
              </w:rPr>
              <w:t>St. Jude’s</w:t>
            </w:r>
          </w:p>
        </w:tc>
        <w:tc>
          <w:tcPr>
            <w:tcW w:w="0" w:type="auto"/>
            <w:vAlign w:val="center"/>
            <w:hideMark/>
          </w:tcPr>
          <w:p w14:paraId="50A43F22" w14:textId="77777777" w:rsidR="00CF0650" w:rsidRPr="00CF0650" w:rsidRDefault="00CF0650" w:rsidP="00CF0650">
            <w:pPr>
              <w:rPr>
                <w:sz w:val="22"/>
                <w:szCs w:val="22"/>
              </w:rPr>
            </w:pPr>
            <w:r w:rsidRPr="00CF0650">
              <w:rPr>
                <w:sz w:val="22"/>
                <w:szCs w:val="22"/>
              </w:rPr>
              <w:t>91.5%</w:t>
            </w:r>
          </w:p>
        </w:tc>
        <w:tc>
          <w:tcPr>
            <w:tcW w:w="0" w:type="auto"/>
            <w:vAlign w:val="center"/>
            <w:hideMark/>
          </w:tcPr>
          <w:p w14:paraId="4816D198" w14:textId="77777777" w:rsidR="00CF0650" w:rsidRPr="00CF0650" w:rsidRDefault="00CF0650" w:rsidP="00CF0650">
            <w:pPr>
              <w:rPr>
                <w:sz w:val="22"/>
                <w:szCs w:val="22"/>
              </w:rPr>
            </w:pPr>
            <w:r w:rsidRPr="00CF0650">
              <w:rPr>
                <w:sz w:val="22"/>
                <w:szCs w:val="22"/>
              </w:rPr>
              <w:t>Y</w:t>
            </w:r>
          </w:p>
        </w:tc>
        <w:tc>
          <w:tcPr>
            <w:tcW w:w="0" w:type="auto"/>
            <w:vAlign w:val="center"/>
            <w:hideMark/>
          </w:tcPr>
          <w:p w14:paraId="2E7390AF" w14:textId="77777777" w:rsidR="00CF0650" w:rsidRPr="00CF0650" w:rsidRDefault="00CF0650" w:rsidP="00CF0650">
            <w:pPr>
              <w:rPr>
                <w:sz w:val="22"/>
                <w:szCs w:val="22"/>
              </w:rPr>
            </w:pPr>
            <w:r w:rsidRPr="00CF0650">
              <w:rPr>
                <w:sz w:val="22"/>
                <w:szCs w:val="22"/>
              </w:rPr>
              <w:t>Y</w:t>
            </w:r>
          </w:p>
        </w:tc>
        <w:tc>
          <w:tcPr>
            <w:tcW w:w="0" w:type="auto"/>
            <w:vAlign w:val="center"/>
            <w:hideMark/>
          </w:tcPr>
          <w:p w14:paraId="22824299" w14:textId="77777777" w:rsidR="00CF0650" w:rsidRPr="00CF0650" w:rsidRDefault="00CF0650" w:rsidP="00CF0650">
            <w:pPr>
              <w:rPr>
                <w:sz w:val="22"/>
                <w:szCs w:val="22"/>
              </w:rPr>
            </w:pPr>
            <w:proofErr w:type="gramStart"/>
            <w:r w:rsidRPr="00CF0650">
              <w:rPr>
                <w:sz w:val="22"/>
                <w:szCs w:val="22"/>
              </w:rPr>
              <w:t>North East</w:t>
            </w:r>
            <w:proofErr w:type="gramEnd"/>
          </w:p>
        </w:tc>
        <w:tc>
          <w:tcPr>
            <w:tcW w:w="0" w:type="auto"/>
            <w:vAlign w:val="center"/>
            <w:hideMark/>
          </w:tcPr>
          <w:p w14:paraId="7A41A3D2" w14:textId="77777777" w:rsidR="00CF0650" w:rsidRPr="00CF0650" w:rsidRDefault="00CF0650" w:rsidP="00CF0650">
            <w:pPr>
              <w:rPr>
                <w:sz w:val="22"/>
                <w:szCs w:val="22"/>
              </w:rPr>
            </w:pPr>
            <w:r w:rsidRPr="00CF0650">
              <w:rPr>
                <w:sz w:val="22"/>
                <w:szCs w:val="22"/>
              </w:rPr>
              <w:t>On track</w:t>
            </w:r>
          </w:p>
        </w:tc>
      </w:tr>
      <w:tr w:rsidR="00CF0650" w:rsidRPr="00CF0650" w14:paraId="062F0791" w14:textId="77777777">
        <w:trPr>
          <w:tblCellSpacing w:w="15" w:type="dxa"/>
        </w:trPr>
        <w:tc>
          <w:tcPr>
            <w:tcW w:w="0" w:type="auto"/>
            <w:vAlign w:val="center"/>
            <w:hideMark/>
          </w:tcPr>
          <w:p w14:paraId="2430C3F0" w14:textId="77777777" w:rsidR="00CF0650" w:rsidRPr="00CF0650" w:rsidRDefault="00CF0650" w:rsidP="00CF0650">
            <w:pPr>
              <w:rPr>
                <w:sz w:val="22"/>
                <w:szCs w:val="22"/>
              </w:rPr>
            </w:pPr>
            <w:r w:rsidRPr="00CF0650">
              <w:rPr>
                <w:sz w:val="22"/>
                <w:szCs w:val="22"/>
              </w:rPr>
              <w:t>Thorne Hill</w:t>
            </w:r>
          </w:p>
        </w:tc>
        <w:tc>
          <w:tcPr>
            <w:tcW w:w="0" w:type="auto"/>
            <w:vAlign w:val="center"/>
            <w:hideMark/>
          </w:tcPr>
          <w:p w14:paraId="7DD9827C" w14:textId="77777777" w:rsidR="00CF0650" w:rsidRPr="00CF0650" w:rsidRDefault="00CF0650" w:rsidP="00CF0650">
            <w:pPr>
              <w:rPr>
                <w:sz w:val="22"/>
                <w:szCs w:val="22"/>
              </w:rPr>
            </w:pPr>
            <w:r w:rsidRPr="00CF0650">
              <w:rPr>
                <w:sz w:val="22"/>
                <w:szCs w:val="22"/>
              </w:rPr>
              <w:t>93.7%</w:t>
            </w:r>
          </w:p>
        </w:tc>
        <w:tc>
          <w:tcPr>
            <w:tcW w:w="0" w:type="auto"/>
            <w:vAlign w:val="center"/>
            <w:hideMark/>
          </w:tcPr>
          <w:p w14:paraId="1C6FC702" w14:textId="77777777" w:rsidR="00CF0650" w:rsidRPr="00CF0650" w:rsidRDefault="00CF0650" w:rsidP="00CF0650">
            <w:pPr>
              <w:rPr>
                <w:sz w:val="22"/>
                <w:szCs w:val="22"/>
              </w:rPr>
            </w:pPr>
            <w:r w:rsidRPr="00CF0650">
              <w:rPr>
                <w:sz w:val="22"/>
                <w:szCs w:val="22"/>
              </w:rPr>
              <w:t>N</w:t>
            </w:r>
          </w:p>
        </w:tc>
        <w:tc>
          <w:tcPr>
            <w:tcW w:w="0" w:type="auto"/>
            <w:vAlign w:val="center"/>
            <w:hideMark/>
          </w:tcPr>
          <w:p w14:paraId="07326A3A" w14:textId="77777777" w:rsidR="00CF0650" w:rsidRPr="00CF0650" w:rsidRDefault="00CF0650" w:rsidP="00CF0650">
            <w:pPr>
              <w:rPr>
                <w:sz w:val="22"/>
                <w:szCs w:val="22"/>
              </w:rPr>
            </w:pPr>
            <w:r w:rsidRPr="00CF0650">
              <w:rPr>
                <w:sz w:val="22"/>
                <w:szCs w:val="22"/>
              </w:rPr>
              <w:t>N</w:t>
            </w:r>
          </w:p>
        </w:tc>
        <w:tc>
          <w:tcPr>
            <w:tcW w:w="0" w:type="auto"/>
            <w:vAlign w:val="center"/>
            <w:hideMark/>
          </w:tcPr>
          <w:p w14:paraId="3421E606" w14:textId="77777777" w:rsidR="00CF0650" w:rsidRPr="00CF0650" w:rsidRDefault="00CF0650" w:rsidP="00CF0650">
            <w:pPr>
              <w:rPr>
                <w:sz w:val="22"/>
                <w:szCs w:val="22"/>
              </w:rPr>
            </w:pPr>
            <w:r w:rsidRPr="00CF0650">
              <w:rPr>
                <w:sz w:val="22"/>
                <w:szCs w:val="22"/>
              </w:rPr>
              <w:t>East</w:t>
            </w:r>
          </w:p>
        </w:tc>
        <w:tc>
          <w:tcPr>
            <w:tcW w:w="0" w:type="auto"/>
            <w:vAlign w:val="center"/>
            <w:hideMark/>
          </w:tcPr>
          <w:p w14:paraId="13823B71" w14:textId="77777777" w:rsidR="00CF0650" w:rsidRPr="00CF0650" w:rsidRDefault="00CF0650" w:rsidP="00CF0650">
            <w:pPr>
              <w:rPr>
                <w:sz w:val="22"/>
                <w:szCs w:val="22"/>
              </w:rPr>
            </w:pPr>
          </w:p>
        </w:tc>
      </w:tr>
      <w:tr w:rsidR="00CF0650" w:rsidRPr="00CF0650" w14:paraId="45906FB5" w14:textId="77777777">
        <w:trPr>
          <w:tblCellSpacing w:w="15" w:type="dxa"/>
        </w:trPr>
        <w:tc>
          <w:tcPr>
            <w:tcW w:w="0" w:type="auto"/>
            <w:vAlign w:val="center"/>
            <w:hideMark/>
          </w:tcPr>
          <w:p w14:paraId="5541EAEA" w14:textId="77777777" w:rsidR="00CF0650" w:rsidRPr="00CF0650" w:rsidRDefault="00CF0650" w:rsidP="00CF0650">
            <w:pPr>
              <w:rPr>
                <w:sz w:val="22"/>
                <w:szCs w:val="22"/>
              </w:rPr>
            </w:pPr>
            <w:r w:rsidRPr="00CF0650">
              <w:rPr>
                <w:sz w:val="22"/>
                <w:szCs w:val="22"/>
              </w:rPr>
              <w:t>Underhill Sec</w:t>
            </w:r>
          </w:p>
        </w:tc>
        <w:tc>
          <w:tcPr>
            <w:tcW w:w="0" w:type="auto"/>
            <w:vAlign w:val="center"/>
            <w:hideMark/>
          </w:tcPr>
          <w:p w14:paraId="5CDDF769" w14:textId="77777777" w:rsidR="00CF0650" w:rsidRPr="00CF0650" w:rsidRDefault="00CF0650" w:rsidP="00CF0650">
            <w:pPr>
              <w:rPr>
                <w:sz w:val="22"/>
                <w:szCs w:val="22"/>
              </w:rPr>
            </w:pPr>
            <w:r w:rsidRPr="00CF0650">
              <w:rPr>
                <w:sz w:val="22"/>
                <w:szCs w:val="22"/>
              </w:rPr>
              <w:t>90.2%</w:t>
            </w:r>
          </w:p>
        </w:tc>
        <w:tc>
          <w:tcPr>
            <w:tcW w:w="0" w:type="auto"/>
            <w:vAlign w:val="center"/>
            <w:hideMark/>
          </w:tcPr>
          <w:p w14:paraId="4A696045" w14:textId="77777777" w:rsidR="00CF0650" w:rsidRPr="00CF0650" w:rsidRDefault="00CF0650" w:rsidP="00CF0650">
            <w:pPr>
              <w:rPr>
                <w:sz w:val="22"/>
                <w:szCs w:val="22"/>
              </w:rPr>
            </w:pPr>
            <w:r w:rsidRPr="00CF0650">
              <w:rPr>
                <w:sz w:val="22"/>
                <w:szCs w:val="22"/>
              </w:rPr>
              <w:t>Y</w:t>
            </w:r>
          </w:p>
        </w:tc>
        <w:tc>
          <w:tcPr>
            <w:tcW w:w="0" w:type="auto"/>
            <w:vAlign w:val="center"/>
            <w:hideMark/>
          </w:tcPr>
          <w:p w14:paraId="479F0AD6" w14:textId="77777777" w:rsidR="00CF0650" w:rsidRPr="00CF0650" w:rsidRDefault="00CF0650" w:rsidP="00CF0650">
            <w:pPr>
              <w:rPr>
                <w:sz w:val="22"/>
                <w:szCs w:val="22"/>
              </w:rPr>
            </w:pPr>
            <w:r w:rsidRPr="00CF0650">
              <w:rPr>
                <w:sz w:val="22"/>
                <w:szCs w:val="22"/>
              </w:rPr>
              <w:t>N</w:t>
            </w:r>
          </w:p>
        </w:tc>
        <w:tc>
          <w:tcPr>
            <w:tcW w:w="0" w:type="auto"/>
            <w:vAlign w:val="center"/>
            <w:hideMark/>
          </w:tcPr>
          <w:p w14:paraId="3B6F906E" w14:textId="77777777" w:rsidR="00CF0650" w:rsidRPr="00CF0650" w:rsidRDefault="00CF0650" w:rsidP="00CF0650">
            <w:pPr>
              <w:rPr>
                <w:sz w:val="22"/>
                <w:szCs w:val="22"/>
              </w:rPr>
            </w:pPr>
            <w:proofErr w:type="gramStart"/>
            <w:r w:rsidRPr="00CF0650">
              <w:rPr>
                <w:sz w:val="22"/>
                <w:szCs w:val="22"/>
              </w:rPr>
              <w:t>South West</w:t>
            </w:r>
            <w:proofErr w:type="gramEnd"/>
          </w:p>
        </w:tc>
        <w:tc>
          <w:tcPr>
            <w:tcW w:w="0" w:type="auto"/>
            <w:vAlign w:val="center"/>
            <w:hideMark/>
          </w:tcPr>
          <w:p w14:paraId="420499E3" w14:textId="77777777" w:rsidR="00CF0650" w:rsidRPr="00CF0650" w:rsidRDefault="00CF0650" w:rsidP="00CF0650">
            <w:pPr>
              <w:rPr>
                <w:sz w:val="22"/>
                <w:szCs w:val="22"/>
              </w:rPr>
            </w:pPr>
          </w:p>
        </w:tc>
      </w:tr>
      <w:tr w:rsidR="00CF0650" w:rsidRPr="00CF0650" w14:paraId="346E4892" w14:textId="77777777">
        <w:trPr>
          <w:tblCellSpacing w:w="15" w:type="dxa"/>
        </w:trPr>
        <w:tc>
          <w:tcPr>
            <w:tcW w:w="0" w:type="auto"/>
            <w:vAlign w:val="center"/>
            <w:hideMark/>
          </w:tcPr>
          <w:p w14:paraId="511A4F37" w14:textId="77777777" w:rsidR="00CF0650" w:rsidRPr="00CF0650" w:rsidRDefault="00CF0650" w:rsidP="00CF0650">
            <w:pPr>
              <w:rPr>
                <w:sz w:val="22"/>
                <w:szCs w:val="22"/>
              </w:rPr>
            </w:pPr>
            <w:r w:rsidRPr="00CF0650">
              <w:rPr>
                <w:sz w:val="22"/>
                <w:szCs w:val="22"/>
              </w:rPr>
              <w:t>Vale View</w:t>
            </w:r>
          </w:p>
        </w:tc>
        <w:tc>
          <w:tcPr>
            <w:tcW w:w="0" w:type="auto"/>
            <w:vAlign w:val="center"/>
            <w:hideMark/>
          </w:tcPr>
          <w:p w14:paraId="795DD05C" w14:textId="77777777" w:rsidR="00CF0650" w:rsidRPr="00CF0650" w:rsidRDefault="00CF0650" w:rsidP="00CF0650">
            <w:pPr>
              <w:rPr>
                <w:sz w:val="22"/>
                <w:szCs w:val="22"/>
              </w:rPr>
            </w:pPr>
            <w:r w:rsidRPr="00CF0650">
              <w:rPr>
                <w:sz w:val="22"/>
                <w:szCs w:val="22"/>
              </w:rPr>
              <w:t>95.8%</w:t>
            </w:r>
          </w:p>
        </w:tc>
        <w:tc>
          <w:tcPr>
            <w:tcW w:w="0" w:type="auto"/>
            <w:vAlign w:val="center"/>
            <w:hideMark/>
          </w:tcPr>
          <w:p w14:paraId="1F0F6265" w14:textId="77777777" w:rsidR="00CF0650" w:rsidRPr="00CF0650" w:rsidRDefault="00CF0650" w:rsidP="00CF0650">
            <w:pPr>
              <w:rPr>
                <w:sz w:val="22"/>
                <w:szCs w:val="22"/>
              </w:rPr>
            </w:pPr>
            <w:r w:rsidRPr="00CF0650">
              <w:rPr>
                <w:sz w:val="22"/>
                <w:szCs w:val="22"/>
              </w:rPr>
              <w:t>N</w:t>
            </w:r>
          </w:p>
        </w:tc>
        <w:tc>
          <w:tcPr>
            <w:tcW w:w="0" w:type="auto"/>
            <w:vAlign w:val="center"/>
            <w:hideMark/>
          </w:tcPr>
          <w:p w14:paraId="2C3E71AB" w14:textId="77777777" w:rsidR="00CF0650" w:rsidRPr="00CF0650" w:rsidRDefault="00CF0650" w:rsidP="00CF0650">
            <w:pPr>
              <w:rPr>
                <w:sz w:val="22"/>
                <w:szCs w:val="22"/>
              </w:rPr>
            </w:pPr>
            <w:r w:rsidRPr="00CF0650">
              <w:rPr>
                <w:sz w:val="22"/>
                <w:szCs w:val="22"/>
              </w:rPr>
              <w:t>N</w:t>
            </w:r>
          </w:p>
        </w:tc>
        <w:tc>
          <w:tcPr>
            <w:tcW w:w="0" w:type="auto"/>
            <w:vAlign w:val="center"/>
            <w:hideMark/>
          </w:tcPr>
          <w:p w14:paraId="729B70B4" w14:textId="77777777" w:rsidR="00CF0650" w:rsidRPr="00CF0650" w:rsidRDefault="00CF0650" w:rsidP="00CF0650">
            <w:pPr>
              <w:rPr>
                <w:sz w:val="22"/>
                <w:szCs w:val="22"/>
              </w:rPr>
            </w:pPr>
            <w:proofErr w:type="gramStart"/>
            <w:r w:rsidRPr="00CF0650">
              <w:rPr>
                <w:sz w:val="22"/>
                <w:szCs w:val="22"/>
              </w:rPr>
              <w:t>South East</w:t>
            </w:r>
            <w:proofErr w:type="gramEnd"/>
          </w:p>
        </w:tc>
        <w:tc>
          <w:tcPr>
            <w:tcW w:w="0" w:type="auto"/>
            <w:vAlign w:val="center"/>
            <w:hideMark/>
          </w:tcPr>
          <w:p w14:paraId="503FA373" w14:textId="77777777" w:rsidR="00CF0650" w:rsidRPr="00CF0650" w:rsidRDefault="00CF0650" w:rsidP="00CF0650">
            <w:pPr>
              <w:rPr>
                <w:sz w:val="22"/>
                <w:szCs w:val="22"/>
              </w:rPr>
            </w:pPr>
          </w:p>
        </w:tc>
      </w:tr>
      <w:tr w:rsidR="00CF0650" w:rsidRPr="00CF0650" w14:paraId="7EEB5EEC" w14:textId="77777777">
        <w:trPr>
          <w:tblCellSpacing w:w="15" w:type="dxa"/>
        </w:trPr>
        <w:tc>
          <w:tcPr>
            <w:tcW w:w="0" w:type="auto"/>
            <w:vAlign w:val="center"/>
            <w:hideMark/>
          </w:tcPr>
          <w:p w14:paraId="05E2E20F" w14:textId="77777777" w:rsidR="00CF0650" w:rsidRPr="00CF0650" w:rsidRDefault="00CF0650" w:rsidP="00CF0650">
            <w:pPr>
              <w:rPr>
                <w:sz w:val="22"/>
                <w:szCs w:val="22"/>
              </w:rPr>
            </w:pPr>
            <w:r w:rsidRPr="00CF0650">
              <w:rPr>
                <w:sz w:val="22"/>
                <w:szCs w:val="22"/>
              </w:rPr>
              <w:t>Westfield Int</w:t>
            </w:r>
          </w:p>
        </w:tc>
        <w:tc>
          <w:tcPr>
            <w:tcW w:w="0" w:type="auto"/>
            <w:vAlign w:val="center"/>
            <w:hideMark/>
          </w:tcPr>
          <w:p w14:paraId="6C0704D5" w14:textId="77777777" w:rsidR="00CF0650" w:rsidRPr="00CF0650" w:rsidRDefault="00CF0650" w:rsidP="00CF0650">
            <w:pPr>
              <w:rPr>
                <w:sz w:val="22"/>
                <w:szCs w:val="22"/>
              </w:rPr>
            </w:pPr>
            <w:r w:rsidRPr="00CF0650">
              <w:rPr>
                <w:sz w:val="22"/>
                <w:szCs w:val="22"/>
              </w:rPr>
              <w:t>92.6%</w:t>
            </w:r>
          </w:p>
        </w:tc>
        <w:tc>
          <w:tcPr>
            <w:tcW w:w="0" w:type="auto"/>
            <w:vAlign w:val="center"/>
            <w:hideMark/>
          </w:tcPr>
          <w:p w14:paraId="64513FBC" w14:textId="77777777" w:rsidR="00CF0650" w:rsidRPr="00CF0650" w:rsidRDefault="00CF0650" w:rsidP="00CF0650">
            <w:pPr>
              <w:rPr>
                <w:sz w:val="22"/>
                <w:szCs w:val="22"/>
              </w:rPr>
            </w:pPr>
            <w:r w:rsidRPr="00CF0650">
              <w:rPr>
                <w:sz w:val="22"/>
                <w:szCs w:val="22"/>
              </w:rPr>
              <w:t>Y</w:t>
            </w:r>
          </w:p>
        </w:tc>
        <w:tc>
          <w:tcPr>
            <w:tcW w:w="0" w:type="auto"/>
            <w:vAlign w:val="center"/>
            <w:hideMark/>
          </w:tcPr>
          <w:p w14:paraId="1C06FFEB" w14:textId="77777777" w:rsidR="00CF0650" w:rsidRPr="00CF0650" w:rsidRDefault="00CF0650" w:rsidP="00CF0650">
            <w:pPr>
              <w:rPr>
                <w:sz w:val="22"/>
                <w:szCs w:val="22"/>
              </w:rPr>
            </w:pPr>
            <w:r w:rsidRPr="00CF0650">
              <w:rPr>
                <w:sz w:val="22"/>
                <w:szCs w:val="22"/>
              </w:rPr>
              <w:t>Y</w:t>
            </w:r>
          </w:p>
        </w:tc>
        <w:tc>
          <w:tcPr>
            <w:tcW w:w="0" w:type="auto"/>
            <w:vAlign w:val="center"/>
            <w:hideMark/>
          </w:tcPr>
          <w:p w14:paraId="53948E12"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051B2F1F" w14:textId="77777777" w:rsidR="00CF0650" w:rsidRPr="00CF0650" w:rsidRDefault="00CF0650" w:rsidP="00CF0650">
            <w:pPr>
              <w:rPr>
                <w:sz w:val="22"/>
                <w:szCs w:val="22"/>
              </w:rPr>
            </w:pPr>
          </w:p>
        </w:tc>
      </w:tr>
      <w:tr w:rsidR="00CF0650" w:rsidRPr="00CF0650" w14:paraId="31ED17F7" w14:textId="77777777">
        <w:trPr>
          <w:tblCellSpacing w:w="15" w:type="dxa"/>
        </w:trPr>
        <w:tc>
          <w:tcPr>
            <w:tcW w:w="0" w:type="auto"/>
            <w:vAlign w:val="center"/>
            <w:hideMark/>
          </w:tcPr>
          <w:p w14:paraId="26A57973" w14:textId="77777777" w:rsidR="00CF0650" w:rsidRPr="00CF0650" w:rsidRDefault="00CF0650" w:rsidP="00CF0650">
            <w:pPr>
              <w:rPr>
                <w:sz w:val="22"/>
                <w:szCs w:val="22"/>
              </w:rPr>
            </w:pPr>
            <w:r w:rsidRPr="00CF0650">
              <w:rPr>
                <w:sz w:val="22"/>
                <w:szCs w:val="22"/>
              </w:rPr>
              <w:t>Yardley High</w:t>
            </w:r>
          </w:p>
        </w:tc>
        <w:tc>
          <w:tcPr>
            <w:tcW w:w="0" w:type="auto"/>
            <w:vAlign w:val="center"/>
            <w:hideMark/>
          </w:tcPr>
          <w:p w14:paraId="3530F20A" w14:textId="77777777" w:rsidR="00CF0650" w:rsidRPr="00CF0650" w:rsidRDefault="00CF0650" w:rsidP="00CF0650">
            <w:pPr>
              <w:rPr>
                <w:sz w:val="22"/>
                <w:szCs w:val="22"/>
              </w:rPr>
            </w:pPr>
            <w:r w:rsidRPr="00CF0650">
              <w:rPr>
                <w:sz w:val="22"/>
                <w:szCs w:val="22"/>
              </w:rPr>
              <w:t>88.4%</w:t>
            </w:r>
          </w:p>
        </w:tc>
        <w:tc>
          <w:tcPr>
            <w:tcW w:w="0" w:type="auto"/>
            <w:vAlign w:val="center"/>
            <w:hideMark/>
          </w:tcPr>
          <w:p w14:paraId="31C24B7E" w14:textId="77777777" w:rsidR="00CF0650" w:rsidRPr="00CF0650" w:rsidRDefault="00CF0650" w:rsidP="00CF0650">
            <w:pPr>
              <w:rPr>
                <w:sz w:val="22"/>
                <w:szCs w:val="22"/>
              </w:rPr>
            </w:pPr>
            <w:r w:rsidRPr="00CF0650">
              <w:rPr>
                <w:sz w:val="22"/>
                <w:szCs w:val="22"/>
              </w:rPr>
              <w:t>Y</w:t>
            </w:r>
          </w:p>
        </w:tc>
        <w:tc>
          <w:tcPr>
            <w:tcW w:w="0" w:type="auto"/>
            <w:vAlign w:val="center"/>
            <w:hideMark/>
          </w:tcPr>
          <w:p w14:paraId="05D6DCCB" w14:textId="77777777" w:rsidR="00CF0650" w:rsidRPr="00CF0650" w:rsidRDefault="00CF0650" w:rsidP="00CF0650">
            <w:pPr>
              <w:rPr>
                <w:sz w:val="22"/>
                <w:szCs w:val="22"/>
              </w:rPr>
            </w:pPr>
            <w:r w:rsidRPr="00CF0650">
              <w:rPr>
                <w:sz w:val="22"/>
                <w:szCs w:val="22"/>
              </w:rPr>
              <w:t>Y</w:t>
            </w:r>
          </w:p>
        </w:tc>
        <w:tc>
          <w:tcPr>
            <w:tcW w:w="0" w:type="auto"/>
            <w:vAlign w:val="center"/>
            <w:hideMark/>
          </w:tcPr>
          <w:p w14:paraId="1EE11E2E" w14:textId="77777777" w:rsidR="00CF0650" w:rsidRPr="00CF0650" w:rsidRDefault="00CF0650" w:rsidP="00CF0650">
            <w:pPr>
              <w:rPr>
                <w:sz w:val="22"/>
                <w:szCs w:val="22"/>
              </w:rPr>
            </w:pPr>
            <w:r w:rsidRPr="00CF0650">
              <w:rPr>
                <w:sz w:val="22"/>
                <w:szCs w:val="22"/>
              </w:rPr>
              <w:t>London</w:t>
            </w:r>
          </w:p>
        </w:tc>
        <w:tc>
          <w:tcPr>
            <w:tcW w:w="0" w:type="auto"/>
            <w:vAlign w:val="center"/>
            <w:hideMark/>
          </w:tcPr>
          <w:p w14:paraId="3D4F9AA9" w14:textId="77777777" w:rsidR="00CF0650" w:rsidRPr="00CF0650" w:rsidRDefault="00CF0650" w:rsidP="00CF0650">
            <w:pPr>
              <w:rPr>
                <w:sz w:val="22"/>
                <w:szCs w:val="22"/>
              </w:rPr>
            </w:pPr>
          </w:p>
        </w:tc>
      </w:tr>
      <w:tr w:rsidR="00CF0650" w:rsidRPr="00CF0650" w14:paraId="68199BA8" w14:textId="77777777">
        <w:trPr>
          <w:tblCellSpacing w:w="15" w:type="dxa"/>
        </w:trPr>
        <w:tc>
          <w:tcPr>
            <w:tcW w:w="0" w:type="auto"/>
            <w:vAlign w:val="center"/>
            <w:hideMark/>
          </w:tcPr>
          <w:p w14:paraId="6FBD3F03" w14:textId="77777777" w:rsidR="00CF0650" w:rsidRPr="00CF0650" w:rsidRDefault="00CF0650" w:rsidP="00CF0650">
            <w:pPr>
              <w:rPr>
                <w:sz w:val="22"/>
                <w:szCs w:val="22"/>
              </w:rPr>
            </w:pPr>
            <w:r w:rsidRPr="00CF0650">
              <w:rPr>
                <w:sz w:val="22"/>
                <w:szCs w:val="22"/>
              </w:rPr>
              <w:t>Zion Academy</w:t>
            </w:r>
          </w:p>
        </w:tc>
        <w:tc>
          <w:tcPr>
            <w:tcW w:w="0" w:type="auto"/>
            <w:vAlign w:val="center"/>
            <w:hideMark/>
          </w:tcPr>
          <w:p w14:paraId="4A273F97" w14:textId="77777777" w:rsidR="00CF0650" w:rsidRPr="00CF0650" w:rsidRDefault="00CF0650" w:rsidP="00CF0650">
            <w:pPr>
              <w:rPr>
                <w:sz w:val="22"/>
                <w:szCs w:val="22"/>
              </w:rPr>
            </w:pPr>
            <w:r w:rsidRPr="00CF0650">
              <w:rPr>
                <w:sz w:val="22"/>
                <w:szCs w:val="22"/>
              </w:rPr>
              <w:t>94.5%</w:t>
            </w:r>
          </w:p>
        </w:tc>
        <w:tc>
          <w:tcPr>
            <w:tcW w:w="0" w:type="auto"/>
            <w:vAlign w:val="center"/>
            <w:hideMark/>
          </w:tcPr>
          <w:p w14:paraId="5EBF541A" w14:textId="77777777" w:rsidR="00CF0650" w:rsidRPr="00CF0650" w:rsidRDefault="00CF0650" w:rsidP="00CF0650">
            <w:pPr>
              <w:rPr>
                <w:sz w:val="22"/>
                <w:szCs w:val="22"/>
              </w:rPr>
            </w:pPr>
            <w:r w:rsidRPr="00CF0650">
              <w:rPr>
                <w:sz w:val="22"/>
                <w:szCs w:val="22"/>
              </w:rPr>
              <w:t>N</w:t>
            </w:r>
          </w:p>
        </w:tc>
        <w:tc>
          <w:tcPr>
            <w:tcW w:w="0" w:type="auto"/>
            <w:vAlign w:val="center"/>
            <w:hideMark/>
          </w:tcPr>
          <w:p w14:paraId="6D0A57E3" w14:textId="77777777" w:rsidR="00CF0650" w:rsidRPr="00CF0650" w:rsidRDefault="00CF0650" w:rsidP="00CF0650">
            <w:pPr>
              <w:rPr>
                <w:sz w:val="22"/>
                <w:szCs w:val="22"/>
              </w:rPr>
            </w:pPr>
            <w:r w:rsidRPr="00CF0650">
              <w:rPr>
                <w:sz w:val="22"/>
                <w:szCs w:val="22"/>
              </w:rPr>
              <w:t>N</w:t>
            </w:r>
          </w:p>
        </w:tc>
        <w:tc>
          <w:tcPr>
            <w:tcW w:w="0" w:type="auto"/>
            <w:vAlign w:val="center"/>
            <w:hideMark/>
          </w:tcPr>
          <w:p w14:paraId="40DA95A1" w14:textId="77777777" w:rsidR="00CF0650" w:rsidRPr="00CF0650" w:rsidRDefault="00CF0650" w:rsidP="00CF0650">
            <w:pPr>
              <w:rPr>
                <w:sz w:val="22"/>
                <w:szCs w:val="22"/>
              </w:rPr>
            </w:pPr>
            <w:r w:rsidRPr="00CF0650">
              <w:rPr>
                <w:sz w:val="22"/>
                <w:szCs w:val="22"/>
              </w:rPr>
              <w:t>Midlands</w:t>
            </w:r>
          </w:p>
        </w:tc>
        <w:tc>
          <w:tcPr>
            <w:tcW w:w="0" w:type="auto"/>
            <w:vAlign w:val="center"/>
            <w:hideMark/>
          </w:tcPr>
          <w:p w14:paraId="1CAB0633" w14:textId="77777777" w:rsidR="00CF0650" w:rsidRPr="00CF0650" w:rsidRDefault="00CF0650" w:rsidP="00CF0650">
            <w:pPr>
              <w:rPr>
                <w:sz w:val="22"/>
                <w:szCs w:val="22"/>
              </w:rPr>
            </w:pPr>
          </w:p>
        </w:tc>
      </w:tr>
      <w:tr w:rsidR="00CF0650" w:rsidRPr="00CF0650" w14:paraId="2A94B144" w14:textId="77777777">
        <w:trPr>
          <w:tblCellSpacing w:w="15" w:type="dxa"/>
        </w:trPr>
        <w:tc>
          <w:tcPr>
            <w:tcW w:w="0" w:type="auto"/>
            <w:vAlign w:val="center"/>
            <w:hideMark/>
          </w:tcPr>
          <w:p w14:paraId="397560A9" w14:textId="77777777" w:rsidR="00CF0650" w:rsidRPr="00CF0650" w:rsidRDefault="00CF0650" w:rsidP="00CF0650">
            <w:pPr>
              <w:rPr>
                <w:sz w:val="22"/>
                <w:szCs w:val="22"/>
              </w:rPr>
            </w:pPr>
            <w:r w:rsidRPr="00CF0650">
              <w:rPr>
                <w:sz w:val="22"/>
                <w:szCs w:val="22"/>
              </w:rPr>
              <w:t>All Saints Sec</w:t>
            </w:r>
          </w:p>
        </w:tc>
        <w:tc>
          <w:tcPr>
            <w:tcW w:w="0" w:type="auto"/>
            <w:vAlign w:val="center"/>
            <w:hideMark/>
          </w:tcPr>
          <w:p w14:paraId="670A0B0F" w14:textId="77777777" w:rsidR="00CF0650" w:rsidRPr="00CF0650" w:rsidRDefault="00CF0650" w:rsidP="00CF0650">
            <w:pPr>
              <w:rPr>
                <w:sz w:val="22"/>
                <w:szCs w:val="22"/>
              </w:rPr>
            </w:pPr>
            <w:r w:rsidRPr="00CF0650">
              <w:rPr>
                <w:sz w:val="22"/>
                <w:szCs w:val="22"/>
              </w:rPr>
              <w:t>91.1%</w:t>
            </w:r>
          </w:p>
        </w:tc>
        <w:tc>
          <w:tcPr>
            <w:tcW w:w="0" w:type="auto"/>
            <w:vAlign w:val="center"/>
            <w:hideMark/>
          </w:tcPr>
          <w:p w14:paraId="07572C39" w14:textId="77777777" w:rsidR="00CF0650" w:rsidRPr="00CF0650" w:rsidRDefault="00CF0650" w:rsidP="00CF0650">
            <w:pPr>
              <w:rPr>
                <w:sz w:val="22"/>
                <w:szCs w:val="22"/>
              </w:rPr>
            </w:pPr>
            <w:r w:rsidRPr="00CF0650">
              <w:rPr>
                <w:sz w:val="22"/>
                <w:szCs w:val="22"/>
              </w:rPr>
              <w:t>Y</w:t>
            </w:r>
          </w:p>
        </w:tc>
        <w:tc>
          <w:tcPr>
            <w:tcW w:w="0" w:type="auto"/>
            <w:vAlign w:val="center"/>
            <w:hideMark/>
          </w:tcPr>
          <w:p w14:paraId="36483E28" w14:textId="77777777" w:rsidR="00CF0650" w:rsidRPr="00CF0650" w:rsidRDefault="00CF0650" w:rsidP="00CF0650">
            <w:pPr>
              <w:rPr>
                <w:sz w:val="22"/>
                <w:szCs w:val="22"/>
              </w:rPr>
            </w:pPr>
            <w:r w:rsidRPr="00CF0650">
              <w:rPr>
                <w:sz w:val="22"/>
                <w:szCs w:val="22"/>
              </w:rPr>
              <w:t>N</w:t>
            </w:r>
          </w:p>
        </w:tc>
        <w:tc>
          <w:tcPr>
            <w:tcW w:w="0" w:type="auto"/>
            <w:vAlign w:val="center"/>
            <w:hideMark/>
          </w:tcPr>
          <w:p w14:paraId="0C8547E5" w14:textId="77777777" w:rsidR="00CF0650" w:rsidRPr="00CF0650" w:rsidRDefault="00CF0650" w:rsidP="00CF0650">
            <w:pPr>
              <w:rPr>
                <w:sz w:val="22"/>
                <w:szCs w:val="22"/>
              </w:rPr>
            </w:pPr>
            <w:r w:rsidRPr="00CF0650">
              <w:rPr>
                <w:sz w:val="22"/>
                <w:szCs w:val="22"/>
              </w:rPr>
              <w:t>East</w:t>
            </w:r>
          </w:p>
        </w:tc>
        <w:tc>
          <w:tcPr>
            <w:tcW w:w="0" w:type="auto"/>
            <w:vAlign w:val="center"/>
            <w:hideMark/>
          </w:tcPr>
          <w:p w14:paraId="7023DAFB" w14:textId="77777777" w:rsidR="00CF0650" w:rsidRPr="00CF0650" w:rsidRDefault="00CF0650" w:rsidP="00CF0650">
            <w:pPr>
              <w:rPr>
                <w:sz w:val="22"/>
                <w:szCs w:val="22"/>
              </w:rPr>
            </w:pPr>
          </w:p>
        </w:tc>
      </w:tr>
      <w:tr w:rsidR="00CF0650" w:rsidRPr="00CF0650" w14:paraId="6D1BF297" w14:textId="77777777">
        <w:trPr>
          <w:tblCellSpacing w:w="15" w:type="dxa"/>
        </w:trPr>
        <w:tc>
          <w:tcPr>
            <w:tcW w:w="0" w:type="auto"/>
            <w:vAlign w:val="center"/>
            <w:hideMark/>
          </w:tcPr>
          <w:p w14:paraId="25614EB4" w14:textId="77777777" w:rsidR="00CF0650" w:rsidRPr="00CF0650" w:rsidRDefault="00CF0650" w:rsidP="00CF0650">
            <w:pPr>
              <w:rPr>
                <w:sz w:val="22"/>
                <w:szCs w:val="22"/>
              </w:rPr>
            </w:pPr>
            <w:proofErr w:type="spellStart"/>
            <w:r w:rsidRPr="00CF0650">
              <w:rPr>
                <w:sz w:val="22"/>
                <w:szCs w:val="22"/>
              </w:rPr>
              <w:t>Bridgefield</w:t>
            </w:r>
            <w:proofErr w:type="spellEnd"/>
            <w:r w:rsidRPr="00CF0650">
              <w:rPr>
                <w:sz w:val="22"/>
                <w:szCs w:val="22"/>
              </w:rPr>
              <w:t xml:space="preserve"> </w:t>
            </w:r>
            <w:proofErr w:type="spellStart"/>
            <w:r w:rsidRPr="00CF0650">
              <w:rPr>
                <w:sz w:val="22"/>
                <w:szCs w:val="22"/>
              </w:rPr>
              <w:t>Acad</w:t>
            </w:r>
            <w:proofErr w:type="spellEnd"/>
          </w:p>
        </w:tc>
        <w:tc>
          <w:tcPr>
            <w:tcW w:w="0" w:type="auto"/>
            <w:vAlign w:val="center"/>
            <w:hideMark/>
          </w:tcPr>
          <w:p w14:paraId="2115106E" w14:textId="77777777" w:rsidR="00CF0650" w:rsidRPr="00CF0650" w:rsidRDefault="00CF0650" w:rsidP="00CF0650">
            <w:pPr>
              <w:rPr>
                <w:sz w:val="22"/>
                <w:szCs w:val="22"/>
              </w:rPr>
            </w:pPr>
            <w:r w:rsidRPr="00CF0650">
              <w:rPr>
                <w:sz w:val="22"/>
                <w:szCs w:val="22"/>
              </w:rPr>
              <w:t>93.0%</w:t>
            </w:r>
          </w:p>
        </w:tc>
        <w:tc>
          <w:tcPr>
            <w:tcW w:w="0" w:type="auto"/>
            <w:vAlign w:val="center"/>
            <w:hideMark/>
          </w:tcPr>
          <w:p w14:paraId="402418EA" w14:textId="77777777" w:rsidR="00CF0650" w:rsidRPr="00CF0650" w:rsidRDefault="00CF0650" w:rsidP="00CF0650">
            <w:pPr>
              <w:rPr>
                <w:sz w:val="22"/>
                <w:szCs w:val="22"/>
              </w:rPr>
            </w:pPr>
            <w:r w:rsidRPr="00CF0650">
              <w:rPr>
                <w:sz w:val="22"/>
                <w:szCs w:val="22"/>
              </w:rPr>
              <w:t>N</w:t>
            </w:r>
          </w:p>
        </w:tc>
        <w:tc>
          <w:tcPr>
            <w:tcW w:w="0" w:type="auto"/>
            <w:vAlign w:val="center"/>
            <w:hideMark/>
          </w:tcPr>
          <w:p w14:paraId="43DC9163" w14:textId="77777777" w:rsidR="00CF0650" w:rsidRPr="00CF0650" w:rsidRDefault="00CF0650" w:rsidP="00CF0650">
            <w:pPr>
              <w:rPr>
                <w:sz w:val="22"/>
                <w:szCs w:val="22"/>
              </w:rPr>
            </w:pPr>
            <w:r w:rsidRPr="00CF0650">
              <w:rPr>
                <w:sz w:val="22"/>
                <w:szCs w:val="22"/>
              </w:rPr>
              <w:t>Y</w:t>
            </w:r>
          </w:p>
        </w:tc>
        <w:tc>
          <w:tcPr>
            <w:tcW w:w="0" w:type="auto"/>
            <w:vAlign w:val="center"/>
            <w:hideMark/>
          </w:tcPr>
          <w:p w14:paraId="7FC26EA2" w14:textId="77777777" w:rsidR="00CF0650" w:rsidRPr="00CF0650" w:rsidRDefault="00CF0650" w:rsidP="00CF0650">
            <w:pPr>
              <w:rPr>
                <w:sz w:val="22"/>
                <w:szCs w:val="22"/>
              </w:rPr>
            </w:pPr>
            <w:proofErr w:type="gramStart"/>
            <w:r w:rsidRPr="00CF0650">
              <w:rPr>
                <w:sz w:val="22"/>
                <w:szCs w:val="22"/>
              </w:rPr>
              <w:t>North East</w:t>
            </w:r>
            <w:proofErr w:type="gramEnd"/>
          </w:p>
        </w:tc>
        <w:tc>
          <w:tcPr>
            <w:tcW w:w="0" w:type="auto"/>
            <w:vAlign w:val="center"/>
            <w:hideMark/>
          </w:tcPr>
          <w:p w14:paraId="611B3DBA" w14:textId="77777777" w:rsidR="00CF0650" w:rsidRPr="00CF0650" w:rsidRDefault="00CF0650" w:rsidP="00CF0650">
            <w:pPr>
              <w:rPr>
                <w:sz w:val="22"/>
                <w:szCs w:val="22"/>
              </w:rPr>
            </w:pPr>
          </w:p>
        </w:tc>
      </w:tr>
      <w:tr w:rsidR="00CF0650" w:rsidRPr="00CF0650" w14:paraId="539E9439" w14:textId="77777777">
        <w:trPr>
          <w:tblCellSpacing w:w="15" w:type="dxa"/>
        </w:trPr>
        <w:tc>
          <w:tcPr>
            <w:tcW w:w="0" w:type="auto"/>
            <w:vAlign w:val="center"/>
            <w:hideMark/>
          </w:tcPr>
          <w:p w14:paraId="64368BE1" w14:textId="77777777" w:rsidR="00CF0650" w:rsidRPr="00CF0650" w:rsidRDefault="00CF0650" w:rsidP="00CF0650">
            <w:pPr>
              <w:rPr>
                <w:sz w:val="22"/>
                <w:szCs w:val="22"/>
              </w:rPr>
            </w:pPr>
            <w:r w:rsidRPr="00CF0650">
              <w:rPr>
                <w:sz w:val="22"/>
                <w:szCs w:val="22"/>
              </w:rPr>
              <w:t>Cedar Ridge</w:t>
            </w:r>
          </w:p>
        </w:tc>
        <w:tc>
          <w:tcPr>
            <w:tcW w:w="0" w:type="auto"/>
            <w:vAlign w:val="center"/>
            <w:hideMark/>
          </w:tcPr>
          <w:p w14:paraId="1BA12EDA" w14:textId="77777777" w:rsidR="00CF0650" w:rsidRPr="00CF0650" w:rsidRDefault="00CF0650" w:rsidP="00CF0650">
            <w:pPr>
              <w:rPr>
                <w:sz w:val="22"/>
                <w:szCs w:val="22"/>
              </w:rPr>
            </w:pPr>
            <w:r w:rsidRPr="00CF0650">
              <w:rPr>
                <w:sz w:val="22"/>
                <w:szCs w:val="22"/>
              </w:rPr>
              <w:t>96.2%</w:t>
            </w:r>
          </w:p>
        </w:tc>
        <w:tc>
          <w:tcPr>
            <w:tcW w:w="0" w:type="auto"/>
            <w:vAlign w:val="center"/>
            <w:hideMark/>
          </w:tcPr>
          <w:p w14:paraId="118F1B31" w14:textId="77777777" w:rsidR="00CF0650" w:rsidRPr="00CF0650" w:rsidRDefault="00CF0650" w:rsidP="00CF0650">
            <w:pPr>
              <w:rPr>
                <w:sz w:val="22"/>
                <w:szCs w:val="22"/>
              </w:rPr>
            </w:pPr>
            <w:r w:rsidRPr="00CF0650">
              <w:rPr>
                <w:sz w:val="22"/>
                <w:szCs w:val="22"/>
              </w:rPr>
              <w:t>N</w:t>
            </w:r>
          </w:p>
        </w:tc>
        <w:tc>
          <w:tcPr>
            <w:tcW w:w="0" w:type="auto"/>
            <w:vAlign w:val="center"/>
            <w:hideMark/>
          </w:tcPr>
          <w:p w14:paraId="3A12F0E8" w14:textId="77777777" w:rsidR="00CF0650" w:rsidRPr="00CF0650" w:rsidRDefault="00CF0650" w:rsidP="00CF0650">
            <w:pPr>
              <w:rPr>
                <w:sz w:val="22"/>
                <w:szCs w:val="22"/>
              </w:rPr>
            </w:pPr>
            <w:r w:rsidRPr="00CF0650">
              <w:rPr>
                <w:sz w:val="22"/>
                <w:szCs w:val="22"/>
              </w:rPr>
              <w:t>N</w:t>
            </w:r>
          </w:p>
        </w:tc>
        <w:tc>
          <w:tcPr>
            <w:tcW w:w="0" w:type="auto"/>
            <w:vAlign w:val="center"/>
            <w:hideMark/>
          </w:tcPr>
          <w:p w14:paraId="03B0C06A" w14:textId="77777777" w:rsidR="00CF0650" w:rsidRPr="00CF0650" w:rsidRDefault="00CF0650" w:rsidP="00CF0650">
            <w:pPr>
              <w:rPr>
                <w:sz w:val="22"/>
                <w:szCs w:val="22"/>
              </w:rPr>
            </w:pPr>
            <w:proofErr w:type="gramStart"/>
            <w:r w:rsidRPr="00CF0650">
              <w:rPr>
                <w:sz w:val="22"/>
                <w:szCs w:val="22"/>
              </w:rPr>
              <w:t>South West</w:t>
            </w:r>
            <w:proofErr w:type="gramEnd"/>
          </w:p>
        </w:tc>
        <w:tc>
          <w:tcPr>
            <w:tcW w:w="0" w:type="auto"/>
            <w:vAlign w:val="center"/>
            <w:hideMark/>
          </w:tcPr>
          <w:p w14:paraId="2ED2449A" w14:textId="77777777" w:rsidR="00CF0650" w:rsidRPr="00CF0650" w:rsidRDefault="00CF0650" w:rsidP="00CF0650">
            <w:pPr>
              <w:rPr>
                <w:sz w:val="22"/>
                <w:szCs w:val="22"/>
              </w:rPr>
            </w:pPr>
          </w:p>
        </w:tc>
      </w:tr>
      <w:tr w:rsidR="00CF0650" w:rsidRPr="00CF0650" w14:paraId="2D4E16AF" w14:textId="77777777">
        <w:trPr>
          <w:tblCellSpacing w:w="15" w:type="dxa"/>
        </w:trPr>
        <w:tc>
          <w:tcPr>
            <w:tcW w:w="0" w:type="auto"/>
            <w:vAlign w:val="center"/>
            <w:hideMark/>
          </w:tcPr>
          <w:p w14:paraId="05A9251A" w14:textId="77777777" w:rsidR="00CF0650" w:rsidRPr="00CF0650" w:rsidRDefault="00CF0650" w:rsidP="00CF0650">
            <w:pPr>
              <w:rPr>
                <w:sz w:val="22"/>
                <w:szCs w:val="22"/>
              </w:rPr>
            </w:pPr>
            <w:r w:rsidRPr="00CF0650">
              <w:rPr>
                <w:sz w:val="22"/>
                <w:szCs w:val="22"/>
              </w:rPr>
              <w:t>Dale End Tech</w:t>
            </w:r>
          </w:p>
        </w:tc>
        <w:tc>
          <w:tcPr>
            <w:tcW w:w="0" w:type="auto"/>
            <w:vAlign w:val="center"/>
            <w:hideMark/>
          </w:tcPr>
          <w:p w14:paraId="45011A7B" w14:textId="77777777" w:rsidR="00CF0650" w:rsidRPr="00CF0650" w:rsidRDefault="00CF0650" w:rsidP="00CF0650">
            <w:pPr>
              <w:rPr>
                <w:sz w:val="22"/>
                <w:szCs w:val="22"/>
              </w:rPr>
            </w:pPr>
            <w:r w:rsidRPr="00CF0650">
              <w:rPr>
                <w:sz w:val="22"/>
                <w:szCs w:val="22"/>
              </w:rPr>
              <w:t>89.1%</w:t>
            </w:r>
          </w:p>
        </w:tc>
        <w:tc>
          <w:tcPr>
            <w:tcW w:w="0" w:type="auto"/>
            <w:vAlign w:val="center"/>
            <w:hideMark/>
          </w:tcPr>
          <w:p w14:paraId="5661B7D3" w14:textId="77777777" w:rsidR="00CF0650" w:rsidRPr="00CF0650" w:rsidRDefault="00CF0650" w:rsidP="00CF0650">
            <w:pPr>
              <w:rPr>
                <w:sz w:val="22"/>
                <w:szCs w:val="22"/>
              </w:rPr>
            </w:pPr>
            <w:r w:rsidRPr="00CF0650">
              <w:rPr>
                <w:sz w:val="22"/>
                <w:szCs w:val="22"/>
              </w:rPr>
              <w:t>Y</w:t>
            </w:r>
          </w:p>
        </w:tc>
        <w:tc>
          <w:tcPr>
            <w:tcW w:w="0" w:type="auto"/>
            <w:vAlign w:val="center"/>
            <w:hideMark/>
          </w:tcPr>
          <w:p w14:paraId="7DD5FD01" w14:textId="77777777" w:rsidR="00CF0650" w:rsidRPr="00CF0650" w:rsidRDefault="00CF0650" w:rsidP="00CF0650">
            <w:pPr>
              <w:rPr>
                <w:sz w:val="22"/>
                <w:szCs w:val="22"/>
              </w:rPr>
            </w:pPr>
            <w:r w:rsidRPr="00CF0650">
              <w:rPr>
                <w:sz w:val="22"/>
                <w:szCs w:val="22"/>
              </w:rPr>
              <w:t>Y</w:t>
            </w:r>
          </w:p>
        </w:tc>
        <w:tc>
          <w:tcPr>
            <w:tcW w:w="0" w:type="auto"/>
            <w:vAlign w:val="center"/>
            <w:hideMark/>
          </w:tcPr>
          <w:p w14:paraId="15580A06"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6D8548FD" w14:textId="77777777" w:rsidR="00CF0650" w:rsidRPr="00CF0650" w:rsidRDefault="00CF0650" w:rsidP="00CF0650">
            <w:pPr>
              <w:rPr>
                <w:sz w:val="22"/>
                <w:szCs w:val="22"/>
              </w:rPr>
            </w:pPr>
          </w:p>
        </w:tc>
      </w:tr>
      <w:tr w:rsidR="00CF0650" w:rsidRPr="00CF0650" w14:paraId="3F2AD118" w14:textId="77777777">
        <w:trPr>
          <w:tblCellSpacing w:w="15" w:type="dxa"/>
        </w:trPr>
        <w:tc>
          <w:tcPr>
            <w:tcW w:w="0" w:type="auto"/>
            <w:vAlign w:val="center"/>
            <w:hideMark/>
          </w:tcPr>
          <w:p w14:paraId="27C90C52" w14:textId="77777777" w:rsidR="00CF0650" w:rsidRPr="00CF0650" w:rsidRDefault="00CF0650" w:rsidP="00CF0650">
            <w:pPr>
              <w:rPr>
                <w:sz w:val="22"/>
                <w:szCs w:val="22"/>
              </w:rPr>
            </w:pPr>
            <w:r w:rsidRPr="00CF0650">
              <w:rPr>
                <w:sz w:val="22"/>
                <w:szCs w:val="22"/>
              </w:rPr>
              <w:t>Eastbury High</w:t>
            </w:r>
          </w:p>
        </w:tc>
        <w:tc>
          <w:tcPr>
            <w:tcW w:w="0" w:type="auto"/>
            <w:vAlign w:val="center"/>
            <w:hideMark/>
          </w:tcPr>
          <w:p w14:paraId="66EA69F9" w14:textId="77777777" w:rsidR="00CF0650" w:rsidRPr="00CF0650" w:rsidRDefault="00CF0650" w:rsidP="00CF0650">
            <w:pPr>
              <w:rPr>
                <w:sz w:val="22"/>
                <w:szCs w:val="22"/>
              </w:rPr>
            </w:pPr>
            <w:r w:rsidRPr="00CF0650">
              <w:rPr>
                <w:sz w:val="22"/>
                <w:szCs w:val="22"/>
              </w:rPr>
              <w:t>94.9%</w:t>
            </w:r>
          </w:p>
        </w:tc>
        <w:tc>
          <w:tcPr>
            <w:tcW w:w="0" w:type="auto"/>
            <w:vAlign w:val="center"/>
            <w:hideMark/>
          </w:tcPr>
          <w:p w14:paraId="49F05A89" w14:textId="77777777" w:rsidR="00CF0650" w:rsidRPr="00CF0650" w:rsidRDefault="00CF0650" w:rsidP="00CF0650">
            <w:pPr>
              <w:rPr>
                <w:sz w:val="22"/>
                <w:szCs w:val="22"/>
              </w:rPr>
            </w:pPr>
            <w:r w:rsidRPr="00CF0650">
              <w:rPr>
                <w:sz w:val="22"/>
                <w:szCs w:val="22"/>
              </w:rPr>
              <w:t>N</w:t>
            </w:r>
          </w:p>
        </w:tc>
        <w:tc>
          <w:tcPr>
            <w:tcW w:w="0" w:type="auto"/>
            <w:vAlign w:val="center"/>
            <w:hideMark/>
          </w:tcPr>
          <w:p w14:paraId="24CE14E2" w14:textId="77777777" w:rsidR="00CF0650" w:rsidRPr="00CF0650" w:rsidRDefault="00CF0650" w:rsidP="00CF0650">
            <w:pPr>
              <w:rPr>
                <w:sz w:val="22"/>
                <w:szCs w:val="22"/>
              </w:rPr>
            </w:pPr>
            <w:r w:rsidRPr="00CF0650">
              <w:rPr>
                <w:sz w:val="22"/>
                <w:szCs w:val="22"/>
              </w:rPr>
              <w:t>N</w:t>
            </w:r>
          </w:p>
        </w:tc>
        <w:tc>
          <w:tcPr>
            <w:tcW w:w="0" w:type="auto"/>
            <w:vAlign w:val="center"/>
            <w:hideMark/>
          </w:tcPr>
          <w:p w14:paraId="1103F726" w14:textId="77777777" w:rsidR="00CF0650" w:rsidRPr="00CF0650" w:rsidRDefault="00CF0650" w:rsidP="00CF0650">
            <w:pPr>
              <w:rPr>
                <w:sz w:val="22"/>
                <w:szCs w:val="22"/>
              </w:rPr>
            </w:pPr>
            <w:proofErr w:type="gramStart"/>
            <w:r w:rsidRPr="00CF0650">
              <w:rPr>
                <w:sz w:val="22"/>
                <w:szCs w:val="22"/>
              </w:rPr>
              <w:t>South East</w:t>
            </w:r>
            <w:proofErr w:type="gramEnd"/>
          </w:p>
        </w:tc>
        <w:tc>
          <w:tcPr>
            <w:tcW w:w="0" w:type="auto"/>
            <w:vAlign w:val="center"/>
            <w:hideMark/>
          </w:tcPr>
          <w:p w14:paraId="602D267F" w14:textId="77777777" w:rsidR="00CF0650" w:rsidRPr="00CF0650" w:rsidRDefault="00CF0650" w:rsidP="00CF0650">
            <w:pPr>
              <w:rPr>
                <w:sz w:val="22"/>
                <w:szCs w:val="22"/>
              </w:rPr>
            </w:pPr>
          </w:p>
        </w:tc>
      </w:tr>
      <w:tr w:rsidR="00CF0650" w:rsidRPr="00CF0650" w14:paraId="54CF52ED" w14:textId="77777777">
        <w:trPr>
          <w:tblCellSpacing w:w="15" w:type="dxa"/>
        </w:trPr>
        <w:tc>
          <w:tcPr>
            <w:tcW w:w="0" w:type="auto"/>
            <w:vAlign w:val="center"/>
            <w:hideMark/>
          </w:tcPr>
          <w:p w14:paraId="68A46254" w14:textId="77777777" w:rsidR="00CF0650" w:rsidRPr="00CF0650" w:rsidRDefault="00CF0650" w:rsidP="00CF0650">
            <w:pPr>
              <w:rPr>
                <w:sz w:val="22"/>
                <w:szCs w:val="22"/>
              </w:rPr>
            </w:pPr>
            <w:r w:rsidRPr="00CF0650">
              <w:rPr>
                <w:sz w:val="22"/>
                <w:szCs w:val="22"/>
              </w:rPr>
              <w:t xml:space="preserve">Fernwood </w:t>
            </w:r>
            <w:proofErr w:type="spellStart"/>
            <w:r w:rsidRPr="00CF0650">
              <w:rPr>
                <w:sz w:val="22"/>
                <w:szCs w:val="22"/>
              </w:rPr>
              <w:t>Acad</w:t>
            </w:r>
            <w:proofErr w:type="spellEnd"/>
          </w:p>
        </w:tc>
        <w:tc>
          <w:tcPr>
            <w:tcW w:w="0" w:type="auto"/>
            <w:vAlign w:val="center"/>
            <w:hideMark/>
          </w:tcPr>
          <w:p w14:paraId="055D1DD7" w14:textId="77777777" w:rsidR="00CF0650" w:rsidRPr="00CF0650" w:rsidRDefault="00CF0650" w:rsidP="00CF0650">
            <w:pPr>
              <w:rPr>
                <w:sz w:val="22"/>
                <w:szCs w:val="22"/>
              </w:rPr>
            </w:pPr>
            <w:r w:rsidRPr="00CF0650">
              <w:rPr>
                <w:sz w:val="22"/>
                <w:szCs w:val="22"/>
              </w:rPr>
              <w:t>92.8%</w:t>
            </w:r>
          </w:p>
        </w:tc>
        <w:tc>
          <w:tcPr>
            <w:tcW w:w="0" w:type="auto"/>
            <w:vAlign w:val="center"/>
            <w:hideMark/>
          </w:tcPr>
          <w:p w14:paraId="604E751B" w14:textId="77777777" w:rsidR="00CF0650" w:rsidRPr="00CF0650" w:rsidRDefault="00CF0650" w:rsidP="00CF0650">
            <w:pPr>
              <w:rPr>
                <w:sz w:val="22"/>
                <w:szCs w:val="22"/>
              </w:rPr>
            </w:pPr>
            <w:r w:rsidRPr="00CF0650">
              <w:rPr>
                <w:sz w:val="22"/>
                <w:szCs w:val="22"/>
              </w:rPr>
              <w:t>Y</w:t>
            </w:r>
          </w:p>
        </w:tc>
        <w:tc>
          <w:tcPr>
            <w:tcW w:w="0" w:type="auto"/>
            <w:vAlign w:val="center"/>
            <w:hideMark/>
          </w:tcPr>
          <w:p w14:paraId="3CEF68E5" w14:textId="77777777" w:rsidR="00CF0650" w:rsidRPr="00CF0650" w:rsidRDefault="00CF0650" w:rsidP="00CF0650">
            <w:pPr>
              <w:rPr>
                <w:sz w:val="22"/>
                <w:szCs w:val="22"/>
              </w:rPr>
            </w:pPr>
            <w:r w:rsidRPr="00CF0650">
              <w:rPr>
                <w:sz w:val="22"/>
                <w:szCs w:val="22"/>
              </w:rPr>
              <w:t>N</w:t>
            </w:r>
          </w:p>
        </w:tc>
        <w:tc>
          <w:tcPr>
            <w:tcW w:w="0" w:type="auto"/>
            <w:vAlign w:val="center"/>
            <w:hideMark/>
          </w:tcPr>
          <w:p w14:paraId="4797FC19" w14:textId="77777777" w:rsidR="00CF0650" w:rsidRPr="00CF0650" w:rsidRDefault="00CF0650" w:rsidP="00CF0650">
            <w:pPr>
              <w:rPr>
                <w:sz w:val="22"/>
                <w:szCs w:val="22"/>
              </w:rPr>
            </w:pPr>
            <w:r w:rsidRPr="00CF0650">
              <w:rPr>
                <w:sz w:val="22"/>
                <w:szCs w:val="22"/>
              </w:rPr>
              <w:t>London</w:t>
            </w:r>
          </w:p>
        </w:tc>
        <w:tc>
          <w:tcPr>
            <w:tcW w:w="0" w:type="auto"/>
            <w:vAlign w:val="center"/>
            <w:hideMark/>
          </w:tcPr>
          <w:p w14:paraId="2CAF1BEE" w14:textId="77777777" w:rsidR="00CF0650" w:rsidRPr="00CF0650" w:rsidRDefault="00CF0650" w:rsidP="00CF0650">
            <w:pPr>
              <w:rPr>
                <w:sz w:val="22"/>
                <w:szCs w:val="22"/>
              </w:rPr>
            </w:pPr>
          </w:p>
        </w:tc>
      </w:tr>
      <w:tr w:rsidR="00CF0650" w:rsidRPr="00CF0650" w14:paraId="512A750D" w14:textId="77777777">
        <w:trPr>
          <w:tblCellSpacing w:w="15" w:type="dxa"/>
        </w:trPr>
        <w:tc>
          <w:tcPr>
            <w:tcW w:w="0" w:type="auto"/>
            <w:vAlign w:val="center"/>
            <w:hideMark/>
          </w:tcPr>
          <w:p w14:paraId="30AD234B" w14:textId="77777777" w:rsidR="00CF0650" w:rsidRPr="00CF0650" w:rsidRDefault="00CF0650" w:rsidP="00CF0650">
            <w:pPr>
              <w:rPr>
                <w:sz w:val="22"/>
                <w:szCs w:val="22"/>
              </w:rPr>
            </w:pPr>
            <w:r w:rsidRPr="00CF0650">
              <w:rPr>
                <w:sz w:val="22"/>
                <w:szCs w:val="22"/>
              </w:rPr>
              <w:t>Glenmoor Sec</w:t>
            </w:r>
          </w:p>
        </w:tc>
        <w:tc>
          <w:tcPr>
            <w:tcW w:w="0" w:type="auto"/>
            <w:vAlign w:val="center"/>
            <w:hideMark/>
          </w:tcPr>
          <w:p w14:paraId="7D2FBBE0" w14:textId="77777777" w:rsidR="00CF0650" w:rsidRPr="00CF0650" w:rsidRDefault="00CF0650" w:rsidP="00CF0650">
            <w:pPr>
              <w:rPr>
                <w:sz w:val="22"/>
                <w:szCs w:val="22"/>
              </w:rPr>
            </w:pPr>
            <w:r w:rsidRPr="00CF0650">
              <w:rPr>
                <w:sz w:val="22"/>
                <w:szCs w:val="22"/>
              </w:rPr>
              <w:t>90.5%</w:t>
            </w:r>
          </w:p>
        </w:tc>
        <w:tc>
          <w:tcPr>
            <w:tcW w:w="0" w:type="auto"/>
            <w:vAlign w:val="center"/>
            <w:hideMark/>
          </w:tcPr>
          <w:p w14:paraId="2B477318" w14:textId="77777777" w:rsidR="00CF0650" w:rsidRPr="00CF0650" w:rsidRDefault="00CF0650" w:rsidP="00CF0650">
            <w:pPr>
              <w:rPr>
                <w:sz w:val="22"/>
                <w:szCs w:val="22"/>
              </w:rPr>
            </w:pPr>
            <w:r w:rsidRPr="00CF0650">
              <w:rPr>
                <w:sz w:val="22"/>
                <w:szCs w:val="22"/>
              </w:rPr>
              <w:t>N</w:t>
            </w:r>
          </w:p>
        </w:tc>
        <w:tc>
          <w:tcPr>
            <w:tcW w:w="0" w:type="auto"/>
            <w:vAlign w:val="center"/>
            <w:hideMark/>
          </w:tcPr>
          <w:p w14:paraId="6F1716CA" w14:textId="77777777" w:rsidR="00CF0650" w:rsidRPr="00CF0650" w:rsidRDefault="00CF0650" w:rsidP="00CF0650">
            <w:pPr>
              <w:rPr>
                <w:sz w:val="22"/>
                <w:szCs w:val="22"/>
              </w:rPr>
            </w:pPr>
            <w:r w:rsidRPr="00CF0650">
              <w:rPr>
                <w:sz w:val="22"/>
                <w:szCs w:val="22"/>
              </w:rPr>
              <w:t>Y</w:t>
            </w:r>
          </w:p>
        </w:tc>
        <w:tc>
          <w:tcPr>
            <w:tcW w:w="0" w:type="auto"/>
            <w:vAlign w:val="center"/>
            <w:hideMark/>
          </w:tcPr>
          <w:p w14:paraId="63D230A0" w14:textId="77777777" w:rsidR="00CF0650" w:rsidRPr="00CF0650" w:rsidRDefault="00CF0650" w:rsidP="00CF0650">
            <w:pPr>
              <w:rPr>
                <w:sz w:val="22"/>
                <w:szCs w:val="22"/>
              </w:rPr>
            </w:pPr>
            <w:r w:rsidRPr="00CF0650">
              <w:rPr>
                <w:sz w:val="22"/>
                <w:szCs w:val="22"/>
              </w:rPr>
              <w:t>Midlands</w:t>
            </w:r>
          </w:p>
        </w:tc>
        <w:tc>
          <w:tcPr>
            <w:tcW w:w="0" w:type="auto"/>
            <w:vAlign w:val="center"/>
            <w:hideMark/>
          </w:tcPr>
          <w:p w14:paraId="11A06409" w14:textId="77777777" w:rsidR="00CF0650" w:rsidRPr="00CF0650" w:rsidRDefault="00CF0650" w:rsidP="00CF0650">
            <w:pPr>
              <w:rPr>
                <w:sz w:val="22"/>
                <w:szCs w:val="22"/>
              </w:rPr>
            </w:pPr>
          </w:p>
        </w:tc>
      </w:tr>
      <w:tr w:rsidR="00CF0650" w:rsidRPr="00CF0650" w14:paraId="05A96C71" w14:textId="77777777">
        <w:trPr>
          <w:tblCellSpacing w:w="15" w:type="dxa"/>
        </w:trPr>
        <w:tc>
          <w:tcPr>
            <w:tcW w:w="0" w:type="auto"/>
            <w:vAlign w:val="center"/>
            <w:hideMark/>
          </w:tcPr>
          <w:p w14:paraId="64D94E02" w14:textId="77777777" w:rsidR="00CF0650" w:rsidRPr="00CF0650" w:rsidRDefault="00CF0650" w:rsidP="00CF0650">
            <w:pPr>
              <w:rPr>
                <w:sz w:val="22"/>
                <w:szCs w:val="22"/>
              </w:rPr>
            </w:pPr>
            <w:r w:rsidRPr="00CF0650">
              <w:rPr>
                <w:sz w:val="22"/>
                <w:szCs w:val="22"/>
              </w:rPr>
              <w:t>Highbury Park</w:t>
            </w:r>
          </w:p>
        </w:tc>
        <w:tc>
          <w:tcPr>
            <w:tcW w:w="0" w:type="auto"/>
            <w:vAlign w:val="center"/>
            <w:hideMark/>
          </w:tcPr>
          <w:p w14:paraId="7F929E34" w14:textId="77777777" w:rsidR="00CF0650" w:rsidRPr="00CF0650" w:rsidRDefault="00CF0650" w:rsidP="00CF0650">
            <w:pPr>
              <w:rPr>
                <w:sz w:val="22"/>
                <w:szCs w:val="22"/>
              </w:rPr>
            </w:pPr>
            <w:r w:rsidRPr="00CF0650">
              <w:rPr>
                <w:sz w:val="22"/>
                <w:szCs w:val="22"/>
              </w:rPr>
              <w:t>93.3%</w:t>
            </w:r>
          </w:p>
        </w:tc>
        <w:tc>
          <w:tcPr>
            <w:tcW w:w="0" w:type="auto"/>
            <w:vAlign w:val="center"/>
            <w:hideMark/>
          </w:tcPr>
          <w:p w14:paraId="36CC3E48" w14:textId="77777777" w:rsidR="00CF0650" w:rsidRPr="00CF0650" w:rsidRDefault="00CF0650" w:rsidP="00CF0650">
            <w:pPr>
              <w:rPr>
                <w:sz w:val="22"/>
                <w:szCs w:val="22"/>
              </w:rPr>
            </w:pPr>
            <w:r w:rsidRPr="00CF0650">
              <w:rPr>
                <w:sz w:val="22"/>
                <w:szCs w:val="22"/>
              </w:rPr>
              <w:t>Y</w:t>
            </w:r>
          </w:p>
        </w:tc>
        <w:tc>
          <w:tcPr>
            <w:tcW w:w="0" w:type="auto"/>
            <w:vAlign w:val="center"/>
            <w:hideMark/>
          </w:tcPr>
          <w:p w14:paraId="547E20B4" w14:textId="77777777" w:rsidR="00CF0650" w:rsidRPr="00CF0650" w:rsidRDefault="00CF0650" w:rsidP="00CF0650">
            <w:pPr>
              <w:rPr>
                <w:sz w:val="22"/>
                <w:szCs w:val="22"/>
              </w:rPr>
            </w:pPr>
            <w:r w:rsidRPr="00CF0650">
              <w:rPr>
                <w:sz w:val="22"/>
                <w:szCs w:val="22"/>
              </w:rPr>
              <w:t>Y</w:t>
            </w:r>
          </w:p>
        </w:tc>
        <w:tc>
          <w:tcPr>
            <w:tcW w:w="0" w:type="auto"/>
            <w:vAlign w:val="center"/>
            <w:hideMark/>
          </w:tcPr>
          <w:p w14:paraId="05B97D59" w14:textId="77777777" w:rsidR="00CF0650" w:rsidRPr="00CF0650" w:rsidRDefault="00CF0650" w:rsidP="00CF0650">
            <w:pPr>
              <w:rPr>
                <w:sz w:val="22"/>
                <w:szCs w:val="22"/>
              </w:rPr>
            </w:pPr>
            <w:r w:rsidRPr="00CF0650">
              <w:rPr>
                <w:sz w:val="22"/>
                <w:szCs w:val="22"/>
              </w:rPr>
              <w:t>East</w:t>
            </w:r>
          </w:p>
        </w:tc>
        <w:tc>
          <w:tcPr>
            <w:tcW w:w="0" w:type="auto"/>
            <w:vAlign w:val="center"/>
            <w:hideMark/>
          </w:tcPr>
          <w:p w14:paraId="380A7EA6" w14:textId="77777777" w:rsidR="00CF0650" w:rsidRPr="00CF0650" w:rsidRDefault="00CF0650" w:rsidP="00CF0650">
            <w:pPr>
              <w:rPr>
                <w:sz w:val="22"/>
                <w:szCs w:val="22"/>
              </w:rPr>
            </w:pPr>
          </w:p>
        </w:tc>
      </w:tr>
      <w:tr w:rsidR="00CF0650" w:rsidRPr="00CF0650" w14:paraId="0514C4DF" w14:textId="77777777">
        <w:trPr>
          <w:tblCellSpacing w:w="15" w:type="dxa"/>
        </w:trPr>
        <w:tc>
          <w:tcPr>
            <w:tcW w:w="0" w:type="auto"/>
            <w:vAlign w:val="center"/>
            <w:hideMark/>
          </w:tcPr>
          <w:p w14:paraId="4FB1DF20" w14:textId="77777777" w:rsidR="00CF0650" w:rsidRPr="00CF0650" w:rsidRDefault="00CF0650" w:rsidP="00CF0650">
            <w:pPr>
              <w:rPr>
                <w:sz w:val="22"/>
                <w:szCs w:val="22"/>
              </w:rPr>
            </w:pPr>
            <w:r w:rsidRPr="00CF0650">
              <w:rPr>
                <w:sz w:val="22"/>
                <w:szCs w:val="22"/>
              </w:rPr>
              <w:t>Inglewood High</w:t>
            </w:r>
          </w:p>
        </w:tc>
        <w:tc>
          <w:tcPr>
            <w:tcW w:w="0" w:type="auto"/>
            <w:vAlign w:val="center"/>
            <w:hideMark/>
          </w:tcPr>
          <w:p w14:paraId="75C9B1AD" w14:textId="77777777" w:rsidR="00CF0650" w:rsidRPr="00CF0650" w:rsidRDefault="00CF0650" w:rsidP="00CF0650">
            <w:pPr>
              <w:rPr>
                <w:sz w:val="22"/>
                <w:szCs w:val="22"/>
              </w:rPr>
            </w:pPr>
            <w:r w:rsidRPr="00CF0650">
              <w:rPr>
                <w:sz w:val="22"/>
                <w:szCs w:val="22"/>
              </w:rPr>
              <w:t>95.4%</w:t>
            </w:r>
          </w:p>
        </w:tc>
        <w:tc>
          <w:tcPr>
            <w:tcW w:w="0" w:type="auto"/>
            <w:vAlign w:val="center"/>
            <w:hideMark/>
          </w:tcPr>
          <w:p w14:paraId="55B23EFF" w14:textId="77777777" w:rsidR="00CF0650" w:rsidRPr="00CF0650" w:rsidRDefault="00CF0650" w:rsidP="00CF0650">
            <w:pPr>
              <w:rPr>
                <w:sz w:val="22"/>
                <w:szCs w:val="22"/>
              </w:rPr>
            </w:pPr>
            <w:r w:rsidRPr="00CF0650">
              <w:rPr>
                <w:sz w:val="22"/>
                <w:szCs w:val="22"/>
              </w:rPr>
              <w:t>N</w:t>
            </w:r>
          </w:p>
        </w:tc>
        <w:tc>
          <w:tcPr>
            <w:tcW w:w="0" w:type="auto"/>
            <w:vAlign w:val="center"/>
            <w:hideMark/>
          </w:tcPr>
          <w:p w14:paraId="32278DEF" w14:textId="77777777" w:rsidR="00CF0650" w:rsidRPr="00CF0650" w:rsidRDefault="00CF0650" w:rsidP="00CF0650">
            <w:pPr>
              <w:rPr>
                <w:sz w:val="22"/>
                <w:szCs w:val="22"/>
              </w:rPr>
            </w:pPr>
            <w:r w:rsidRPr="00CF0650">
              <w:rPr>
                <w:sz w:val="22"/>
                <w:szCs w:val="22"/>
              </w:rPr>
              <w:t>N</w:t>
            </w:r>
          </w:p>
        </w:tc>
        <w:tc>
          <w:tcPr>
            <w:tcW w:w="0" w:type="auto"/>
            <w:vAlign w:val="center"/>
            <w:hideMark/>
          </w:tcPr>
          <w:p w14:paraId="327CE6BD" w14:textId="77777777" w:rsidR="00CF0650" w:rsidRPr="00CF0650" w:rsidRDefault="00CF0650" w:rsidP="00CF0650">
            <w:pPr>
              <w:rPr>
                <w:sz w:val="22"/>
                <w:szCs w:val="22"/>
              </w:rPr>
            </w:pPr>
            <w:proofErr w:type="gramStart"/>
            <w:r w:rsidRPr="00CF0650">
              <w:rPr>
                <w:sz w:val="22"/>
                <w:szCs w:val="22"/>
              </w:rPr>
              <w:t>North East</w:t>
            </w:r>
            <w:proofErr w:type="gramEnd"/>
          </w:p>
        </w:tc>
        <w:tc>
          <w:tcPr>
            <w:tcW w:w="0" w:type="auto"/>
            <w:vAlign w:val="center"/>
            <w:hideMark/>
          </w:tcPr>
          <w:p w14:paraId="7CAC9D20" w14:textId="77777777" w:rsidR="00CF0650" w:rsidRPr="00CF0650" w:rsidRDefault="00CF0650" w:rsidP="00CF0650">
            <w:pPr>
              <w:rPr>
                <w:sz w:val="22"/>
                <w:szCs w:val="22"/>
              </w:rPr>
            </w:pPr>
          </w:p>
        </w:tc>
      </w:tr>
      <w:tr w:rsidR="00CF0650" w:rsidRPr="00CF0650" w14:paraId="1271AE7D" w14:textId="77777777">
        <w:trPr>
          <w:tblCellSpacing w:w="15" w:type="dxa"/>
        </w:trPr>
        <w:tc>
          <w:tcPr>
            <w:tcW w:w="0" w:type="auto"/>
            <w:vAlign w:val="center"/>
            <w:hideMark/>
          </w:tcPr>
          <w:p w14:paraId="08D15663" w14:textId="77777777" w:rsidR="00CF0650" w:rsidRPr="00CF0650" w:rsidRDefault="00CF0650" w:rsidP="00CF0650">
            <w:pPr>
              <w:rPr>
                <w:sz w:val="22"/>
                <w:szCs w:val="22"/>
              </w:rPr>
            </w:pPr>
            <w:r w:rsidRPr="00CF0650">
              <w:rPr>
                <w:sz w:val="22"/>
                <w:szCs w:val="22"/>
              </w:rPr>
              <w:t>Jesmond Grove</w:t>
            </w:r>
          </w:p>
        </w:tc>
        <w:tc>
          <w:tcPr>
            <w:tcW w:w="0" w:type="auto"/>
            <w:vAlign w:val="center"/>
            <w:hideMark/>
          </w:tcPr>
          <w:p w14:paraId="61EBD05B" w14:textId="77777777" w:rsidR="00CF0650" w:rsidRPr="00CF0650" w:rsidRDefault="00CF0650" w:rsidP="00CF0650">
            <w:pPr>
              <w:rPr>
                <w:sz w:val="22"/>
                <w:szCs w:val="22"/>
              </w:rPr>
            </w:pPr>
            <w:r w:rsidRPr="00CF0650">
              <w:rPr>
                <w:sz w:val="22"/>
                <w:szCs w:val="22"/>
              </w:rPr>
              <w:t>91.7%</w:t>
            </w:r>
          </w:p>
        </w:tc>
        <w:tc>
          <w:tcPr>
            <w:tcW w:w="0" w:type="auto"/>
            <w:vAlign w:val="center"/>
            <w:hideMark/>
          </w:tcPr>
          <w:p w14:paraId="2EA51C56" w14:textId="77777777" w:rsidR="00CF0650" w:rsidRPr="00CF0650" w:rsidRDefault="00CF0650" w:rsidP="00CF0650">
            <w:pPr>
              <w:rPr>
                <w:sz w:val="22"/>
                <w:szCs w:val="22"/>
              </w:rPr>
            </w:pPr>
            <w:r w:rsidRPr="00CF0650">
              <w:rPr>
                <w:sz w:val="22"/>
                <w:szCs w:val="22"/>
              </w:rPr>
              <w:t>Y</w:t>
            </w:r>
          </w:p>
        </w:tc>
        <w:tc>
          <w:tcPr>
            <w:tcW w:w="0" w:type="auto"/>
            <w:vAlign w:val="center"/>
            <w:hideMark/>
          </w:tcPr>
          <w:p w14:paraId="0F3CCA97" w14:textId="77777777" w:rsidR="00CF0650" w:rsidRPr="00CF0650" w:rsidRDefault="00CF0650" w:rsidP="00CF0650">
            <w:pPr>
              <w:rPr>
                <w:sz w:val="22"/>
                <w:szCs w:val="22"/>
              </w:rPr>
            </w:pPr>
            <w:r w:rsidRPr="00CF0650">
              <w:rPr>
                <w:sz w:val="22"/>
                <w:szCs w:val="22"/>
              </w:rPr>
              <w:t>N</w:t>
            </w:r>
          </w:p>
        </w:tc>
        <w:tc>
          <w:tcPr>
            <w:tcW w:w="0" w:type="auto"/>
            <w:vAlign w:val="center"/>
            <w:hideMark/>
          </w:tcPr>
          <w:p w14:paraId="2A34B0F0" w14:textId="77777777" w:rsidR="00CF0650" w:rsidRPr="00CF0650" w:rsidRDefault="00CF0650" w:rsidP="00CF0650">
            <w:pPr>
              <w:rPr>
                <w:sz w:val="22"/>
                <w:szCs w:val="22"/>
              </w:rPr>
            </w:pPr>
            <w:proofErr w:type="gramStart"/>
            <w:r w:rsidRPr="00CF0650">
              <w:rPr>
                <w:sz w:val="22"/>
                <w:szCs w:val="22"/>
              </w:rPr>
              <w:t>North West</w:t>
            </w:r>
            <w:proofErr w:type="gramEnd"/>
          </w:p>
        </w:tc>
        <w:tc>
          <w:tcPr>
            <w:tcW w:w="0" w:type="auto"/>
            <w:vAlign w:val="center"/>
            <w:hideMark/>
          </w:tcPr>
          <w:p w14:paraId="4274B5DD" w14:textId="77777777" w:rsidR="00CF0650" w:rsidRPr="00CF0650" w:rsidRDefault="00CF0650" w:rsidP="00CF0650">
            <w:pPr>
              <w:rPr>
                <w:sz w:val="22"/>
                <w:szCs w:val="22"/>
              </w:rPr>
            </w:pPr>
          </w:p>
        </w:tc>
      </w:tr>
    </w:tbl>
    <w:p w14:paraId="6DAF9C6C" w14:textId="7A306EEB" w:rsidR="00CF0650" w:rsidRDefault="00CF0650">
      <w:pPr>
        <w:rPr>
          <w:sz w:val="22"/>
          <w:szCs w:val="22"/>
        </w:rPr>
      </w:pPr>
    </w:p>
    <w:p w14:paraId="2F1C24BC" w14:textId="77777777" w:rsidR="00CF0650" w:rsidRDefault="00CF0650">
      <w:pPr>
        <w:spacing w:after="160" w:line="278" w:lineRule="auto"/>
        <w:rPr>
          <w:sz w:val="22"/>
          <w:szCs w:val="22"/>
        </w:rPr>
      </w:pPr>
      <w:r>
        <w:rPr>
          <w:sz w:val="22"/>
          <w:szCs w:val="22"/>
        </w:rPr>
        <w:br w:type="page"/>
      </w:r>
    </w:p>
    <w:p w14:paraId="07B74C55" w14:textId="77777777" w:rsidR="00DC6887" w:rsidRPr="00DC6887" w:rsidRDefault="00DC6887" w:rsidP="00DC6887">
      <w:pPr>
        <w:rPr>
          <w:sz w:val="22"/>
          <w:szCs w:val="22"/>
        </w:rPr>
      </w:pPr>
      <w:r w:rsidRPr="00DC6887">
        <w:rPr>
          <w:b/>
          <w:bCs/>
          <w:sz w:val="22"/>
          <w:szCs w:val="22"/>
        </w:rPr>
        <w:lastRenderedPageBreak/>
        <w:t>MERIDIAN EDUCATION GROUP</w:t>
      </w:r>
    </w:p>
    <w:p w14:paraId="1DF8192B" w14:textId="77777777" w:rsidR="00DC6887" w:rsidRPr="00DC6887" w:rsidRDefault="00DC6887" w:rsidP="00DC6887">
      <w:pPr>
        <w:rPr>
          <w:sz w:val="22"/>
          <w:szCs w:val="22"/>
        </w:rPr>
      </w:pPr>
      <w:r w:rsidRPr="00DC6887">
        <w:rPr>
          <w:b/>
          <w:bCs/>
          <w:sz w:val="22"/>
          <w:szCs w:val="22"/>
        </w:rPr>
        <w:t>INTERNAL MEMORANDUM</w:t>
      </w:r>
    </w:p>
    <w:p w14:paraId="51EA5A9D" w14:textId="77777777" w:rsidR="00DC6887" w:rsidRPr="00DC6887" w:rsidRDefault="00DC6887" w:rsidP="00DC6887">
      <w:pPr>
        <w:rPr>
          <w:sz w:val="22"/>
          <w:szCs w:val="22"/>
        </w:rPr>
      </w:pPr>
      <w:r w:rsidRPr="00DC6887">
        <w:rPr>
          <w:b/>
          <w:bCs/>
          <w:sz w:val="22"/>
          <w:szCs w:val="22"/>
        </w:rPr>
        <w:t>TO:</w:t>
      </w:r>
      <w:r w:rsidRPr="00DC6887">
        <w:rPr>
          <w:sz w:val="22"/>
          <w:szCs w:val="22"/>
        </w:rPr>
        <w:t xml:space="preserve"> Outcomes &amp; Impact Team </w:t>
      </w:r>
      <w:r w:rsidRPr="00DC6887">
        <w:rPr>
          <w:b/>
          <w:bCs/>
          <w:sz w:val="22"/>
          <w:szCs w:val="22"/>
        </w:rPr>
        <w:t>FROM:</w:t>
      </w:r>
      <w:r w:rsidRPr="00DC6887">
        <w:rPr>
          <w:sz w:val="22"/>
          <w:szCs w:val="22"/>
        </w:rPr>
        <w:t xml:space="preserve"> Harry Holmes, Senior Consultant </w:t>
      </w:r>
      <w:r w:rsidRPr="00DC6887">
        <w:rPr>
          <w:b/>
          <w:bCs/>
          <w:sz w:val="22"/>
          <w:szCs w:val="22"/>
        </w:rPr>
        <w:t>DATE:</w:t>
      </w:r>
      <w:r w:rsidRPr="00DC6887">
        <w:rPr>
          <w:sz w:val="22"/>
          <w:szCs w:val="22"/>
        </w:rPr>
        <w:t xml:space="preserve"> Day 02 </w:t>
      </w:r>
      <w:r w:rsidRPr="00DC6887">
        <w:rPr>
          <w:b/>
          <w:bCs/>
          <w:sz w:val="22"/>
          <w:szCs w:val="22"/>
        </w:rPr>
        <w:t>SUBJECT:</w:t>
      </w:r>
      <w:r w:rsidRPr="00DC6887">
        <w:rPr>
          <w:sz w:val="22"/>
          <w:szCs w:val="22"/>
        </w:rPr>
        <w:t xml:space="preserve"> Section 3 — Comparative Analysis: Notes and Overview </w:t>
      </w:r>
      <w:r w:rsidRPr="00DC6887">
        <w:rPr>
          <w:b/>
          <w:bCs/>
          <w:sz w:val="22"/>
          <w:szCs w:val="22"/>
        </w:rPr>
        <w:t>VERSION:</w:t>
      </w:r>
      <w:r w:rsidRPr="00DC6887">
        <w:rPr>
          <w:sz w:val="22"/>
          <w:szCs w:val="22"/>
        </w:rPr>
        <w:t xml:space="preserve"> FINAL (or as close as we’re going to get, I suppose)</w:t>
      </w:r>
    </w:p>
    <w:p w14:paraId="26A32AA1" w14:textId="77777777" w:rsidR="00DC6887" w:rsidRPr="00DC6887" w:rsidRDefault="00DC6887" w:rsidP="00DC6887">
      <w:pPr>
        <w:rPr>
          <w:sz w:val="22"/>
          <w:szCs w:val="22"/>
        </w:rPr>
      </w:pPr>
      <w:r w:rsidRPr="00DC6887">
        <w:rPr>
          <w:b/>
          <w:bCs/>
          <w:sz w:val="22"/>
          <w:szCs w:val="22"/>
        </w:rPr>
        <w:t>Executive Summary</w:t>
      </w:r>
    </w:p>
    <w:p w14:paraId="5CA7240D" w14:textId="77777777" w:rsidR="00DC6887" w:rsidRPr="00DC6887" w:rsidRDefault="00DC6887" w:rsidP="00DC6887">
      <w:pPr>
        <w:rPr>
          <w:sz w:val="22"/>
          <w:szCs w:val="22"/>
        </w:rPr>
      </w:pPr>
      <w:r w:rsidRPr="00DC6887">
        <w:rPr>
          <w:sz w:val="22"/>
          <w:szCs w:val="22"/>
        </w:rPr>
        <w:t xml:space="preserve">I’ve had a quick look through the MPI data for the </w:t>
      </w:r>
      <w:proofErr w:type="spellStart"/>
      <w:r w:rsidRPr="00DC6887">
        <w:rPr>
          <w:sz w:val="22"/>
          <w:szCs w:val="22"/>
        </w:rPr>
        <w:t>Harrowfield</w:t>
      </w:r>
      <w:proofErr w:type="spellEnd"/>
      <w:r w:rsidRPr="00DC6887">
        <w:rPr>
          <w:sz w:val="22"/>
          <w:szCs w:val="22"/>
        </w:rPr>
        <w:t xml:space="preserve"> project. It’s coming along, genuinely. I’ve seen quite a few of these cycles now—seven years does give you a certain eye for the "shape" of a project—so I’ve tidied up the summary for you. There are a few bits where the framing is a bit soft, but I’d rather you have a go at the heavy lifting first; you’ll learn more that way.</w:t>
      </w:r>
    </w:p>
    <w:p w14:paraId="131EDE18" w14:textId="77777777" w:rsidR="00DC6887" w:rsidRPr="00DC6887" w:rsidRDefault="00DC6887" w:rsidP="00DC6887">
      <w:pPr>
        <w:rPr>
          <w:sz w:val="22"/>
          <w:szCs w:val="22"/>
        </w:rPr>
      </w:pPr>
      <w:r w:rsidRPr="00DC6887">
        <w:rPr>
          <w:b/>
          <w:bCs/>
          <w:sz w:val="22"/>
          <w:szCs w:val="22"/>
        </w:rPr>
        <w:t>Key Observations</w:t>
      </w:r>
    </w:p>
    <w:p w14:paraId="223AEA41" w14:textId="77777777" w:rsidR="00DC6887" w:rsidRPr="00DC6887" w:rsidRDefault="00DC6887" w:rsidP="00DC6887">
      <w:pPr>
        <w:numPr>
          <w:ilvl w:val="0"/>
          <w:numId w:val="8"/>
        </w:numPr>
        <w:rPr>
          <w:sz w:val="22"/>
          <w:szCs w:val="22"/>
        </w:rPr>
      </w:pPr>
      <w:r w:rsidRPr="00DC6887">
        <w:rPr>
          <w:b/>
          <w:bCs/>
          <w:sz w:val="22"/>
          <w:szCs w:val="22"/>
        </w:rPr>
        <w:t>Impact Correlation:</w:t>
      </w:r>
      <w:r w:rsidRPr="00DC6887">
        <w:rPr>
          <w:sz w:val="22"/>
          <w:szCs w:val="22"/>
        </w:rPr>
        <w:t xml:space="preserve"> There is a strong evidence base here. It’s </w:t>
      </w:r>
      <w:proofErr w:type="gramStart"/>
      <w:r w:rsidRPr="00DC6887">
        <w:rPr>
          <w:sz w:val="22"/>
          <w:szCs w:val="22"/>
        </w:rPr>
        <w:t>actually quite</w:t>
      </w:r>
      <w:proofErr w:type="gramEnd"/>
      <w:r w:rsidRPr="00DC6887">
        <w:rPr>
          <w:sz w:val="22"/>
          <w:szCs w:val="22"/>
        </w:rPr>
        <w:t xml:space="preserve"> straightforward once you’ve been doing this as long as I have.</w:t>
      </w:r>
    </w:p>
    <w:p w14:paraId="4939878B" w14:textId="77777777" w:rsidR="00DC6887" w:rsidRPr="00DC6887" w:rsidRDefault="00DC6887" w:rsidP="00DC6887">
      <w:pPr>
        <w:numPr>
          <w:ilvl w:val="0"/>
          <w:numId w:val="8"/>
        </w:numPr>
        <w:rPr>
          <w:sz w:val="22"/>
          <w:szCs w:val="22"/>
        </w:rPr>
      </w:pPr>
      <w:r w:rsidRPr="00DC6887">
        <w:rPr>
          <w:b/>
          <w:bCs/>
          <w:sz w:val="22"/>
          <w:szCs w:val="22"/>
        </w:rPr>
        <w:t>Comparative Performance:</w:t>
      </w:r>
      <w:r w:rsidRPr="00DC6887">
        <w:rPr>
          <w:sz w:val="22"/>
          <w:szCs w:val="22"/>
        </w:rPr>
        <w:t xml:space="preserve"> The MPI suite is obviously outperforming the rest. I think I would’ve approached the comparison a bit differently myself, but honestly, it’s probably not worth changing now. Not a criticism, just an observation.</w:t>
      </w:r>
    </w:p>
    <w:p w14:paraId="3F11C7B9" w14:textId="77777777" w:rsidR="00DC6887" w:rsidRPr="00DC6887" w:rsidRDefault="00DC6887" w:rsidP="00DC6887">
      <w:pPr>
        <w:numPr>
          <w:ilvl w:val="0"/>
          <w:numId w:val="8"/>
        </w:numPr>
        <w:rPr>
          <w:sz w:val="22"/>
          <w:szCs w:val="22"/>
        </w:rPr>
      </w:pPr>
      <w:r w:rsidRPr="00DC6887">
        <w:rPr>
          <w:b/>
          <w:bCs/>
          <w:sz w:val="22"/>
          <w:szCs w:val="22"/>
        </w:rPr>
        <w:t>House Style:</w:t>
      </w:r>
      <w:r w:rsidRPr="00DC6887">
        <w:rPr>
          <w:sz w:val="22"/>
          <w:szCs w:val="22"/>
        </w:rPr>
        <w:t xml:space="preserve"> Just a small thing—the formatting here is a bit different to how we normally do it. I built up most of the house style a few years </w:t>
      </w:r>
      <w:proofErr w:type="gramStart"/>
      <w:r w:rsidRPr="00DC6887">
        <w:rPr>
          <w:sz w:val="22"/>
          <w:szCs w:val="22"/>
        </w:rPr>
        <w:t>back</w:t>
      </w:r>
      <w:proofErr w:type="gramEnd"/>
      <w:r w:rsidRPr="00DC6887">
        <w:rPr>
          <w:sz w:val="22"/>
          <w:szCs w:val="22"/>
        </w:rPr>
        <w:t xml:space="preserve"> so I know it </w:t>
      </w:r>
      <w:proofErr w:type="gramStart"/>
      <w:r w:rsidRPr="00DC6887">
        <w:rPr>
          <w:sz w:val="22"/>
          <w:szCs w:val="22"/>
        </w:rPr>
        <w:t>pretty well</w:t>
      </w:r>
      <w:proofErr w:type="gramEnd"/>
      <w:r w:rsidRPr="00DC6887">
        <w:rPr>
          <w:sz w:val="22"/>
          <w:szCs w:val="22"/>
        </w:rPr>
        <w:t>. Happy to send over an example if you’re struggling with the template.</w:t>
      </w:r>
    </w:p>
    <w:p w14:paraId="2827D116" w14:textId="77777777" w:rsidR="00DC6887" w:rsidRPr="00DC6887" w:rsidRDefault="00DC6887" w:rsidP="00DC6887">
      <w:pPr>
        <w:rPr>
          <w:sz w:val="22"/>
          <w:szCs w:val="22"/>
        </w:rPr>
      </w:pPr>
      <w:r w:rsidRPr="00DC6887">
        <w:rPr>
          <w:b/>
          <w:bCs/>
          <w:sz w:val="22"/>
          <w:szCs w:val="22"/>
        </w:rPr>
        <w:t>Impact Visualization</w:t>
      </w:r>
    </w:p>
    <w:p w14:paraId="1A8CFA68" w14:textId="77777777" w:rsidR="00DC6887" w:rsidRDefault="00DC6887" w:rsidP="00DC6887">
      <w:pPr>
        <w:rPr>
          <w:b/>
          <w:bCs/>
          <w:sz w:val="22"/>
          <w:szCs w:val="22"/>
        </w:rPr>
      </w:pPr>
      <w:r w:rsidRPr="00DC6887">
        <w:rPr>
          <w:b/>
          <w:bCs/>
          <w:sz w:val="22"/>
          <w:szCs w:val="22"/>
        </w:rPr>
        <w:t>Fig. 1 — Impact Overview</w:t>
      </w:r>
    </w:p>
    <w:p w14:paraId="4425139B" w14:textId="05169127" w:rsidR="00DC6887" w:rsidRPr="00DC6887" w:rsidRDefault="00DC6E93" w:rsidP="00DC6887">
      <w:pPr>
        <w:rPr>
          <w:sz w:val="22"/>
          <w:szCs w:val="22"/>
        </w:rPr>
      </w:pPr>
      <w:r>
        <w:rPr>
          <w:noProof/>
          <w:sz w:val="22"/>
          <w:szCs w:val="22"/>
          <w14:ligatures w14:val="standardContextual"/>
        </w:rPr>
        <w:drawing>
          <wp:inline distT="0" distB="0" distL="0" distR="0" wp14:anchorId="4DCB38A5" wp14:editId="0B8CFDB3">
            <wp:extent cx="5037826" cy="3358365"/>
            <wp:effectExtent l="0" t="0" r="0" b="0"/>
            <wp:docPr id="1763128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28631" name="Picture 17631286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3733" cy="3362303"/>
                    </a:xfrm>
                    <a:prstGeom prst="rect">
                      <a:avLst/>
                    </a:prstGeom>
                  </pic:spPr>
                </pic:pic>
              </a:graphicData>
            </a:graphic>
          </wp:inline>
        </w:drawing>
      </w:r>
    </w:p>
    <w:p w14:paraId="1DBFBEC2" w14:textId="77777777" w:rsidR="00DC6887" w:rsidRPr="00DC6887" w:rsidRDefault="00DC6887" w:rsidP="00DC6887">
      <w:pPr>
        <w:rPr>
          <w:sz w:val="22"/>
          <w:szCs w:val="22"/>
        </w:rPr>
      </w:pPr>
      <w:r w:rsidRPr="00DC6887">
        <w:rPr>
          <w:b/>
          <w:bCs/>
          <w:sz w:val="22"/>
          <w:szCs w:val="22"/>
        </w:rPr>
        <w:t>Caption:</w:t>
      </w:r>
      <w:r w:rsidRPr="00DC6887">
        <w:rPr>
          <w:sz w:val="22"/>
          <w:szCs w:val="22"/>
        </w:rPr>
        <w:t xml:space="preserve"> Data extracted from Meridian Press Release (2017). It’s fine for context, don't worry about the resolution.</w:t>
      </w:r>
    </w:p>
    <w:p w14:paraId="6005DFA8" w14:textId="77777777" w:rsidR="00DC6887" w:rsidRPr="00DC6887" w:rsidRDefault="00DC6887" w:rsidP="00DC6887">
      <w:pPr>
        <w:rPr>
          <w:sz w:val="22"/>
          <w:szCs w:val="22"/>
        </w:rPr>
      </w:pPr>
      <w:r w:rsidRPr="00DC6887">
        <w:rPr>
          <w:b/>
          <w:bCs/>
          <w:sz w:val="22"/>
          <w:szCs w:val="22"/>
        </w:rPr>
        <w:t>[GIF: Thumbs up cartoon]</w:t>
      </w:r>
    </w:p>
    <w:p w14:paraId="5C621F4C" w14:textId="77777777" w:rsidR="00DC6887" w:rsidRPr="00DC6887" w:rsidRDefault="00DC6887" w:rsidP="00DC6887">
      <w:pPr>
        <w:rPr>
          <w:sz w:val="22"/>
          <w:szCs w:val="22"/>
        </w:rPr>
      </w:pPr>
      <w:r w:rsidRPr="00DC6887">
        <w:rPr>
          <w:sz w:val="22"/>
          <w:szCs w:val="22"/>
        </w:rPr>
        <w:t>I’ve already mentioned to Carol that the timeline might be slightly tight on this—wasn't trying to make it a big thing, just keeping her in the loop so she isn't surprised. I’m tied up with the regional directors for the rest of the week, but I can shuffle things around if you’re really stuck. It’d be a shame not to use the experience while it's available.</w:t>
      </w:r>
    </w:p>
    <w:p w14:paraId="3B579CB2" w14:textId="77777777" w:rsidR="00DC6887" w:rsidRPr="00DC6887" w:rsidRDefault="00DC6887" w:rsidP="00DC6887">
      <w:pPr>
        <w:rPr>
          <w:sz w:val="22"/>
          <w:szCs w:val="22"/>
        </w:rPr>
      </w:pPr>
      <w:r w:rsidRPr="00DC6887">
        <w:rPr>
          <w:sz w:val="22"/>
          <w:szCs w:val="22"/>
        </w:rPr>
        <w:t>Best,</w:t>
      </w:r>
    </w:p>
    <w:p w14:paraId="2B233CB2" w14:textId="77777777" w:rsidR="00DC6887" w:rsidRPr="00DC6887" w:rsidRDefault="00DC6887" w:rsidP="00DC6887">
      <w:pPr>
        <w:rPr>
          <w:sz w:val="22"/>
          <w:szCs w:val="22"/>
        </w:rPr>
      </w:pPr>
      <w:r w:rsidRPr="00DC6887">
        <w:rPr>
          <w:b/>
          <w:bCs/>
          <w:sz w:val="22"/>
          <w:szCs w:val="22"/>
        </w:rPr>
        <w:t>Harry Holmes</w:t>
      </w:r>
      <w:r w:rsidRPr="00DC6887">
        <w:rPr>
          <w:sz w:val="22"/>
          <w:szCs w:val="22"/>
        </w:rPr>
        <w:t xml:space="preserve"> Senior Consultant (7 Years)</w:t>
      </w:r>
    </w:p>
    <w:p w14:paraId="01DC3EF3" w14:textId="77777777" w:rsidR="00DC6887" w:rsidRPr="00DC6887" w:rsidRDefault="00DC6887" w:rsidP="00DC6887">
      <w:pPr>
        <w:rPr>
          <w:sz w:val="22"/>
          <w:szCs w:val="22"/>
        </w:rPr>
      </w:pPr>
      <w:r w:rsidRPr="00DC6887">
        <w:rPr>
          <w:b/>
          <w:bCs/>
          <w:sz w:val="22"/>
          <w:szCs w:val="22"/>
        </w:rPr>
        <w:t>[GIF: Man nodding and pointing at camera]</w:t>
      </w:r>
    </w:p>
    <w:p w14:paraId="7967B249" w14:textId="2A93A658" w:rsidR="00DC6887" w:rsidRPr="00DC6887" w:rsidRDefault="00DC6887" w:rsidP="00DC6887">
      <w:pPr>
        <w:rPr>
          <w:sz w:val="22"/>
          <w:szCs w:val="22"/>
        </w:rPr>
      </w:pPr>
      <w:r w:rsidRPr="00DC6887">
        <w:rPr>
          <w:sz w:val="22"/>
          <w:szCs w:val="22"/>
        </w:rPr>
        <w:t>"Transforming Outcomes Through Evidence-Led Practice"</w:t>
      </w:r>
      <w:r w:rsidR="00261163">
        <w:rPr>
          <w:sz w:val="22"/>
          <w:szCs w:val="22"/>
        </w:rPr>
        <w:br/>
      </w:r>
    </w:p>
    <w:p w14:paraId="3AE284BE" w14:textId="77777777" w:rsidR="00261163" w:rsidRPr="00261163" w:rsidRDefault="00261163" w:rsidP="00261163">
      <w:pPr>
        <w:spacing w:after="160" w:line="278" w:lineRule="auto"/>
        <w:rPr>
          <w:sz w:val="22"/>
          <w:szCs w:val="22"/>
        </w:rPr>
      </w:pPr>
      <w:r w:rsidRPr="00261163">
        <w:rPr>
          <w:sz w:val="22"/>
          <w:szCs w:val="22"/>
        </w:rPr>
        <w:lastRenderedPageBreak/>
        <w:pict w14:anchorId="30CBF401">
          <v:rect id="_x0000_i1056" style="width:0;height:1.5pt" o:hralign="center" o:hrstd="t" o:hr="t" fillcolor="#a0a0a0" stroked="f"/>
        </w:pict>
      </w:r>
    </w:p>
    <w:p w14:paraId="1F0B35B5" w14:textId="77777777" w:rsidR="00261163" w:rsidRPr="00261163" w:rsidRDefault="00261163" w:rsidP="00261163">
      <w:pPr>
        <w:spacing w:after="160" w:line="278" w:lineRule="auto"/>
        <w:rPr>
          <w:sz w:val="22"/>
          <w:szCs w:val="22"/>
        </w:rPr>
      </w:pPr>
      <w:r w:rsidRPr="00261163">
        <w:rPr>
          <w:b/>
          <w:bCs/>
          <w:sz w:val="22"/>
          <w:szCs w:val="22"/>
        </w:rPr>
        <w:t>New Starter Profile – Meridian Education Group</w:t>
      </w:r>
      <w:r w:rsidRPr="00261163">
        <w:rPr>
          <w:sz w:val="22"/>
          <w:szCs w:val="22"/>
        </w:rPr>
        <w:t xml:space="preserve"> </w:t>
      </w:r>
      <w:r w:rsidRPr="00261163">
        <w:rPr>
          <w:b/>
          <w:bCs/>
          <w:sz w:val="22"/>
          <w:szCs w:val="22"/>
        </w:rPr>
        <w:t>Form ID: NS-2026-001</w:t>
      </w:r>
      <w:r w:rsidRPr="00261163">
        <w:rPr>
          <w:sz w:val="22"/>
          <w:szCs w:val="22"/>
        </w:rPr>
        <w:t xml:space="preserve"> </w:t>
      </w:r>
      <w:r w:rsidRPr="00261163">
        <w:rPr>
          <w:b/>
          <w:bCs/>
          <w:sz w:val="22"/>
          <w:szCs w:val="22"/>
        </w:rPr>
        <w:t xml:space="preserve">Version 1.0 – Optimised for Maximum Impact </w:t>
      </w:r>
      <w:r w:rsidRPr="00261163">
        <w:rPr>
          <w:rFonts w:ascii="Segoe UI Emoji" w:hAnsi="Segoe UI Emoji" w:cs="Segoe UI Emoji"/>
          <w:b/>
          <w:bCs/>
          <w:sz w:val="22"/>
          <w:szCs w:val="22"/>
        </w:rPr>
        <w:t>🚀</w:t>
      </w:r>
    </w:p>
    <w:p w14:paraId="0C181B93" w14:textId="77777777" w:rsidR="00261163" w:rsidRPr="00261163" w:rsidRDefault="00261163" w:rsidP="00261163">
      <w:pPr>
        <w:spacing w:after="160" w:line="278" w:lineRule="auto"/>
        <w:rPr>
          <w:sz w:val="22"/>
          <w:szCs w:val="22"/>
        </w:rPr>
      </w:pPr>
      <w:r w:rsidRPr="00261163">
        <w:rPr>
          <w:sz w:val="22"/>
          <w:szCs w:val="22"/>
        </w:rPr>
        <w:pict w14:anchorId="1B5C8A21">
          <v:rect id="_x0000_i1057" style="width:0;height:1.5pt" o:hralign="center" o:hrstd="t" o:hr="t" fillcolor="#a0a0a0" stroked="f"/>
        </w:pict>
      </w:r>
    </w:p>
    <w:p w14:paraId="13E6A06F" w14:textId="77777777" w:rsidR="00261163" w:rsidRPr="00261163" w:rsidRDefault="00261163" w:rsidP="00261163">
      <w:pPr>
        <w:spacing w:after="160" w:line="278" w:lineRule="auto"/>
        <w:rPr>
          <w:sz w:val="22"/>
          <w:szCs w:val="22"/>
        </w:rPr>
      </w:pPr>
      <w:proofErr w:type="gramStart"/>
      <w:r w:rsidRPr="00261163">
        <w:rPr>
          <w:b/>
          <w:bCs/>
          <w:sz w:val="22"/>
          <w:szCs w:val="22"/>
        </w:rPr>
        <w:t>Hi [PLAYER]</w:t>
      </w:r>
      <w:proofErr w:type="gramEnd"/>
      <w:r w:rsidRPr="00261163">
        <w:rPr>
          <w:b/>
          <w:bCs/>
          <w:sz w:val="22"/>
          <w:szCs w:val="22"/>
        </w:rPr>
        <w:t xml:space="preserve"> </w:t>
      </w:r>
      <w:r w:rsidRPr="00261163">
        <w:rPr>
          <w:rFonts w:ascii="Segoe UI Emoji" w:hAnsi="Segoe UI Emoji" w:cs="Segoe UI Emoji"/>
          <w:b/>
          <w:bCs/>
          <w:sz w:val="22"/>
          <w:szCs w:val="22"/>
        </w:rPr>
        <w:t>👋😊</w:t>
      </w:r>
      <w:r w:rsidRPr="00261163">
        <w:rPr>
          <w:b/>
          <w:bCs/>
          <w:sz w:val="22"/>
          <w:szCs w:val="22"/>
        </w:rPr>
        <w:t>,</w:t>
      </w:r>
    </w:p>
    <w:p w14:paraId="11A5877C" w14:textId="77777777" w:rsidR="00261163" w:rsidRPr="00261163" w:rsidRDefault="00261163" w:rsidP="00261163">
      <w:pPr>
        <w:spacing w:after="160" w:line="278" w:lineRule="auto"/>
        <w:rPr>
          <w:sz w:val="22"/>
          <w:szCs w:val="22"/>
        </w:rPr>
      </w:pPr>
      <w:r w:rsidRPr="00261163">
        <w:rPr>
          <w:sz w:val="22"/>
          <w:szCs w:val="22"/>
        </w:rPr>
        <w:t xml:space="preserve">I hope this message finds you well and thriving! </w:t>
      </w:r>
      <w:r w:rsidRPr="00261163">
        <w:rPr>
          <w:rFonts w:ascii="Segoe UI Emoji" w:hAnsi="Segoe UI Emoji" w:cs="Segoe UI Emoji"/>
          <w:sz w:val="22"/>
          <w:szCs w:val="22"/>
        </w:rPr>
        <w:t>🌟📈</w:t>
      </w:r>
    </w:p>
    <w:p w14:paraId="164B6CA0" w14:textId="77777777" w:rsidR="00261163" w:rsidRPr="00261163" w:rsidRDefault="00261163" w:rsidP="00261163">
      <w:pPr>
        <w:spacing w:after="160" w:line="278" w:lineRule="auto"/>
        <w:rPr>
          <w:sz w:val="22"/>
          <w:szCs w:val="22"/>
        </w:rPr>
      </w:pPr>
      <w:r w:rsidRPr="00261163">
        <w:rPr>
          <w:sz w:val="22"/>
          <w:szCs w:val="22"/>
        </w:rPr>
        <w:t xml:space="preserve">I wanted to take a quick moment to touch base and share the </w:t>
      </w:r>
      <w:r w:rsidRPr="00261163">
        <w:rPr>
          <w:b/>
          <w:bCs/>
          <w:sz w:val="22"/>
          <w:szCs w:val="22"/>
        </w:rPr>
        <w:t>New Starter Profile form</w:t>
      </w:r>
      <w:r w:rsidRPr="00261163">
        <w:rPr>
          <w:sz w:val="22"/>
          <w:szCs w:val="22"/>
        </w:rPr>
        <w:t xml:space="preserve"> so we can gain some enhanced visibility </w:t>
      </w:r>
      <w:r w:rsidRPr="00261163">
        <w:rPr>
          <w:rFonts w:ascii="Segoe UI Emoji" w:hAnsi="Segoe UI Emoji" w:cs="Segoe UI Emoji"/>
          <w:sz w:val="22"/>
          <w:szCs w:val="22"/>
        </w:rPr>
        <w:t>👀</w:t>
      </w:r>
      <w:r w:rsidRPr="00261163">
        <w:rPr>
          <w:sz w:val="22"/>
          <w:szCs w:val="22"/>
        </w:rPr>
        <w:t xml:space="preserve"> into your skills, experience, and how you’ll be driving impact across the team </w:t>
      </w:r>
      <w:r w:rsidRPr="00261163">
        <w:rPr>
          <w:rFonts w:ascii="Segoe UI Emoji" w:hAnsi="Segoe UI Emoji" w:cs="Segoe UI Emoji"/>
          <w:sz w:val="22"/>
          <w:szCs w:val="22"/>
        </w:rPr>
        <w:t>💼🔄</w:t>
      </w:r>
      <w:r w:rsidRPr="00261163">
        <w:rPr>
          <w:sz w:val="22"/>
          <w:szCs w:val="22"/>
        </w:rPr>
        <w:t>.</w:t>
      </w:r>
    </w:p>
    <w:p w14:paraId="66930206" w14:textId="77777777" w:rsidR="00261163" w:rsidRPr="00261163" w:rsidRDefault="00261163" w:rsidP="00261163">
      <w:pPr>
        <w:spacing w:after="160" w:line="278" w:lineRule="auto"/>
        <w:rPr>
          <w:sz w:val="22"/>
          <w:szCs w:val="22"/>
        </w:rPr>
      </w:pPr>
      <w:r w:rsidRPr="00261163">
        <w:rPr>
          <w:sz w:val="22"/>
          <w:szCs w:val="22"/>
        </w:rPr>
        <w:t xml:space="preserve">From a high-level perspective, completing this will help us align your profile with our intended trajectory and ensure we’re fully optimised for shared momentum </w:t>
      </w:r>
      <w:r w:rsidRPr="00261163">
        <w:rPr>
          <w:rFonts w:ascii="Segoe UI Emoji" w:hAnsi="Segoe UI Emoji" w:cs="Segoe UI Emoji"/>
          <w:sz w:val="22"/>
          <w:szCs w:val="22"/>
        </w:rPr>
        <w:t>🤝✨</w:t>
      </w:r>
      <w:r w:rsidRPr="00261163">
        <w:rPr>
          <w:sz w:val="22"/>
          <w:szCs w:val="22"/>
        </w:rPr>
        <w:t>. It should be straightforward and won’t take long at all!</w:t>
      </w:r>
    </w:p>
    <w:p w14:paraId="30C1A075" w14:textId="77777777" w:rsidR="00261163" w:rsidRPr="00261163" w:rsidRDefault="00261163" w:rsidP="00261163">
      <w:pPr>
        <w:spacing w:after="160" w:line="278" w:lineRule="auto"/>
        <w:rPr>
          <w:sz w:val="22"/>
          <w:szCs w:val="22"/>
        </w:rPr>
      </w:pPr>
      <w:r w:rsidRPr="00261163">
        <w:rPr>
          <w:sz w:val="22"/>
          <w:szCs w:val="22"/>
        </w:rPr>
        <w:t xml:space="preserve">Please fill this out at your earliest convenience (today would be ideal) and hit </w:t>
      </w:r>
      <w:r w:rsidRPr="00261163">
        <w:rPr>
          <w:b/>
          <w:bCs/>
          <w:sz w:val="22"/>
          <w:szCs w:val="22"/>
        </w:rPr>
        <w:t xml:space="preserve">Align &amp; Submit </w:t>
      </w:r>
      <w:r w:rsidRPr="00261163">
        <w:rPr>
          <w:rFonts w:ascii="Segoe UI Emoji" w:hAnsi="Segoe UI Emoji" w:cs="Segoe UI Emoji"/>
          <w:b/>
          <w:bCs/>
          <w:sz w:val="22"/>
          <w:szCs w:val="22"/>
        </w:rPr>
        <w:t>🚀</w:t>
      </w:r>
      <w:r w:rsidRPr="00261163">
        <w:rPr>
          <w:sz w:val="22"/>
          <w:szCs w:val="22"/>
        </w:rPr>
        <w:t xml:space="preserve"> when you’re done. I’ll cascade the completed profile upwards to the wider team once it’s in.</w:t>
      </w:r>
    </w:p>
    <w:p w14:paraId="0F358126" w14:textId="77777777" w:rsidR="00261163" w:rsidRPr="00261163" w:rsidRDefault="00261163" w:rsidP="00261163">
      <w:pPr>
        <w:spacing w:after="160" w:line="278" w:lineRule="auto"/>
        <w:rPr>
          <w:sz w:val="22"/>
          <w:szCs w:val="22"/>
        </w:rPr>
      </w:pPr>
      <w:r w:rsidRPr="00261163">
        <w:rPr>
          <w:sz w:val="22"/>
          <w:szCs w:val="22"/>
        </w:rPr>
        <w:t xml:space="preserve">If there are any blockers, emerging insights, or opportunities you’d like to surface, feel free to drop them in the final comments box </w:t>
      </w:r>
      <w:r w:rsidRPr="00261163">
        <w:rPr>
          <w:rFonts w:ascii="Segoe UI Emoji" w:hAnsi="Segoe UI Emoji" w:cs="Segoe UI Emoji"/>
          <w:sz w:val="22"/>
          <w:szCs w:val="22"/>
        </w:rPr>
        <w:t>🌱💡</w:t>
      </w:r>
      <w:r w:rsidRPr="00261163">
        <w:rPr>
          <w:sz w:val="22"/>
          <w:szCs w:val="22"/>
        </w:rPr>
        <w:t>.</w:t>
      </w:r>
    </w:p>
    <w:p w14:paraId="12A83DB7" w14:textId="77777777" w:rsidR="00261163" w:rsidRPr="00261163" w:rsidRDefault="00261163" w:rsidP="00261163">
      <w:pPr>
        <w:spacing w:after="160" w:line="278" w:lineRule="auto"/>
        <w:rPr>
          <w:sz w:val="22"/>
          <w:szCs w:val="22"/>
        </w:rPr>
      </w:pPr>
      <w:r w:rsidRPr="00261163">
        <w:rPr>
          <w:sz w:val="22"/>
          <w:szCs w:val="22"/>
        </w:rPr>
        <w:t xml:space="preserve">Looking forward to seeing your profile come together and continuing to drive this forward together! </w:t>
      </w:r>
      <w:r w:rsidRPr="00261163">
        <w:rPr>
          <w:rFonts w:ascii="Segoe UI Emoji" w:hAnsi="Segoe UI Emoji" w:cs="Segoe UI Emoji"/>
          <w:sz w:val="22"/>
          <w:szCs w:val="22"/>
        </w:rPr>
        <w:t>💪📊</w:t>
      </w:r>
    </w:p>
    <w:p w14:paraId="5B543DB7" w14:textId="77777777" w:rsidR="00261163" w:rsidRPr="00261163" w:rsidRDefault="00261163" w:rsidP="00261163">
      <w:pPr>
        <w:spacing w:after="160" w:line="278" w:lineRule="auto"/>
        <w:rPr>
          <w:sz w:val="22"/>
          <w:szCs w:val="22"/>
        </w:rPr>
      </w:pPr>
      <w:r w:rsidRPr="00261163">
        <w:rPr>
          <w:b/>
          <w:bCs/>
          <w:sz w:val="22"/>
          <w:szCs w:val="22"/>
        </w:rPr>
        <w:t>Warm regards,</w:t>
      </w:r>
      <w:r w:rsidRPr="00261163">
        <w:rPr>
          <w:sz w:val="22"/>
          <w:szCs w:val="22"/>
        </w:rPr>
        <w:t xml:space="preserve"> </w:t>
      </w:r>
      <w:r w:rsidRPr="00261163">
        <w:rPr>
          <w:b/>
          <w:bCs/>
          <w:sz w:val="22"/>
          <w:szCs w:val="22"/>
        </w:rPr>
        <w:t>Nathaniel</w:t>
      </w:r>
      <w:r w:rsidRPr="00261163">
        <w:rPr>
          <w:sz w:val="22"/>
          <w:szCs w:val="22"/>
        </w:rPr>
        <w:t xml:space="preserve"> </w:t>
      </w:r>
      <w:r w:rsidRPr="00261163">
        <w:rPr>
          <w:b/>
          <w:bCs/>
          <w:sz w:val="22"/>
          <w:szCs w:val="22"/>
        </w:rPr>
        <w:t xml:space="preserve">Senior Strategy Associate </w:t>
      </w:r>
      <w:r w:rsidRPr="00261163">
        <w:rPr>
          <w:rFonts w:ascii="Segoe UI Emoji" w:hAnsi="Segoe UI Emoji" w:cs="Segoe UI Emoji"/>
          <w:b/>
          <w:bCs/>
          <w:sz w:val="22"/>
          <w:szCs w:val="22"/>
        </w:rPr>
        <w:t>📊💼</w:t>
      </w:r>
    </w:p>
    <w:p w14:paraId="49D08413" w14:textId="77777777" w:rsidR="00261163" w:rsidRPr="00261163" w:rsidRDefault="00261163" w:rsidP="00261163">
      <w:pPr>
        <w:spacing w:after="160" w:line="278" w:lineRule="auto"/>
        <w:rPr>
          <w:sz w:val="22"/>
          <w:szCs w:val="22"/>
        </w:rPr>
      </w:pPr>
      <w:r w:rsidRPr="00261163">
        <w:rPr>
          <w:sz w:val="22"/>
          <w:szCs w:val="22"/>
        </w:rPr>
        <w:pict w14:anchorId="482BDD91">
          <v:rect id="_x0000_i1058" style="width:0;height:1.5pt" o:hralign="center" o:hrstd="t" o:hr="t" fillcolor="#a0a0a0" stroked="f"/>
        </w:pict>
      </w:r>
    </w:p>
    <w:p w14:paraId="5F67AAA3" w14:textId="77777777" w:rsidR="00261163" w:rsidRPr="00261163" w:rsidRDefault="00261163" w:rsidP="00261163">
      <w:pPr>
        <w:spacing w:after="160" w:line="278" w:lineRule="auto"/>
        <w:rPr>
          <w:sz w:val="22"/>
          <w:szCs w:val="22"/>
        </w:rPr>
      </w:pPr>
      <w:r w:rsidRPr="00261163">
        <w:rPr>
          <w:b/>
          <w:bCs/>
          <w:sz w:val="22"/>
          <w:szCs w:val="22"/>
        </w:rPr>
        <w:t>NEW STARTER PROFILE FORM</w:t>
      </w:r>
      <w:r w:rsidRPr="00261163">
        <w:rPr>
          <w:sz w:val="22"/>
          <w:szCs w:val="22"/>
        </w:rPr>
        <w:t xml:space="preserve"> </w:t>
      </w:r>
      <w:r w:rsidRPr="00261163">
        <w:rPr>
          <w:b/>
          <w:bCs/>
          <w:sz w:val="22"/>
          <w:szCs w:val="22"/>
        </w:rPr>
        <w:t>Please complete all fields below</w:t>
      </w:r>
    </w:p>
    <w:p w14:paraId="270A11F9" w14:textId="77777777" w:rsidR="00261163" w:rsidRPr="00261163" w:rsidRDefault="00261163" w:rsidP="00261163">
      <w:pPr>
        <w:spacing w:after="160" w:line="278" w:lineRule="auto"/>
        <w:rPr>
          <w:sz w:val="22"/>
          <w:szCs w:val="22"/>
        </w:rPr>
      </w:pPr>
      <w:r w:rsidRPr="00261163">
        <w:rPr>
          <w:b/>
          <w:bCs/>
          <w:sz w:val="22"/>
          <w:szCs w:val="22"/>
        </w:rPr>
        <w:t>1. Full Name</w:t>
      </w:r>
      <w:r w:rsidRPr="00261163">
        <w:rPr>
          <w:sz w:val="22"/>
          <w:szCs w:val="22"/>
        </w:rPr>
        <w:t xml:space="preserve"> </w:t>
      </w:r>
      <w:r w:rsidRPr="00261163">
        <w:rPr>
          <w:i/>
          <w:iCs/>
          <w:sz w:val="22"/>
          <w:szCs w:val="22"/>
        </w:rPr>
        <w:t>(pre-filled)</w:t>
      </w:r>
      <w:r w:rsidRPr="00261163">
        <w:rPr>
          <w:sz w:val="22"/>
          <w:szCs w:val="22"/>
        </w:rPr>
        <w:t xml:space="preserve"> [Your actual name appears here automatically]</w:t>
      </w:r>
    </w:p>
    <w:p w14:paraId="4860405E" w14:textId="77777777" w:rsidR="00261163" w:rsidRPr="00261163" w:rsidRDefault="00261163" w:rsidP="00261163">
      <w:pPr>
        <w:spacing w:after="160" w:line="278" w:lineRule="auto"/>
        <w:rPr>
          <w:sz w:val="22"/>
          <w:szCs w:val="22"/>
        </w:rPr>
      </w:pPr>
      <w:r w:rsidRPr="00261163">
        <w:rPr>
          <w:b/>
          <w:bCs/>
          <w:sz w:val="22"/>
          <w:szCs w:val="22"/>
        </w:rPr>
        <w:t>2. Preferred Name / How you would like the team to address you</w:t>
      </w:r>
      <w:r w:rsidRPr="00261163">
        <w:rPr>
          <w:sz w:val="22"/>
          <w:szCs w:val="22"/>
        </w:rPr>
        <w:t xml:space="preserve"> Dropdown options (only these two work):</w:t>
      </w:r>
    </w:p>
    <w:p w14:paraId="2F9237DB" w14:textId="77777777" w:rsidR="00261163" w:rsidRPr="00261163" w:rsidRDefault="00261163" w:rsidP="00261163">
      <w:pPr>
        <w:numPr>
          <w:ilvl w:val="0"/>
          <w:numId w:val="9"/>
        </w:numPr>
        <w:spacing w:after="160" w:line="278" w:lineRule="auto"/>
        <w:rPr>
          <w:sz w:val="22"/>
          <w:szCs w:val="22"/>
        </w:rPr>
      </w:pPr>
      <w:r w:rsidRPr="00261163">
        <w:rPr>
          <w:sz w:val="22"/>
          <w:szCs w:val="22"/>
        </w:rPr>
        <w:t>Thriving</w:t>
      </w:r>
    </w:p>
    <w:p w14:paraId="1775A101" w14:textId="77777777" w:rsidR="00261163" w:rsidRPr="00261163" w:rsidRDefault="00261163" w:rsidP="00261163">
      <w:pPr>
        <w:numPr>
          <w:ilvl w:val="0"/>
          <w:numId w:val="9"/>
        </w:numPr>
        <w:spacing w:after="160" w:line="278" w:lineRule="auto"/>
        <w:rPr>
          <w:sz w:val="22"/>
          <w:szCs w:val="22"/>
        </w:rPr>
      </w:pPr>
      <w:r w:rsidRPr="00261163">
        <w:rPr>
          <w:sz w:val="22"/>
          <w:szCs w:val="22"/>
        </w:rPr>
        <w:t>Impactful</w:t>
      </w:r>
    </w:p>
    <w:p w14:paraId="16AE720A" w14:textId="77777777" w:rsidR="00261163" w:rsidRPr="00261163" w:rsidRDefault="00261163" w:rsidP="00261163">
      <w:pPr>
        <w:spacing w:after="160" w:line="278" w:lineRule="auto"/>
        <w:rPr>
          <w:sz w:val="22"/>
          <w:szCs w:val="22"/>
        </w:rPr>
      </w:pPr>
      <w:r w:rsidRPr="00261163">
        <w:rPr>
          <w:b/>
          <w:bCs/>
          <w:sz w:val="22"/>
          <w:szCs w:val="22"/>
        </w:rPr>
        <w:t>3. Role / Position</w:t>
      </w:r>
      <w:r w:rsidRPr="00261163">
        <w:rPr>
          <w:sz w:val="22"/>
          <w:szCs w:val="22"/>
        </w:rPr>
        <w:t xml:space="preserve"> </w:t>
      </w:r>
      <w:r w:rsidRPr="00261163">
        <w:rPr>
          <w:i/>
          <w:iCs/>
          <w:sz w:val="22"/>
          <w:szCs w:val="22"/>
        </w:rPr>
        <w:t>(cannot be changed)</w:t>
      </w:r>
      <w:r w:rsidRPr="00261163">
        <w:rPr>
          <w:sz w:val="22"/>
          <w:szCs w:val="22"/>
        </w:rPr>
        <w:t xml:space="preserve"> Senior Strategy Associate </w:t>
      </w:r>
      <w:r w:rsidRPr="00261163">
        <w:rPr>
          <w:rFonts w:ascii="Segoe UI Emoji" w:hAnsi="Segoe UI Emoji" w:cs="Segoe UI Emoji"/>
          <w:sz w:val="22"/>
          <w:szCs w:val="22"/>
        </w:rPr>
        <w:t>📈</w:t>
      </w:r>
    </w:p>
    <w:p w14:paraId="3D59B8D5" w14:textId="77777777" w:rsidR="00261163" w:rsidRPr="00261163" w:rsidRDefault="00261163" w:rsidP="00261163">
      <w:pPr>
        <w:spacing w:after="160" w:line="278" w:lineRule="auto"/>
        <w:rPr>
          <w:sz w:val="22"/>
          <w:szCs w:val="22"/>
        </w:rPr>
      </w:pPr>
      <w:r w:rsidRPr="00261163">
        <w:rPr>
          <w:b/>
          <w:bCs/>
          <w:sz w:val="22"/>
          <w:szCs w:val="22"/>
        </w:rPr>
        <w:t>4. Previous Experience</w:t>
      </w:r>
      <w:r w:rsidRPr="00261163">
        <w:rPr>
          <w:sz w:val="22"/>
          <w:szCs w:val="22"/>
        </w:rPr>
        <w:t xml:space="preserve"> </w:t>
      </w:r>
      <w:r w:rsidRPr="00261163">
        <w:rPr>
          <w:i/>
          <w:iCs/>
          <w:sz w:val="22"/>
          <w:szCs w:val="22"/>
        </w:rPr>
        <w:t>(large text box – max 200 characters before it silently truncates)</w:t>
      </w:r>
      <w:r w:rsidRPr="00261163">
        <w:rPr>
          <w:sz w:val="22"/>
          <w:szCs w:val="22"/>
        </w:rPr>
        <w:t xml:space="preserve"> Tell us about your background in your own words. We love hearing how you’ve optimised outcomes in previous environments!</w:t>
      </w:r>
    </w:p>
    <w:p w14:paraId="36149CFE" w14:textId="77777777" w:rsidR="00261163" w:rsidRPr="00261163" w:rsidRDefault="00261163" w:rsidP="00261163">
      <w:pPr>
        <w:spacing w:after="160" w:line="278" w:lineRule="auto"/>
        <w:rPr>
          <w:sz w:val="22"/>
          <w:szCs w:val="22"/>
        </w:rPr>
      </w:pPr>
      <w:r w:rsidRPr="00261163">
        <w:rPr>
          <w:b/>
          <w:bCs/>
          <w:sz w:val="22"/>
          <w:szCs w:val="22"/>
        </w:rPr>
        <w:t>5. Key Skills</w:t>
      </w:r>
      <w:r w:rsidRPr="00261163">
        <w:rPr>
          <w:sz w:val="22"/>
          <w:szCs w:val="22"/>
        </w:rPr>
        <w:t xml:space="preserve"> </w:t>
      </w:r>
      <w:r w:rsidRPr="00261163">
        <w:rPr>
          <w:i/>
          <w:iCs/>
          <w:sz w:val="22"/>
          <w:szCs w:val="22"/>
        </w:rPr>
        <w:t>(multi-select – tick as many as apply)</w:t>
      </w:r>
    </w:p>
    <w:p w14:paraId="4FD79F67" w14:textId="77777777" w:rsidR="00261163" w:rsidRPr="00261163" w:rsidRDefault="00261163" w:rsidP="00261163">
      <w:pPr>
        <w:numPr>
          <w:ilvl w:val="0"/>
          <w:numId w:val="10"/>
        </w:numPr>
        <w:spacing w:after="160" w:line="278" w:lineRule="auto"/>
        <w:rPr>
          <w:sz w:val="22"/>
          <w:szCs w:val="22"/>
        </w:rPr>
      </w:pPr>
      <w:r w:rsidRPr="00261163">
        <w:rPr>
          <w:sz w:val="22"/>
          <w:szCs w:val="22"/>
        </w:rPr>
        <w:t>Cascading upwards</w:t>
      </w:r>
    </w:p>
    <w:p w14:paraId="1E0B182C" w14:textId="77777777" w:rsidR="00261163" w:rsidRPr="00261163" w:rsidRDefault="00261163" w:rsidP="00261163">
      <w:pPr>
        <w:numPr>
          <w:ilvl w:val="0"/>
          <w:numId w:val="10"/>
        </w:numPr>
        <w:spacing w:after="160" w:line="278" w:lineRule="auto"/>
        <w:rPr>
          <w:sz w:val="22"/>
          <w:szCs w:val="22"/>
        </w:rPr>
      </w:pPr>
      <w:r w:rsidRPr="00261163">
        <w:rPr>
          <w:sz w:val="22"/>
          <w:szCs w:val="22"/>
        </w:rPr>
        <w:t>Optimising synergies</w:t>
      </w:r>
    </w:p>
    <w:p w14:paraId="2AAB1D16" w14:textId="77777777" w:rsidR="00261163" w:rsidRPr="00261163" w:rsidRDefault="00261163" w:rsidP="00261163">
      <w:pPr>
        <w:numPr>
          <w:ilvl w:val="0"/>
          <w:numId w:val="10"/>
        </w:numPr>
        <w:spacing w:after="160" w:line="278" w:lineRule="auto"/>
        <w:rPr>
          <w:sz w:val="22"/>
          <w:szCs w:val="22"/>
        </w:rPr>
      </w:pPr>
      <w:r w:rsidRPr="00261163">
        <w:rPr>
          <w:sz w:val="22"/>
          <w:szCs w:val="22"/>
        </w:rPr>
        <w:lastRenderedPageBreak/>
        <w:t>Data DAY-ta handling</w:t>
      </w:r>
    </w:p>
    <w:p w14:paraId="0187AB50" w14:textId="77777777" w:rsidR="00261163" w:rsidRPr="00261163" w:rsidRDefault="00261163" w:rsidP="00261163">
      <w:pPr>
        <w:numPr>
          <w:ilvl w:val="0"/>
          <w:numId w:val="10"/>
        </w:numPr>
        <w:spacing w:after="160" w:line="278" w:lineRule="auto"/>
        <w:rPr>
          <w:sz w:val="22"/>
          <w:szCs w:val="22"/>
        </w:rPr>
      </w:pPr>
      <w:r w:rsidRPr="00261163">
        <w:rPr>
          <w:sz w:val="22"/>
          <w:szCs w:val="22"/>
        </w:rPr>
        <w:t>Surf-adjacent resilience</w:t>
      </w:r>
    </w:p>
    <w:p w14:paraId="4CC3D921" w14:textId="77777777" w:rsidR="00261163" w:rsidRPr="00261163" w:rsidRDefault="00261163" w:rsidP="00261163">
      <w:pPr>
        <w:numPr>
          <w:ilvl w:val="0"/>
          <w:numId w:val="10"/>
        </w:numPr>
        <w:spacing w:after="160" w:line="278" w:lineRule="auto"/>
        <w:rPr>
          <w:sz w:val="22"/>
          <w:szCs w:val="22"/>
        </w:rPr>
      </w:pPr>
      <w:r w:rsidRPr="00261163">
        <w:rPr>
          <w:sz w:val="22"/>
          <w:szCs w:val="22"/>
        </w:rPr>
        <w:t>High-level visibility</w:t>
      </w:r>
    </w:p>
    <w:p w14:paraId="106DA241" w14:textId="77777777" w:rsidR="00261163" w:rsidRPr="00261163" w:rsidRDefault="00261163" w:rsidP="00261163">
      <w:pPr>
        <w:numPr>
          <w:ilvl w:val="0"/>
          <w:numId w:val="10"/>
        </w:numPr>
        <w:spacing w:after="160" w:line="278" w:lineRule="auto"/>
        <w:rPr>
          <w:sz w:val="22"/>
          <w:szCs w:val="22"/>
        </w:rPr>
      </w:pPr>
      <w:r w:rsidRPr="00261163">
        <w:rPr>
          <w:sz w:val="22"/>
          <w:szCs w:val="22"/>
        </w:rPr>
        <w:t>Iterative momentum</w:t>
      </w:r>
    </w:p>
    <w:p w14:paraId="58F65FB1" w14:textId="77777777" w:rsidR="00261163" w:rsidRPr="00261163" w:rsidRDefault="00261163" w:rsidP="00261163">
      <w:pPr>
        <w:numPr>
          <w:ilvl w:val="0"/>
          <w:numId w:val="10"/>
        </w:numPr>
        <w:spacing w:after="160" w:line="278" w:lineRule="auto"/>
        <w:rPr>
          <w:sz w:val="22"/>
          <w:szCs w:val="22"/>
        </w:rPr>
      </w:pPr>
      <w:r w:rsidRPr="00261163">
        <w:rPr>
          <w:sz w:val="22"/>
          <w:szCs w:val="22"/>
        </w:rPr>
        <w:t>Stakeholder alignment</w:t>
      </w:r>
    </w:p>
    <w:p w14:paraId="7EC1FF76" w14:textId="77777777" w:rsidR="00261163" w:rsidRPr="00261163" w:rsidRDefault="00261163" w:rsidP="00261163">
      <w:pPr>
        <w:numPr>
          <w:ilvl w:val="0"/>
          <w:numId w:val="10"/>
        </w:numPr>
        <w:spacing w:after="160" w:line="278" w:lineRule="auto"/>
        <w:rPr>
          <w:sz w:val="22"/>
          <w:szCs w:val="22"/>
        </w:rPr>
      </w:pPr>
      <w:r w:rsidRPr="00261163">
        <w:rPr>
          <w:sz w:val="22"/>
          <w:szCs w:val="22"/>
        </w:rPr>
        <w:t>Sustainability integration</w:t>
      </w:r>
    </w:p>
    <w:p w14:paraId="73723CDD" w14:textId="77777777" w:rsidR="00261163" w:rsidRPr="00261163" w:rsidRDefault="00261163" w:rsidP="00261163">
      <w:pPr>
        <w:numPr>
          <w:ilvl w:val="0"/>
          <w:numId w:val="10"/>
        </w:numPr>
        <w:spacing w:after="160" w:line="278" w:lineRule="auto"/>
        <w:rPr>
          <w:sz w:val="22"/>
          <w:szCs w:val="22"/>
        </w:rPr>
      </w:pPr>
      <w:r w:rsidRPr="00261163">
        <w:rPr>
          <w:sz w:val="22"/>
          <w:szCs w:val="22"/>
        </w:rPr>
        <w:t>Proactive stage-thinking</w:t>
      </w:r>
    </w:p>
    <w:p w14:paraId="0095D2D0" w14:textId="77777777" w:rsidR="00261163" w:rsidRPr="00261163" w:rsidRDefault="00261163" w:rsidP="00261163">
      <w:pPr>
        <w:spacing w:after="160" w:line="278" w:lineRule="auto"/>
        <w:rPr>
          <w:sz w:val="22"/>
          <w:szCs w:val="22"/>
        </w:rPr>
      </w:pPr>
      <w:r w:rsidRPr="00261163">
        <w:rPr>
          <w:b/>
          <w:bCs/>
          <w:sz w:val="22"/>
          <w:szCs w:val="22"/>
        </w:rPr>
        <w:t>6. Availability for team socials &amp; wellbeing activities</w:t>
      </w:r>
      <w:r w:rsidRPr="00261163">
        <w:rPr>
          <w:sz w:val="22"/>
          <w:szCs w:val="22"/>
        </w:rPr>
        <w:t xml:space="preserve"> </w:t>
      </w:r>
      <w:r w:rsidRPr="00261163">
        <w:rPr>
          <w:i/>
          <w:iCs/>
          <w:sz w:val="22"/>
          <w:szCs w:val="22"/>
        </w:rPr>
        <w:t>(all boxes pre-ticked)</w:t>
      </w:r>
      <w:r w:rsidRPr="00261163">
        <w:rPr>
          <w:sz w:val="22"/>
          <w:szCs w:val="22"/>
        </w:rPr>
        <w:t xml:space="preserve"> </w:t>
      </w:r>
      <w:r w:rsidRPr="00261163">
        <w:rPr>
          <w:rFonts w:ascii="Segoe UI Emoji" w:hAnsi="Segoe UI Emoji" w:cs="Segoe UI Emoji"/>
          <w:sz w:val="22"/>
          <w:szCs w:val="22"/>
        </w:rPr>
        <w:t>☑️</w:t>
      </w:r>
      <w:r w:rsidRPr="00261163">
        <w:rPr>
          <w:sz w:val="22"/>
          <w:szCs w:val="22"/>
        </w:rPr>
        <w:t xml:space="preserve"> Virtual coffee </w:t>
      </w:r>
      <w:proofErr w:type="gramStart"/>
      <w:r w:rsidRPr="00261163">
        <w:rPr>
          <w:sz w:val="22"/>
          <w:szCs w:val="22"/>
        </w:rPr>
        <w:t>catch-ups</w:t>
      </w:r>
      <w:proofErr w:type="gramEnd"/>
      <w:r w:rsidRPr="00261163">
        <w:rPr>
          <w:sz w:val="22"/>
          <w:szCs w:val="22"/>
        </w:rPr>
        <w:t xml:space="preserve"> </w:t>
      </w:r>
      <w:r w:rsidRPr="00261163">
        <w:rPr>
          <w:rFonts w:ascii="Segoe UI Emoji" w:hAnsi="Segoe UI Emoji" w:cs="Segoe UI Emoji"/>
          <w:sz w:val="22"/>
          <w:szCs w:val="22"/>
        </w:rPr>
        <w:t>☑️</w:t>
      </w:r>
      <w:r w:rsidRPr="00261163">
        <w:rPr>
          <w:sz w:val="22"/>
          <w:szCs w:val="22"/>
        </w:rPr>
        <w:t xml:space="preserve"> Team away-days </w:t>
      </w:r>
      <w:r w:rsidRPr="00261163">
        <w:rPr>
          <w:rFonts w:ascii="Segoe UI Emoji" w:hAnsi="Segoe UI Emoji" w:cs="Segoe UI Emoji"/>
          <w:sz w:val="22"/>
          <w:szCs w:val="22"/>
        </w:rPr>
        <w:t>☑️</w:t>
      </w:r>
      <w:r w:rsidRPr="00261163">
        <w:rPr>
          <w:sz w:val="22"/>
          <w:szCs w:val="22"/>
        </w:rPr>
        <w:t xml:space="preserve"> Surf-related knowledge sharing </w:t>
      </w:r>
      <w:r w:rsidRPr="00261163">
        <w:rPr>
          <w:rFonts w:ascii="Segoe UI Emoji" w:hAnsi="Segoe UI Emoji" w:cs="Segoe UI Emoji"/>
          <w:sz w:val="22"/>
          <w:szCs w:val="22"/>
        </w:rPr>
        <w:t>☑️</w:t>
      </w:r>
      <w:r w:rsidRPr="00261163">
        <w:rPr>
          <w:sz w:val="22"/>
          <w:szCs w:val="22"/>
        </w:rPr>
        <w:t xml:space="preserve"> Friday netball spectating </w:t>
      </w:r>
      <w:r w:rsidRPr="00261163">
        <w:rPr>
          <w:rFonts w:ascii="Segoe UI Emoji" w:hAnsi="Segoe UI Emoji" w:cs="Segoe UI Emoji"/>
          <w:sz w:val="22"/>
          <w:szCs w:val="22"/>
        </w:rPr>
        <w:t>☑️</w:t>
      </w:r>
      <w:r w:rsidRPr="00261163">
        <w:rPr>
          <w:sz w:val="22"/>
          <w:szCs w:val="22"/>
        </w:rPr>
        <w:t xml:space="preserve"> Any other morale-boosting moments</w:t>
      </w:r>
    </w:p>
    <w:p w14:paraId="0EC53807" w14:textId="77777777" w:rsidR="00261163" w:rsidRPr="00261163" w:rsidRDefault="00261163" w:rsidP="00261163">
      <w:pPr>
        <w:spacing w:after="160" w:line="278" w:lineRule="auto"/>
        <w:rPr>
          <w:sz w:val="22"/>
          <w:szCs w:val="22"/>
        </w:rPr>
      </w:pPr>
      <w:r w:rsidRPr="00261163">
        <w:rPr>
          <w:b/>
          <w:bCs/>
          <w:sz w:val="22"/>
          <w:szCs w:val="22"/>
        </w:rPr>
        <w:t>7. Any dietary requirements or preferences?</w:t>
      </w:r>
      <w:r w:rsidRPr="00261163">
        <w:rPr>
          <w:sz w:val="22"/>
          <w:szCs w:val="22"/>
        </w:rPr>
        <w:t xml:space="preserve"> </w:t>
      </w:r>
      <w:r w:rsidRPr="00261163">
        <w:rPr>
          <w:i/>
          <w:iCs/>
          <w:sz w:val="22"/>
          <w:szCs w:val="22"/>
        </w:rPr>
        <w:t>(free text – field resets after 3 seconds of typing)</w:t>
      </w:r>
      <w:r w:rsidRPr="00261163">
        <w:rPr>
          <w:sz w:val="22"/>
          <w:szCs w:val="22"/>
        </w:rPr>
        <w:t xml:space="preserve"> Please let us know so we can accommodate you at future team events! </w:t>
      </w:r>
      <w:r w:rsidRPr="00261163">
        <w:rPr>
          <w:rFonts w:ascii="Segoe UI Emoji" w:hAnsi="Segoe UI Emoji" w:cs="Segoe UI Emoji"/>
          <w:sz w:val="22"/>
          <w:szCs w:val="22"/>
        </w:rPr>
        <w:t>🌱</w:t>
      </w:r>
    </w:p>
    <w:p w14:paraId="3F031C71" w14:textId="77777777" w:rsidR="00261163" w:rsidRPr="00261163" w:rsidRDefault="00261163" w:rsidP="00261163">
      <w:pPr>
        <w:spacing w:after="160" w:line="278" w:lineRule="auto"/>
        <w:rPr>
          <w:sz w:val="22"/>
          <w:szCs w:val="22"/>
        </w:rPr>
      </w:pPr>
      <w:r w:rsidRPr="00261163">
        <w:rPr>
          <w:b/>
          <w:bCs/>
          <w:sz w:val="22"/>
          <w:szCs w:val="22"/>
        </w:rPr>
        <w:t>8. What is your biggest strength?</w:t>
      </w:r>
      <w:r w:rsidRPr="00261163">
        <w:rPr>
          <w:sz w:val="22"/>
          <w:szCs w:val="22"/>
        </w:rPr>
        <w:t xml:space="preserve"> Free text (jargon encouraged)</w:t>
      </w:r>
    </w:p>
    <w:p w14:paraId="7566ED5B" w14:textId="77777777" w:rsidR="00261163" w:rsidRPr="00261163" w:rsidRDefault="00261163" w:rsidP="00261163">
      <w:pPr>
        <w:spacing w:after="160" w:line="278" w:lineRule="auto"/>
        <w:rPr>
          <w:sz w:val="22"/>
          <w:szCs w:val="22"/>
        </w:rPr>
      </w:pPr>
      <w:r w:rsidRPr="00261163">
        <w:rPr>
          <w:b/>
          <w:bCs/>
          <w:sz w:val="22"/>
          <w:szCs w:val="22"/>
        </w:rPr>
        <w:t>9. Areas for development / growth opportunities</w:t>
      </w:r>
      <w:r w:rsidRPr="00261163">
        <w:rPr>
          <w:sz w:val="22"/>
          <w:szCs w:val="22"/>
        </w:rPr>
        <w:t xml:space="preserve"> </w:t>
      </w:r>
      <w:r w:rsidRPr="00261163">
        <w:rPr>
          <w:i/>
          <w:iCs/>
          <w:sz w:val="22"/>
          <w:szCs w:val="22"/>
        </w:rPr>
        <w:t>(pre-filled – you can edit)</w:t>
      </w:r>
      <w:r w:rsidRPr="00261163">
        <w:rPr>
          <w:sz w:val="22"/>
          <w:szCs w:val="22"/>
        </w:rPr>
        <w:t xml:space="preserve"> Continuing to optimise communication, embracing ambiguity, and leaning into data-led decision making </w:t>
      </w:r>
      <w:r w:rsidRPr="00261163">
        <w:rPr>
          <w:rFonts w:ascii="Segoe UI Emoji" w:hAnsi="Segoe UI Emoji" w:cs="Segoe UI Emoji"/>
          <w:sz w:val="22"/>
          <w:szCs w:val="22"/>
        </w:rPr>
        <w:t>📊</w:t>
      </w:r>
    </w:p>
    <w:p w14:paraId="08ACBD8A" w14:textId="77777777" w:rsidR="00261163" w:rsidRPr="00261163" w:rsidRDefault="00261163" w:rsidP="00261163">
      <w:pPr>
        <w:spacing w:after="160" w:line="278" w:lineRule="auto"/>
        <w:rPr>
          <w:sz w:val="22"/>
          <w:szCs w:val="22"/>
        </w:rPr>
      </w:pPr>
      <w:r w:rsidRPr="00261163">
        <w:rPr>
          <w:b/>
          <w:bCs/>
          <w:sz w:val="22"/>
          <w:szCs w:val="22"/>
        </w:rPr>
        <w:t>10. Favourite way to receive feedback</w:t>
      </w:r>
      <w:r w:rsidRPr="00261163">
        <w:rPr>
          <w:sz w:val="22"/>
          <w:szCs w:val="22"/>
        </w:rPr>
        <w:t xml:space="preserve"> Dropdown:</w:t>
      </w:r>
    </w:p>
    <w:p w14:paraId="65F005D0" w14:textId="77777777" w:rsidR="00261163" w:rsidRPr="00261163" w:rsidRDefault="00261163" w:rsidP="00261163">
      <w:pPr>
        <w:numPr>
          <w:ilvl w:val="0"/>
          <w:numId w:val="11"/>
        </w:numPr>
        <w:spacing w:after="160" w:line="278" w:lineRule="auto"/>
        <w:rPr>
          <w:sz w:val="22"/>
          <w:szCs w:val="22"/>
        </w:rPr>
      </w:pPr>
      <w:r w:rsidRPr="00261163">
        <w:rPr>
          <w:sz w:val="22"/>
          <w:szCs w:val="22"/>
        </w:rPr>
        <w:t>Cascading upwards</w:t>
      </w:r>
    </w:p>
    <w:p w14:paraId="441BDC9F" w14:textId="77777777" w:rsidR="00261163" w:rsidRPr="00261163" w:rsidRDefault="00261163" w:rsidP="00261163">
      <w:pPr>
        <w:numPr>
          <w:ilvl w:val="0"/>
          <w:numId w:val="11"/>
        </w:numPr>
        <w:spacing w:after="160" w:line="278" w:lineRule="auto"/>
        <w:rPr>
          <w:sz w:val="22"/>
          <w:szCs w:val="22"/>
        </w:rPr>
      </w:pPr>
      <w:r w:rsidRPr="00261163">
        <w:rPr>
          <w:sz w:val="22"/>
          <w:szCs w:val="22"/>
        </w:rPr>
        <w:t>High-level check-ins</w:t>
      </w:r>
    </w:p>
    <w:p w14:paraId="7BEB945A" w14:textId="77777777" w:rsidR="00261163" w:rsidRPr="00261163" w:rsidRDefault="00261163" w:rsidP="00261163">
      <w:pPr>
        <w:numPr>
          <w:ilvl w:val="0"/>
          <w:numId w:val="11"/>
        </w:numPr>
        <w:spacing w:after="160" w:line="278" w:lineRule="auto"/>
        <w:rPr>
          <w:sz w:val="22"/>
          <w:szCs w:val="22"/>
        </w:rPr>
      </w:pPr>
      <w:r w:rsidRPr="00261163">
        <w:rPr>
          <w:sz w:val="22"/>
          <w:szCs w:val="22"/>
        </w:rPr>
        <w:t>Proactive stage updates</w:t>
      </w:r>
    </w:p>
    <w:p w14:paraId="17A743AC" w14:textId="77777777" w:rsidR="00261163" w:rsidRPr="00261163" w:rsidRDefault="00261163" w:rsidP="00261163">
      <w:pPr>
        <w:numPr>
          <w:ilvl w:val="0"/>
          <w:numId w:val="11"/>
        </w:numPr>
        <w:spacing w:after="160" w:line="278" w:lineRule="auto"/>
        <w:rPr>
          <w:sz w:val="22"/>
          <w:szCs w:val="22"/>
        </w:rPr>
      </w:pPr>
      <w:r w:rsidRPr="00261163">
        <w:rPr>
          <w:sz w:val="22"/>
          <w:szCs w:val="22"/>
        </w:rPr>
        <w:t>Warm regards only</w:t>
      </w:r>
    </w:p>
    <w:p w14:paraId="06DBE472" w14:textId="77777777" w:rsidR="00261163" w:rsidRPr="00261163" w:rsidRDefault="00261163" w:rsidP="00261163">
      <w:pPr>
        <w:spacing w:after="160" w:line="278" w:lineRule="auto"/>
        <w:rPr>
          <w:sz w:val="22"/>
          <w:szCs w:val="22"/>
        </w:rPr>
      </w:pPr>
      <w:r w:rsidRPr="00261163">
        <w:rPr>
          <w:b/>
          <w:bCs/>
          <w:sz w:val="22"/>
          <w:szCs w:val="22"/>
        </w:rPr>
        <w:t>11. How do you prefer to celebrate wins?</w:t>
      </w:r>
      <w:r w:rsidRPr="00261163">
        <w:rPr>
          <w:sz w:val="22"/>
          <w:szCs w:val="22"/>
        </w:rPr>
        <w:t xml:space="preserve"> </w:t>
      </w:r>
      <w:r w:rsidRPr="00261163">
        <w:rPr>
          <w:i/>
          <w:iCs/>
          <w:sz w:val="22"/>
          <w:szCs w:val="22"/>
        </w:rPr>
        <w:t>(select one)</w:t>
      </w:r>
    </w:p>
    <w:p w14:paraId="3CD79D6A" w14:textId="77777777" w:rsidR="00261163" w:rsidRPr="00261163" w:rsidRDefault="00261163" w:rsidP="00261163">
      <w:pPr>
        <w:numPr>
          <w:ilvl w:val="0"/>
          <w:numId w:val="12"/>
        </w:numPr>
        <w:spacing w:after="160" w:line="278" w:lineRule="auto"/>
        <w:rPr>
          <w:sz w:val="22"/>
          <w:szCs w:val="22"/>
        </w:rPr>
      </w:pPr>
      <w:r w:rsidRPr="00261163">
        <w:rPr>
          <w:sz w:val="22"/>
          <w:szCs w:val="22"/>
        </w:rPr>
        <w:t>Emoji reactions in Flack</w:t>
      </w:r>
    </w:p>
    <w:p w14:paraId="36BEC798" w14:textId="77777777" w:rsidR="00261163" w:rsidRPr="00261163" w:rsidRDefault="00261163" w:rsidP="00261163">
      <w:pPr>
        <w:numPr>
          <w:ilvl w:val="0"/>
          <w:numId w:val="12"/>
        </w:numPr>
        <w:spacing w:after="160" w:line="278" w:lineRule="auto"/>
        <w:rPr>
          <w:sz w:val="22"/>
          <w:szCs w:val="22"/>
        </w:rPr>
      </w:pPr>
      <w:r w:rsidRPr="00261163">
        <w:rPr>
          <w:sz w:val="22"/>
          <w:szCs w:val="22"/>
        </w:rPr>
        <w:t>Public shout-outs in #general</w:t>
      </w:r>
    </w:p>
    <w:p w14:paraId="4FFBF520" w14:textId="77777777" w:rsidR="00261163" w:rsidRPr="00261163" w:rsidRDefault="00261163" w:rsidP="00261163">
      <w:pPr>
        <w:numPr>
          <w:ilvl w:val="0"/>
          <w:numId w:val="12"/>
        </w:numPr>
        <w:spacing w:after="160" w:line="278" w:lineRule="auto"/>
        <w:rPr>
          <w:sz w:val="22"/>
          <w:szCs w:val="22"/>
        </w:rPr>
      </w:pPr>
      <w:r w:rsidRPr="00261163">
        <w:rPr>
          <w:sz w:val="22"/>
          <w:szCs w:val="22"/>
        </w:rPr>
        <w:t>Quiet internal alignment</w:t>
      </w:r>
    </w:p>
    <w:p w14:paraId="0FF79D7A" w14:textId="77777777" w:rsidR="00261163" w:rsidRPr="00261163" w:rsidRDefault="00261163" w:rsidP="00261163">
      <w:pPr>
        <w:numPr>
          <w:ilvl w:val="0"/>
          <w:numId w:val="12"/>
        </w:numPr>
        <w:spacing w:after="160" w:line="278" w:lineRule="auto"/>
        <w:rPr>
          <w:sz w:val="22"/>
          <w:szCs w:val="22"/>
        </w:rPr>
      </w:pPr>
      <w:r w:rsidRPr="00261163">
        <w:rPr>
          <w:sz w:val="22"/>
          <w:szCs w:val="22"/>
        </w:rPr>
        <w:t>Surf-related metaphors</w:t>
      </w:r>
    </w:p>
    <w:p w14:paraId="2961046C" w14:textId="77777777" w:rsidR="00261163" w:rsidRPr="00261163" w:rsidRDefault="00261163" w:rsidP="00261163">
      <w:pPr>
        <w:spacing w:after="160" w:line="278" w:lineRule="auto"/>
        <w:rPr>
          <w:sz w:val="22"/>
          <w:szCs w:val="22"/>
        </w:rPr>
      </w:pPr>
      <w:r w:rsidRPr="00261163">
        <w:rPr>
          <w:b/>
          <w:bCs/>
          <w:sz w:val="22"/>
          <w:szCs w:val="22"/>
        </w:rPr>
        <w:t>12. Any other comments, blockers, emerging insights, or opportunities you’d like to share?</w:t>
      </w:r>
      <w:r w:rsidRPr="00261163">
        <w:rPr>
          <w:sz w:val="22"/>
          <w:szCs w:val="22"/>
        </w:rPr>
        <w:t xml:space="preserve"> </w:t>
      </w:r>
      <w:r w:rsidRPr="00261163">
        <w:rPr>
          <w:i/>
          <w:iCs/>
          <w:sz w:val="22"/>
          <w:szCs w:val="22"/>
        </w:rPr>
        <w:t>(free text – emoji friendly)</w:t>
      </w:r>
      <w:r w:rsidRPr="00261163">
        <w:rPr>
          <w:sz w:val="22"/>
          <w:szCs w:val="22"/>
        </w:rPr>
        <w:t xml:space="preserve"> We’re all about open communication and shared momentum! </w:t>
      </w:r>
      <w:r w:rsidRPr="00261163">
        <w:rPr>
          <w:rFonts w:ascii="Segoe UI Emoji" w:hAnsi="Segoe UI Emoji" w:cs="Segoe UI Emoji"/>
          <w:sz w:val="22"/>
          <w:szCs w:val="22"/>
        </w:rPr>
        <w:t>💡🚀</w:t>
      </w:r>
    </w:p>
    <w:p w14:paraId="09F3786E" w14:textId="77777777" w:rsidR="00261163" w:rsidRPr="00261163" w:rsidRDefault="00261163" w:rsidP="00261163">
      <w:pPr>
        <w:spacing w:after="160" w:line="278" w:lineRule="auto"/>
        <w:rPr>
          <w:sz w:val="22"/>
          <w:szCs w:val="22"/>
        </w:rPr>
      </w:pPr>
      <w:r w:rsidRPr="00261163">
        <w:rPr>
          <w:sz w:val="22"/>
          <w:szCs w:val="22"/>
        </w:rPr>
        <w:pict w14:anchorId="55DFEBC0">
          <v:rect id="_x0000_i1059" style="width:0;height:1.5pt" o:hralign="center" o:hrstd="t" o:hr="t" fillcolor="#a0a0a0" stroked="f"/>
        </w:pict>
      </w:r>
    </w:p>
    <w:p w14:paraId="5C5FDB97" w14:textId="77777777" w:rsidR="00261163" w:rsidRPr="00261163" w:rsidRDefault="00261163" w:rsidP="00261163">
      <w:pPr>
        <w:spacing w:after="160" w:line="278" w:lineRule="auto"/>
        <w:rPr>
          <w:sz w:val="22"/>
          <w:szCs w:val="22"/>
        </w:rPr>
      </w:pPr>
      <w:r w:rsidRPr="00261163">
        <w:rPr>
          <w:b/>
          <w:bCs/>
          <w:sz w:val="22"/>
          <w:szCs w:val="22"/>
        </w:rPr>
        <w:t xml:space="preserve">Align &amp; </w:t>
      </w:r>
      <w:proofErr w:type="gramStart"/>
      <w:r w:rsidRPr="00261163">
        <w:rPr>
          <w:b/>
          <w:bCs/>
          <w:sz w:val="22"/>
          <w:szCs w:val="22"/>
        </w:rPr>
        <w:t>Submit</w:t>
      </w:r>
      <w:proofErr w:type="gramEnd"/>
      <w:r w:rsidRPr="00261163">
        <w:rPr>
          <w:b/>
          <w:bCs/>
          <w:sz w:val="22"/>
          <w:szCs w:val="22"/>
        </w:rPr>
        <w:t xml:space="preserve"> </w:t>
      </w:r>
      <w:r w:rsidRPr="00261163">
        <w:rPr>
          <w:rFonts w:ascii="Segoe UI Emoji" w:hAnsi="Segoe UI Emoji" w:cs="Segoe UI Emoji"/>
          <w:b/>
          <w:bCs/>
          <w:sz w:val="22"/>
          <w:szCs w:val="22"/>
        </w:rPr>
        <w:t>🚀</w:t>
      </w:r>
    </w:p>
    <w:p w14:paraId="64782292" w14:textId="77777777" w:rsidR="00261163" w:rsidRPr="00261163" w:rsidRDefault="00261163" w:rsidP="00261163">
      <w:pPr>
        <w:spacing w:after="160" w:line="278" w:lineRule="auto"/>
        <w:rPr>
          <w:sz w:val="22"/>
          <w:szCs w:val="22"/>
        </w:rPr>
      </w:pPr>
      <w:r w:rsidRPr="00261163">
        <w:rPr>
          <w:i/>
          <w:iCs/>
          <w:sz w:val="22"/>
          <w:szCs w:val="22"/>
        </w:rPr>
        <w:t xml:space="preserve">(Button text in bright green with spinning loading icon that says “Profile Aligned </w:t>
      </w:r>
      <w:r w:rsidRPr="00261163">
        <w:rPr>
          <w:rFonts w:ascii="Segoe UI Emoji" w:hAnsi="Segoe UI Emoji" w:cs="Segoe UI Emoji"/>
          <w:i/>
          <w:iCs/>
          <w:sz w:val="22"/>
          <w:szCs w:val="22"/>
        </w:rPr>
        <w:t>✅</w:t>
      </w:r>
      <w:r w:rsidRPr="00261163">
        <w:rPr>
          <w:i/>
          <w:iCs/>
          <w:sz w:val="22"/>
          <w:szCs w:val="22"/>
        </w:rPr>
        <w:t>” for four seconds then disappears with no further confirmation.)</w:t>
      </w:r>
    </w:p>
    <w:p w14:paraId="4FDD4B5F" w14:textId="77777777" w:rsidR="0080252C" w:rsidRDefault="0080252C" w:rsidP="0080252C">
      <w:pPr>
        <w:spacing w:after="200"/>
        <w:jc w:val="center"/>
      </w:pPr>
      <w:r>
        <w:rPr>
          <w:rFonts w:ascii="Times New Roman" w:eastAsia="Times New Roman" w:hAnsi="Times New Roman" w:cs="Times New Roman"/>
          <w:b/>
          <w:bCs/>
          <w:sz w:val="34"/>
          <w:szCs w:val="34"/>
        </w:rPr>
        <w:lastRenderedPageBreak/>
        <w:t xml:space="preserve">Of the </w:t>
      </w:r>
      <w:proofErr w:type="spellStart"/>
      <w:r>
        <w:rPr>
          <w:rFonts w:ascii="Times New Roman" w:eastAsia="Times New Roman" w:hAnsi="Times New Roman" w:cs="Times New Roman"/>
          <w:b/>
          <w:bCs/>
          <w:sz w:val="34"/>
          <w:szCs w:val="34"/>
        </w:rPr>
        <w:t>Framewirk</w:t>
      </w:r>
      <w:proofErr w:type="spellEnd"/>
      <w:r>
        <w:rPr>
          <w:rFonts w:ascii="Times New Roman" w:eastAsia="Times New Roman" w:hAnsi="Times New Roman" w:cs="Times New Roman"/>
          <w:b/>
          <w:bCs/>
          <w:sz w:val="34"/>
          <w:szCs w:val="34"/>
        </w:rPr>
        <w:t xml:space="preserve"> of </w:t>
      </w:r>
      <w:proofErr w:type="spellStart"/>
      <w:r>
        <w:rPr>
          <w:rFonts w:ascii="Times New Roman" w:eastAsia="Times New Roman" w:hAnsi="Times New Roman" w:cs="Times New Roman"/>
          <w:b/>
          <w:bCs/>
          <w:sz w:val="34"/>
          <w:szCs w:val="34"/>
        </w:rPr>
        <w:t>Mesuringe</w:t>
      </w:r>
      <w:proofErr w:type="spellEnd"/>
      <w:r>
        <w:rPr>
          <w:rFonts w:ascii="Times New Roman" w:eastAsia="Times New Roman" w:hAnsi="Times New Roman" w:cs="Times New Roman"/>
          <w:b/>
          <w:bCs/>
          <w:sz w:val="34"/>
          <w:szCs w:val="34"/>
        </w:rPr>
        <w:t xml:space="preserve"> </w:t>
      </w:r>
      <w:proofErr w:type="spellStart"/>
      <w:r>
        <w:rPr>
          <w:rFonts w:ascii="Times New Roman" w:eastAsia="Times New Roman" w:hAnsi="Times New Roman" w:cs="Times New Roman"/>
          <w:b/>
          <w:bCs/>
          <w:sz w:val="34"/>
          <w:szCs w:val="34"/>
        </w:rPr>
        <w:t>Progres</w:t>
      </w:r>
      <w:proofErr w:type="spellEnd"/>
    </w:p>
    <w:p w14:paraId="77A15E1D" w14:textId="77777777" w:rsidR="0080252C" w:rsidRDefault="0080252C" w:rsidP="0080252C">
      <w:pPr>
        <w:spacing w:after="200"/>
        <w:jc w:val="center"/>
      </w:pPr>
      <w:r>
        <w:rPr>
          <w:rFonts w:ascii="Times New Roman" w:eastAsia="Times New Roman" w:hAnsi="Times New Roman" w:cs="Times New Roman"/>
          <w:b/>
          <w:bCs/>
          <w:sz w:val="34"/>
          <w:szCs w:val="34"/>
        </w:rPr>
        <w:t xml:space="preserve">in the Meridian </w:t>
      </w:r>
      <w:proofErr w:type="spellStart"/>
      <w:r>
        <w:rPr>
          <w:rFonts w:ascii="Times New Roman" w:eastAsia="Times New Roman" w:hAnsi="Times New Roman" w:cs="Times New Roman"/>
          <w:b/>
          <w:bCs/>
          <w:sz w:val="34"/>
          <w:szCs w:val="34"/>
        </w:rPr>
        <w:t>Progres</w:t>
      </w:r>
      <w:proofErr w:type="spellEnd"/>
      <w:r>
        <w:rPr>
          <w:rFonts w:ascii="Times New Roman" w:eastAsia="Times New Roman" w:hAnsi="Times New Roman" w:cs="Times New Roman"/>
          <w:b/>
          <w:bCs/>
          <w:sz w:val="34"/>
          <w:szCs w:val="34"/>
        </w:rPr>
        <w:t xml:space="preserve"> Index</w:t>
      </w:r>
    </w:p>
    <w:p w14:paraId="04A4803D" w14:textId="77777777" w:rsidR="0080252C" w:rsidRDefault="0080252C" w:rsidP="0080252C">
      <w:pPr>
        <w:spacing w:after="160"/>
        <w:jc w:val="center"/>
      </w:pPr>
      <w:r>
        <w:rPr>
          <w:rFonts w:ascii="Times New Roman" w:eastAsia="Times New Roman" w:hAnsi="Times New Roman" w:cs="Times New Roman"/>
          <w:i/>
          <w:iCs/>
          <w:sz w:val="22"/>
          <w:szCs w:val="22"/>
        </w:rPr>
        <w:t xml:space="preserve">A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III of the MPI Technical Handbook, Edition 4.2</w:t>
      </w:r>
    </w:p>
    <w:p w14:paraId="35D867D2" w14:textId="77777777" w:rsidR="0080252C" w:rsidRDefault="0080252C" w:rsidP="0080252C">
      <w:pPr>
        <w:spacing w:after="560"/>
        <w:jc w:val="center"/>
      </w:pPr>
      <w:r>
        <w:rPr>
          <w:rFonts w:ascii="Times New Roman" w:eastAsia="Times New Roman" w:hAnsi="Times New Roman" w:cs="Times New Roman"/>
          <w:sz w:val="22"/>
          <w:szCs w:val="22"/>
        </w:rPr>
        <w:t xml:space="preserve">P.A. Hart, </w:t>
      </w:r>
      <w:proofErr w:type="spellStart"/>
      <w:r>
        <w:rPr>
          <w:rFonts w:ascii="Times New Roman" w:eastAsia="Times New Roman" w:hAnsi="Times New Roman" w:cs="Times New Roman"/>
          <w:sz w:val="22"/>
          <w:szCs w:val="22"/>
        </w:rPr>
        <w:t>Doctour</w:t>
      </w:r>
      <w:proofErr w:type="spellEnd"/>
      <w:r>
        <w:rPr>
          <w:rFonts w:ascii="Times New Roman" w:eastAsia="Times New Roman" w:hAnsi="Times New Roman" w:cs="Times New Roman"/>
          <w:sz w:val="22"/>
          <w:szCs w:val="22"/>
        </w:rPr>
        <w:t xml:space="preserve"> of Philosophie — For </w:t>
      </w:r>
      <w:proofErr w:type="spellStart"/>
      <w:r>
        <w:rPr>
          <w:rFonts w:ascii="Times New Roman" w:eastAsia="Times New Roman" w:hAnsi="Times New Roman" w:cs="Times New Roman"/>
          <w:sz w:val="22"/>
          <w:szCs w:val="22"/>
        </w:rPr>
        <w:t>myn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owene</w:t>
      </w:r>
      <w:proofErr w:type="spellEnd"/>
      <w:r>
        <w:rPr>
          <w:rFonts w:ascii="Times New Roman" w:eastAsia="Times New Roman" w:hAnsi="Times New Roman" w:cs="Times New Roman"/>
          <w:sz w:val="22"/>
          <w:szCs w:val="22"/>
        </w:rPr>
        <w:t xml:space="preserve"> use in </w:t>
      </w:r>
      <w:proofErr w:type="spellStart"/>
      <w:r>
        <w:rPr>
          <w:rFonts w:ascii="Times New Roman" w:eastAsia="Times New Roman" w:hAnsi="Times New Roman" w:cs="Times New Roman"/>
          <w:sz w:val="22"/>
          <w:szCs w:val="22"/>
        </w:rPr>
        <w:t>Induccioun</w:t>
      </w:r>
      <w:proofErr w:type="spellEnd"/>
      <w:r>
        <w:rPr>
          <w:rFonts w:ascii="Times New Roman" w:eastAsia="Times New Roman" w:hAnsi="Times New Roman" w:cs="Times New Roman"/>
          <w:sz w:val="22"/>
          <w:szCs w:val="22"/>
        </w:rPr>
        <w:t xml:space="preserve"> — 2021</w:t>
      </w:r>
    </w:p>
    <w:p w14:paraId="4A13BDF4" w14:textId="77777777" w:rsidR="0080252C" w:rsidRDefault="0080252C" w:rsidP="0080252C">
      <w:pPr>
        <w:pBdr>
          <w:bottom w:val="single" w:sz="4" w:space="1" w:color="999999"/>
        </w:pBdr>
        <w:spacing w:before="280" w:after="280"/>
      </w:pPr>
    </w:p>
    <w:p w14:paraId="726B0B3C" w14:textId="77777777" w:rsidR="0080252C" w:rsidRDefault="0080252C" w:rsidP="0080252C">
      <w:pPr>
        <w:spacing w:after="180"/>
        <w:jc w:val="both"/>
      </w:pPr>
      <w:r>
        <w:rPr>
          <w:rFonts w:ascii="Times New Roman" w:eastAsia="Times New Roman" w:hAnsi="Times New Roman" w:cs="Times New Roman"/>
          <w:i/>
          <w:iCs/>
          <w:sz w:val="22"/>
          <w:szCs w:val="22"/>
        </w:rPr>
        <w:t xml:space="preserve">The reader who doth approach this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without first having read Chapters One and Two of the handbook </w:t>
      </w:r>
      <w:proofErr w:type="spellStart"/>
      <w:r>
        <w:rPr>
          <w:rFonts w:ascii="Times New Roman" w:eastAsia="Times New Roman" w:hAnsi="Times New Roman" w:cs="Times New Roman"/>
          <w:i/>
          <w:iCs/>
          <w:sz w:val="22"/>
          <w:szCs w:val="22"/>
        </w:rPr>
        <w:t>proceedeth</w:t>
      </w:r>
      <w:proofErr w:type="spellEnd"/>
      <w:r>
        <w:rPr>
          <w:rFonts w:ascii="Times New Roman" w:eastAsia="Times New Roman" w:hAnsi="Times New Roman" w:cs="Times New Roman"/>
          <w:i/>
          <w:iCs/>
          <w:sz w:val="22"/>
          <w:szCs w:val="22"/>
        </w:rPr>
        <w:t xml:space="preserve"> in the </w:t>
      </w:r>
      <w:proofErr w:type="spellStart"/>
      <w:r>
        <w:rPr>
          <w:rFonts w:ascii="Times New Roman" w:eastAsia="Times New Roman" w:hAnsi="Times New Roman" w:cs="Times New Roman"/>
          <w:i/>
          <w:iCs/>
          <w:sz w:val="22"/>
          <w:szCs w:val="22"/>
        </w:rPr>
        <w:t>maner</w:t>
      </w:r>
      <w:proofErr w:type="spellEnd"/>
      <w:r>
        <w:rPr>
          <w:rFonts w:ascii="Times New Roman" w:eastAsia="Times New Roman" w:hAnsi="Times New Roman" w:cs="Times New Roman"/>
          <w:i/>
          <w:iCs/>
          <w:sz w:val="22"/>
          <w:szCs w:val="22"/>
        </w:rPr>
        <w:t xml:space="preserve"> of a man who </w:t>
      </w:r>
      <w:proofErr w:type="spellStart"/>
      <w:r>
        <w:rPr>
          <w:rFonts w:ascii="Times New Roman" w:eastAsia="Times New Roman" w:hAnsi="Times New Roman" w:cs="Times New Roman"/>
          <w:i/>
          <w:iCs/>
          <w:sz w:val="22"/>
          <w:szCs w:val="22"/>
        </w:rPr>
        <w:t>attempteth</w:t>
      </w:r>
      <w:proofErr w:type="spellEnd"/>
      <w:r>
        <w:rPr>
          <w:rFonts w:ascii="Times New Roman" w:eastAsia="Times New Roman" w:hAnsi="Times New Roman" w:cs="Times New Roman"/>
          <w:i/>
          <w:iCs/>
          <w:sz w:val="22"/>
          <w:szCs w:val="22"/>
        </w:rPr>
        <w:t xml:space="preserve"> to construct a building without first having laid the foundations. He is urged, most </w:t>
      </w:r>
      <w:proofErr w:type="spellStart"/>
      <w:r>
        <w:rPr>
          <w:rFonts w:ascii="Times New Roman" w:eastAsia="Times New Roman" w:hAnsi="Times New Roman" w:cs="Times New Roman"/>
          <w:i/>
          <w:iCs/>
          <w:sz w:val="22"/>
          <w:szCs w:val="22"/>
        </w:rPr>
        <w:t>stronglie</w:t>
      </w:r>
      <w:proofErr w:type="spellEnd"/>
      <w:r>
        <w:rPr>
          <w:rFonts w:ascii="Times New Roman" w:eastAsia="Times New Roman" w:hAnsi="Times New Roman" w:cs="Times New Roman"/>
          <w:i/>
          <w:iCs/>
          <w:sz w:val="22"/>
          <w:szCs w:val="22"/>
        </w:rPr>
        <w:t xml:space="preserve">, to return to the beginning before continuing herein. The </w:t>
      </w:r>
      <w:proofErr w:type="spellStart"/>
      <w:r>
        <w:rPr>
          <w:rFonts w:ascii="Times New Roman" w:eastAsia="Times New Roman" w:hAnsi="Times New Roman" w:cs="Times New Roman"/>
          <w:i/>
          <w:iCs/>
          <w:sz w:val="22"/>
          <w:szCs w:val="22"/>
        </w:rPr>
        <w:t>methode</w:t>
      </w:r>
      <w:proofErr w:type="spellEnd"/>
      <w:r>
        <w:rPr>
          <w:rFonts w:ascii="Times New Roman" w:eastAsia="Times New Roman" w:hAnsi="Times New Roman" w:cs="Times New Roman"/>
          <w:i/>
          <w:iCs/>
          <w:sz w:val="22"/>
          <w:szCs w:val="22"/>
        </w:rPr>
        <w:t xml:space="preserve"> of </w:t>
      </w:r>
      <w:proofErr w:type="spellStart"/>
      <w:r>
        <w:rPr>
          <w:rFonts w:ascii="Times New Roman" w:eastAsia="Times New Roman" w:hAnsi="Times New Roman" w:cs="Times New Roman"/>
          <w:i/>
          <w:iCs/>
          <w:sz w:val="22"/>
          <w:szCs w:val="22"/>
        </w:rPr>
        <w:t>mesuringe</w:t>
      </w:r>
      <w:proofErr w:type="spellEnd"/>
      <w:r>
        <w:rPr>
          <w:rFonts w:ascii="Times New Roman" w:eastAsia="Times New Roman" w:hAnsi="Times New Roman" w:cs="Times New Roman"/>
          <w:i/>
          <w:iCs/>
          <w:sz w:val="22"/>
          <w:szCs w:val="22"/>
        </w:rPr>
        <w:t xml:space="preserve"> impact </w:t>
      </w:r>
      <w:proofErr w:type="spellStart"/>
      <w:r>
        <w:rPr>
          <w:rFonts w:ascii="Times New Roman" w:eastAsia="Times New Roman" w:hAnsi="Times New Roman" w:cs="Times New Roman"/>
          <w:i/>
          <w:iCs/>
          <w:sz w:val="22"/>
          <w:szCs w:val="22"/>
        </w:rPr>
        <w:t>dependeth</w:t>
      </w:r>
      <w:proofErr w:type="spellEnd"/>
      <w:r>
        <w:rPr>
          <w:rFonts w:ascii="Times New Roman" w:eastAsia="Times New Roman" w:hAnsi="Times New Roman" w:cs="Times New Roman"/>
          <w:i/>
          <w:iCs/>
          <w:sz w:val="22"/>
          <w:szCs w:val="22"/>
        </w:rPr>
        <w:t xml:space="preserve"> entirely upon the theoretical understanding of what impact </w:t>
      </w:r>
      <w:proofErr w:type="spellStart"/>
      <w:r>
        <w:rPr>
          <w:rFonts w:ascii="Times New Roman" w:eastAsia="Times New Roman" w:hAnsi="Times New Roman" w:cs="Times New Roman"/>
          <w:i/>
          <w:iCs/>
          <w:sz w:val="22"/>
          <w:szCs w:val="22"/>
        </w:rPr>
        <w:t>meaneth</w:t>
      </w:r>
      <w:proofErr w:type="spellEnd"/>
      <w:r>
        <w:rPr>
          <w:rFonts w:ascii="Times New Roman" w:eastAsia="Times New Roman" w:hAnsi="Times New Roman" w:cs="Times New Roman"/>
          <w:i/>
          <w:iCs/>
          <w:sz w:val="22"/>
          <w:szCs w:val="22"/>
        </w:rPr>
        <w:t>, and that understanding is set forth in Chapter Two. There is no shortcut.</w:t>
      </w:r>
    </w:p>
    <w:p w14:paraId="0F9AF596" w14:textId="77777777" w:rsidR="0080252C" w:rsidRDefault="0080252C" w:rsidP="0080252C">
      <w:pPr>
        <w:spacing w:after="100"/>
      </w:pPr>
    </w:p>
    <w:p w14:paraId="46CC277A" w14:textId="77777777" w:rsidR="0080252C" w:rsidRDefault="0080252C" w:rsidP="0080252C">
      <w:pPr>
        <w:spacing w:before="360" w:after="120"/>
      </w:pPr>
      <w:r>
        <w:rPr>
          <w:rFonts w:ascii="Times New Roman" w:eastAsia="Times New Roman" w:hAnsi="Times New Roman" w:cs="Times New Roman"/>
          <w:b/>
          <w:bCs/>
          <w:sz w:val="26"/>
          <w:szCs w:val="26"/>
        </w:rPr>
        <w:t xml:space="preserve">I. Of the </w:t>
      </w:r>
      <w:proofErr w:type="spellStart"/>
      <w:r>
        <w:rPr>
          <w:rFonts w:ascii="Times New Roman" w:eastAsia="Times New Roman" w:hAnsi="Times New Roman" w:cs="Times New Roman"/>
          <w:b/>
          <w:bCs/>
          <w:sz w:val="26"/>
          <w:szCs w:val="26"/>
        </w:rPr>
        <w:t>Groundwerk</w:t>
      </w:r>
      <w:proofErr w:type="spellEnd"/>
      <w:r>
        <w:rPr>
          <w:rFonts w:ascii="Times New Roman" w:eastAsia="Times New Roman" w:hAnsi="Times New Roman" w:cs="Times New Roman"/>
          <w:b/>
          <w:bCs/>
          <w:sz w:val="26"/>
          <w:szCs w:val="26"/>
        </w:rPr>
        <w:t xml:space="preserve"> of </w:t>
      </w:r>
      <w:proofErr w:type="spellStart"/>
      <w:r>
        <w:rPr>
          <w:rFonts w:ascii="Times New Roman" w:eastAsia="Times New Roman" w:hAnsi="Times New Roman" w:cs="Times New Roman"/>
          <w:b/>
          <w:bCs/>
          <w:sz w:val="26"/>
          <w:szCs w:val="26"/>
        </w:rPr>
        <w:t>Mesure</w:t>
      </w:r>
      <w:proofErr w:type="spellEnd"/>
      <w:r>
        <w:rPr>
          <w:rFonts w:ascii="Times New Roman" w:eastAsia="Times New Roman" w:hAnsi="Times New Roman" w:cs="Times New Roman"/>
          <w:b/>
          <w:bCs/>
          <w:sz w:val="26"/>
          <w:szCs w:val="26"/>
        </w:rPr>
        <w:t xml:space="preserve">: The Baseline </w:t>
      </w:r>
      <w:proofErr w:type="spellStart"/>
      <w:r>
        <w:rPr>
          <w:rFonts w:ascii="Times New Roman" w:eastAsia="Times New Roman" w:hAnsi="Times New Roman" w:cs="Times New Roman"/>
          <w:b/>
          <w:bCs/>
          <w:sz w:val="26"/>
          <w:szCs w:val="26"/>
        </w:rPr>
        <w:t>Assessement</w:t>
      </w:r>
      <w:proofErr w:type="spellEnd"/>
    </w:p>
    <w:p w14:paraId="21133EB3" w14:textId="77777777" w:rsidR="0080252C" w:rsidRDefault="0080252C" w:rsidP="0080252C">
      <w:pPr>
        <w:spacing w:after="180"/>
        <w:jc w:val="both"/>
      </w:pPr>
      <w:r>
        <w:rPr>
          <w:rFonts w:ascii="Times New Roman" w:eastAsia="Times New Roman" w:hAnsi="Times New Roman" w:cs="Times New Roman"/>
          <w:sz w:val="22"/>
          <w:szCs w:val="22"/>
        </w:rPr>
        <w:t xml:space="preserve">The baseline </w:t>
      </w:r>
      <w:proofErr w:type="spellStart"/>
      <w:r>
        <w:rPr>
          <w:rFonts w:ascii="Times New Roman" w:eastAsia="Times New Roman" w:hAnsi="Times New Roman" w:cs="Times New Roman"/>
          <w:sz w:val="22"/>
          <w:szCs w:val="22"/>
        </w:rPr>
        <w:t>assessement</w:t>
      </w:r>
      <w:proofErr w:type="spellEnd"/>
      <w:r>
        <w:rPr>
          <w:rFonts w:ascii="Times New Roman" w:eastAsia="Times New Roman" w:hAnsi="Times New Roman" w:cs="Times New Roman"/>
          <w:sz w:val="22"/>
          <w:szCs w:val="22"/>
        </w:rPr>
        <w:t xml:space="preserve"> of the MPI is established by two instruments working in concert: the national data of Key Stage Two attainment, which cometh from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the state, and the Entry </w:t>
      </w:r>
      <w:proofErr w:type="spellStart"/>
      <w:r>
        <w:rPr>
          <w:rFonts w:ascii="Times New Roman" w:eastAsia="Times New Roman" w:hAnsi="Times New Roman" w:cs="Times New Roman"/>
          <w:sz w:val="22"/>
          <w:szCs w:val="22"/>
        </w:rPr>
        <w:t>Assessement</w:t>
      </w:r>
      <w:proofErr w:type="spellEnd"/>
      <w:r>
        <w:rPr>
          <w:rFonts w:ascii="Times New Roman" w:eastAsia="Times New Roman" w:hAnsi="Times New Roman" w:cs="Times New Roman"/>
          <w:sz w:val="22"/>
          <w:szCs w:val="22"/>
        </w:rPr>
        <w:t xml:space="preserve"> Tool of Meridian's own devising, which is administered to children in the first half-</w:t>
      </w:r>
      <w:proofErr w:type="spellStart"/>
      <w:r>
        <w:rPr>
          <w:rFonts w:ascii="Times New Roman" w:eastAsia="Times New Roman" w:hAnsi="Times New Roman" w:cs="Times New Roman"/>
          <w:sz w:val="22"/>
          <w:szCs w:val="22"/>
        </w:rPr>
        <w:t>terme</w:t>
      </w:r>
      <w:proofErr w:type="spellEnd"/>
      <w:r>
        <w:rPr>
          <w:rFonts w:ascii="Times New Roman" w:eastAsia="Times New Roman" w:hAnsi="Times New Roman" w:cs="Times New Roman"/>
          <w:sz w:val="22"/>
          <w:szCs w:val="22"/>
        </w:rPr>
        <w:t xml:space="preserve"> of the seventh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of their schooling. These two instruments, taken together, are combined into a composite score for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child, expressed upon a scale whose </w:t>
      </w:r>
      <w:proofErr w:type="spellStart"/>
      <w:r>
        <w:rPr>
          <w:rFonts w:ascii="Times New Roman" w:eastAsia="Times New Roman" w:hAnsi="Times New Roman" w:cs="Times New Roman"/>
          <w:sz w:val="22"/>
          <w:szCs w:val="22"/>
        </w:rPr>
        <w:t>mene</w:t>
      </w:r>
      <w:proofErr w:type="spellEnd"/>
      <w:r>
        <w:rPr>
          <w:rFonts w:ascii="Times New Roman" w:eastAsia="Times New Roman" w:hAnsi="Times New Roman" w:cs="Times New Roman"/>
          <w:sz w:val="22"/>
          <w:szCs w:val="22"/>
        </w:rPr>
        <w:t xml:space="preserve"> is </w:t>
      </w:r>
      <w:proofErr w:type="gramStart"/>
      <w:r>
        <w:rPr>
          <w:rFonts w:ascii="Times New Roman" w:eastAsia="Times New Roman" w:hAnsi="Times New Roman" w:cs="Times New Roman"/>
          <w:sz w:val="22"/>
          <w:szCs w:val="22"/>
        </w:rPr>
        <w:t>an</w:t>
      </w:r>
      <w:proofErr w:type="gramEnd"/>
      <w:r>
        <w:rPr>
          <w:rFonts w:ascii="Times New Roman" w:eastAsia="Times New Roman" w:hAnsi="Times New Roman" w:cs="Times New Roman"/>
          <w:sz w:val="22"/>
          <w:szCs w:val="22"/>
        </w:rPr>
        <w:t xml:space="preserve"> hundred and </w:t>
      </w:r>
      <w:proofErr w:type="gramStart"/>
      <w:r>
        <w:rPr>
          <w:rFonts w:ascii="Times New Roman" w:eastAsia="Times New Roman" w:hAnsi="Times New Roman" w:cs="Times New Roman"/>
          <w:sz w:val="22"/>
          <w:szCs w:val="22"/>
        </w:rPr>
        <w:t>whose</w:t>
      </w:r>
      <w:proofErr w:type="gramEnd"/>
      <w:r>
        <w:rPr>
          <w:rFonts w:ascii="Times New Roman" w:eastAsia="Times New Roman" w:hAnsi="Times New Roman" w:cs="Times New Roman"/>
          <w:sz w:val="22"/>
          <w:szCs w:val="22"/>
        </w:rPr>
        <w:t xml:space="preserve"> standard </w:t>
      </w:r>
      <w:proofErr w:type="spellStart"/>
      <w:r>
        <w:rPr>
          <w:rFonts w:ascii="Times New Roman" w:eastAsia="Times New Roman" w:hAnsi="Times New Roman" w:cs="Times New Roman"/>
          <w:sz w:val="22"/>
          <w:szCs w:val="22"/>
        </w:rPr>
        <w:t>deviacion</w:t>
      </w:r>
      <w:proofErr w:type="spellEnd"/>
      <w:r>
        <w:rPr>
          <w:rFonts w:ascii="Times New Roman" w:eastAsia="Times New Roman" w:hAnsi="Times New Roman" w:cs="Times New Roman"/>
          <w:sz w:val="22"/>
          <w:szCs w:val="22"/>
        </w:rPr>
        <w:t xml:space="preserve"> is fifteen. This is the common scale of standardised </w:t>
      </w:r>
      <w:proofErr w:type="spellStart"/>
      <w:r>
        <w:rPr>
          <w:rFonts w:ascii="Times New Roman" w:eastAsia="Times New Roman" w:hAnsi="Times New Roman" w:cs="Times New Roman"/>
          <w:sz w:val="22"/>
          <w:szCs w:val="22"/>
        </w:rPr>
        <w:t>assessement</w:t>
      </w:r>
      <w:proofErr w:type="spellEnd"/>
      <w:r>
        <w:rPr>
          <w:rFonts w:ascii="Times New Roman" w:eastAsia="Times New Roman" w:hAnsi="Times New Roman" w:cs="Times New Roman"/>
          <w:sz w:val="22"/>
          <w:szCs w:val="22"/>
        </w:rPr>
        <w:t xml:space="preserve"> throughout the </w:t>
      </w:r>
      <w:proofErr w:type="spellStart"/>
      <w:r>
        <w:rPr>
          <w:rFonts w:ascii="Times New Roman" w:eastAsia="Times New Roman" w:hAnsi="Times New Roman" w:cs="Times New Roman"/>
          <w:sz w:val="22"/>
          <w:szCs w:val="22"/>
        </w:rPr>
        <w:t>lond</w:t>
      </w:r>
      <w:proofErr w:type="spellEnd"/>
      <w:r>
        <w:rPr>
          <w:rFonts w:ascii="Times New Roman" w:eastAsia="Times New Roman" w:hAnsi="Times New Roman" w:cs="Times New Roman"/>
          <w:sz w:val="22"/>
          <w:szCs w:val="22"/>
        </w:rPr>
        <w:t xml:space="preserve">, and the reader who is not yet acquainted with the nature and significance of standard </w:t>
      </w:r>
      <w:proofErr w:type="spellStart"/>
      <w:r>
        <w:rPr>
          <w:rFonts w:ascii="Times New Roman" w:eastAsia="Times New Roman" w:hAnsi="Times New Roman" w:cs="Times New Roman"/>
          <w:sz w:val="22"/>
          <w:szCs w:val="22"/>
        </w:rPr>
        <w:t>deviacioun</w:t>
      </w:r>
      <w:proofErr w:type="spellEnd"/>
      <w:r>
        <w:rPr>
          <w:rFonts w:ascii="Times New Roman" w:eastAsia="Times New Roman" w:hAnsi="Times New Roman" w:cs="Times New Roman"/>
          <w:sz w:val="22"/>
          <w:szCs w:val="22"/>
        </w:rPr>
        <w:t xml:space="preserve"> should consult a statistician before proceeding. This reader hath no patience for those who cite such figures without comprehending them.</w:t>
      </w:r>
    </w:p>
    <w:p w14:paraId="7A592886" w14:textId="77777777" w:rsidR="0080252C" w:rsidRDefault="0080252C" w:rsidP="0080252C">
      <w:pPr>
        <w:spacing w:after="180"/>
        <w:jc w:val="both"/>
      </w:pPr>
      <w:r>
        <w:rPr>
          <w:rFonts w:ascii="Times New Roman" w:eastAsia="Times New Roman" w:hAnsi="Times New Roman" w:cs="Times New Roman"/>
          <w:sz w:val="22"/>
          <w:szCs w:val="22"/>
        </w:rPr>
        <w:t xml:space="preserve">Of considerable importance: the composite baseline is aggregated at the level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for all purposes of the programme's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The individual data of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child is not employed in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 at the level of the programme. This is both a matter of methodological propriety and a matter of the legal </w:t>
      </w:r>
      <w:proofErr w:type="spellStart"/>
      <w:r>
        <w:rPr>
          <w:rFonts w:ascii="Times New Roman" w:eastAsia="Times New Roman" w:hAnsi="Times New Roman" w:cs="Times New Roman"/>
          <w:sz w:val="22"/>
          <w:szCs w:val="22"/>
        </w:rPr>
        <w:t>proteccioun</w:t>
      </w:r>
      <w:proofErr w:type="spellEnd"/>
      <w:r>
        <w:rPr>
          <w:rFonts w:ascii="Times New Roman" w:eastAsia="Times New Roman" w:hAnsi="Times New Roman" w:cs="Times New Roman"/>
          <w:sz w:val="22"/>
          <w:szCs w:val="22"/>
        </w:rPr>
        <w:t xml:space="preserve"> of data. The reader should understand both reasons and be capable of explaining them if asked.</w:t>
      </w:r>
    </w:p>
    <w:p w14:paraId="4974922B" w14:textId="77777777" w:rsidR="0080252C" w:rsidRDefault="0080252C" w:rsidP="0080252C">
      <w:pPr>
        <w:spacing w:before="360" w:after="120"/>
      </w:pPr>
      <w:r>
        <w:rPr>
          <w:rFonts w:ascii="Times New Roman" w:eastAsia="Times New Roman" w:hAnsi="Times New Roman" w:cs="Times New Roman"/>
          <w:b/>
          <w:bCs/>
          <w:sz w:val="26"/>
          <w:szCs w:val="26"/>
        </w:rPr>
        <w:t xml:space="preserve">II. Of the </w:t>
      </w:r>
      <w:proofErr w:type="spellStart"/>
      <w:r>
        <w:rPr>
          <w:rFonts w:ascii="Times New Roman" w:eastAsia="Times New Roman" w:hAnsi="Times New Roman" w:cs="Times New Roman"/>
          <w:b/>
          <w:bCs/>
          <w:sz w:val="26"/>
          <w:szCs w:val="26"/>
        </w:rPr>
        <w:t>Progres</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Fidelitee</w:t>
      </w:r>
      <w:proofErr w:type="spellEnd"/>
      <w:r>
        <w:rPr>
          <w:rFonts w:ascii="Times New Roman" w:eastAsia="Times New Roman" w:hAnsi="Times New Roman" w:cs="Times New Roman"/>
          <w:b/>
          <w:bCs/>
          <w:sz w:val="26"/>
          <w:szCs w:val="26"/>
        </w:rPr>
        <w:t xml:space="preserve"> Score</w:t>
      </w:r>
    </w:p>
    <w:p w14:paraId="18184E45" w14:textId="77777777" w:rsidR="0080252C" w:rsidRDefault="0080252C" w:rsidP="0080252C">
      <w:pPr>
        <w:spacing w:after="180"/>
        <w:jc w:val="both"/>
      </w:pPr>
      <w:r>
        <w:rPr>
          <w:rFonts w:ascii="Times New Roman" w:eastAsia="Times New Roman" w:hAnsi="Times New Roman" w:cs="Times New Roman"/>
          <w:sz w:val="22"/>
          <w:szCs w:val="22"/>
        </w:rPr>
        <w:t xml:space="preserve">The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Score — called in the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abbreviacioun</w:t>
      </w:r>
      <w:proofErr w:type="spellEnd"/>
      <w:r>
        <w:rPr>
          <w:rFonts w:ascii="Times New Roman" w:eastAsia="Times New Roman" w:hAnsi="Times New Roman" w:cs="Times New Roman"/>
          <w:sz w:val="22"/>
          <w:szCs w:val="22"/>
        </w:rPr>
        <w:t xml:space="preserve"> the PFS — is a </w:t>
      </w:r>
      <w:proofErr w:type="spellStart"/>
      <w:r>
        <w:rPr>
          <w:rFonts w:ascii="Times New Roman" w:eastAsia="Times New Roman" w:hAnsi="Times New Roman" w:cs="Times New Roman"/>
          <w:sz w:val="22"/>
          <w:szCs w:val="22"/>
        </w:rPr>
        <w:t>mesure</w:t>
      </w:r>
      <w:proofErr w:type="spellEnd"/>
      <w:r>
        <w:rPr>
          <w:rFonts w:ascii="Times New Roman" w:eastAsia="Times New Roman" w:hAnsi="Times New Roman" w:cs="Times New Roman"/>
          <w:sz w:val="22"/>
          <w:szCs w:val="22"/>
        </w:rPr>
        <w:t xml:space="preserve"> calculated at the level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which doth assess the degree to which the observed outcomes of that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do accord with its predicted trajectory, adjusted for the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of the programme's putting-into-effect. It is emphatically not a simple </w:t>
      </w:r>
      <w:proofErr w:type="spellStart"/>
      <w:r>
        <w:rPr>
          <w:rFonts w:ascii="Times New Roman" w:eastAsia="Times New Roman" w:hAnsi="Times New Roman" w:cs="Times New Roman"/>
          <w:sz w:val="22"/>
          <w:szCs w:val="22"/>
        </w:rPr>
        <w:t>mesure</w:t>
      </w:r>
      <w:proofErr w:type="spellEnd"/>
      <w:r>
        <w:rPr>
          <w:rFonts w:ascii="Times New Roman" w:eastAsia="Times New Roman" w:hAnsi="Times New Roman" w:cs="Times New Roman"/>
          <w:sz w:val="22"/>
          <w:szCs w:val="22"/>
        </w:rPr>
        <w:t xml:space="preserve"> of attainment, and any person who </w:t>
      </w:r>
      <w:proofErr w:type="spellStart"/>
      <w:r>
        <w:rPr>
          <w:rFonts w:ascii="Times New Roman" w:eastAsia="Times New Roman" w:hAnsi="Times New Roman" w:cs="Times New Roman"/>
          <w:sz w:val="22"/>
          <w:szCs w:val="22"/>
        </w:rPr>
        <w:t>treateth</w:t>
      </w:r>
      <w:proofErr w:type="spellEnd"/>
      <w:r>
        <w:rPr>
          <w:rFonts w:ascii="Times New Roman" w:eastAsia="Times New Roman" w:hAnsi="Times New Roman" w:cs="Times New Roman"/>
          <w:sz w:val="22"/>
          <w:szCs w:val="22"/>
        </w:rPr>
        <w:t xml:space="preserve"> it as such hath understood nothing of this chapter and should be required to read it again from the beginning.</w:t>
      </w:r>
    </w:p>
    <w:p w14:paraId="777F6DF4" w14:textId="77777777" w:rsidR="0080252C" w:rsidRDefault="0080252C" w:rsidP="0080252C">
      <w:pPr>
        <w:spacing w:after="180"/>
        <w:jc w:val="both"/>
      </w:pPr>
      <w:r>
        <w:rPr>
          <w:rFonts w:ascii="Times New Roman" w:eastAsia="Times New Roman" w:hAnsi="Times New Roman" w:cs="Times New Roman"/>
          <w:sz w:val="22"/>
          <w:szCs w:val="22"/>
        </w:rPr>
        <w:t xml:space="preserve">The PFS is calculated from three inputs: first, the gap </w:t>
      </w:r>
      <w:proofErr w:type="spellStart"/>
      <w:r>
        <w:rPr>
          <w:rFonts w:ascii="Times New Roman" w:eastAsia="Times New Roman" w:hAnsi="Times New Roman" w:cs="Times New Roman"/>
          <w:sz w:val="22"/>
          <w:szCs w:val="22"/>
        </w:rPr>
        <w:t>bitwene</w:t>
      </w:r>
      <w:proofErr w:type="spellEnd"/>
      <w:r>
        <w:rPr>
          <w:rFonts w:ascii="Times New Roman" w:eastAsia="Times New Roman" w:hAnsi="Times New Roman" w:cs="Times New Roman"/>
          <w:sz w:val="22"/>
          <w:szCs w:val="22"/>
        </w:rPr>
        <w:t xml:space="preserve"> predicted and actual outcomes at GCSE, which is called the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delta; second, the score of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derived from the annual audit of the programme, the nature of which is described at length in Chapter Nine; and third, a coefficient of </w:t>
      </w:r>
      <w:proofErr w:type="spellStart"/>
      <w:r>
        <w:rPr>
          <w:rFonts w:ascii="Times New Roman" w:eastAsia="Times New Roman" w:hAnsi="Times New Roman" w:cs="Times New Roman"/>
          <w:sz w:val="22"/>
          <w:szCs w:val="22"/>
        </w:rPr>
        <w:t>stabilitee</w:t>
      </w:r>
      <w:proofErr w:type="spellEnd"/>
      <w:r>
        <w:rPr>
          <w:rFonts w:ascii="Times New Roman" w:eastAsia="Times New Roman" w:hAnsi="Times New Roman" w:cs="Times New Roman"/>
          <w:sz w:val="22"/>
          <w:szCs w:val="22"/>
        </w:rPr>
        <w:t xml:space="preserve"> which doth account for </w:t>
      </w:r>
      <w:proofErr w:type="spellStart"/>
      <w:r>
        <w:rPr>
          <w:rFonts w:ascii="Times New Roman" w:eastAsia="Times New Roman" w:hAnsi="Times New Roman" w:cs="Times New Roman"/>
          <w:sz w:val="22"/>
          <w:szCs w:val="22"/>
        </w:rPr>
        <w:t>variaunce</w:t>
      </w:r>
      <w:proofErr w:type="spellEnd"/>
      <w:r>
        <w:rPr>
          <w:rFonts w:ascii="Times New Roman" w:eastAsia="Times New Roman" w:hAnsi="Times New Roman" w:cs="Times New Roman"/>
          <w:sz w:val="22"/>
          <w:szCs w:val="22"/>
        </w:rPr>
        <w:t xml:space="preserve"> at the level of the cohort. The resulting score is expressed upon a scale of zero to </w:t>
      </w:r>
      <w:proofErr w:type="gramStart"/>
      <w:r>
        <w:rPr>
          <w:rFonts w:ascii="Times New Roman" w:eastAsia="Times New Roman" w:hAnsi="Times New Roman" w:cs="Times New Roman"/>
          <w:sz w:val="22"/>
          <w:szCs w:val="22"/>
        </w:rPr>
        <w:t>an</w:t>
      </w:r>
      <w:proofErr w:type="gramEnd"/>
      <w:r>
        <w:rPr>
          <w:rFonts w:ascii="Times New Roman" w:eastAsia="Times New Roman" w:hAnsi="Times New Roman" w:cs="Times New Roman"/>
          <w:sz w:val="22"/>
          <w:szCs w:val="22"/>
        </w:rPr>
        <w:t xml:space="preserve"> hundred. Scoles achieving a score above </w:t>
      </w:r>
      <w:proofErr w:type="spellStart"/>
      <w:r>
        <w:rPr>
          <w:rFonts w:ascii="Times New Roman" w:eastAsia="Times New Roman" w:hAnsi="Times New Roman" w:cs="Times New Roman"/>
          <w:sz w:val="22"/>
          <w:szCs w:val="22"/>
        </w:rPr>
        <w:t>seventi</w:t>
      </w:r>
      <w:proofErr w:type="spellEnd"/>
      <w:r>
        <w:rPr>
          <w:rFonts w:ascii="Times New Roman" w:eastAsia="Times New Roman" w:hAnsi="Times New Roman" w:cs="Times New Roman"/>
          <w:sz w:val="22"/>
          <w:szCs w:val="22"/>
        </w:rPr>
        <w:t xml:space="preserve"> do demonstrate strong </w:t>
      </w:r>
      <w:proofErr w:type="spellStart"/>
      <w:r>
        <w:rPr>
          <w:rFonts w:ascii="Times New Roman" w:eastAsia="Times New Roman" w:hAnsi="Times New Roman" w:cs="Times New Roman"/>
          <w:sz w:val="22"/>
          <w:szCs w:val="22"/>
        </w:rPr>
        <w:t>accordaunce</w:t>
      </w:r>
      <w:proofErr w:type="spellEnd"/>
      <w:r>
        <w:rPr>
          <w:rFonts w:ascii="Times New Roman" w:eastAsia="Times New Roman" w:hAnsi="Times New Roman" w:cs="Times New Roman"/>
          <w:sz w:val="22"/>
          <w:szCs w:val="22"/>
        </w:rPr>
        <w:t xml:space="preserve"> with the programme. Those </w:t>
      </w:r>
      <w:proofErr w:type="spellStart"/>
      <w:r>
        <w:rPr>
          <w:rFonts w:ascii="Times New Roman" w:eastAsia="Times New Roman" w:hAnsi="Times New Roman" w:cs="Times New Roman"/>
          <w:sz w:val="22"/>
          <w:szCs w:val="22"/>
        </w:rPr>
        <w:t>bitwene</w:t>
      </w:r>
      <w:proofErr w:type="spellEnd"/>
      <w:r>
        <w:rPr>
          <w:rFonts w:ascii="Times New Roman" w:eastAsia="Times New Roman" w:hAnsi="Times New Roman" w:cs="Times New Roman"/>
          <w:sz w:val="22"/>
          <w:szCs w:val="22"/>
        </w:rPr>
        <w:t xml:space="preserve"> fifty and </w:t>
      </w:r>
      <w:proofErr w:type="spellStart"/>
      <w:r>
        <w:rPr>
          <w:rFonts w:ascii="Times New Roman" w:eastAsia="Times New Roman" w:hAnsi="Times New Roman" w:cs="Times New Roman"/>
          <w:sz w:val="22"/>
          <w:szCs w:val="22"/>
        </w:rPr>
        <w:t>seventi</w:t>
      </w:r>
      <w:proofErr w:type="spellEnd"/>
      <w:r>
        <w:rPr>
          <w:rFonts w:ascii="Times New Roman" w:eastAsia="Times New Roman" w:hAnsi="Times New Roman" w:cs="Times New Roman"/>
          <w:sz w:val="22"/>
          <w:szCs w:val="22"/>
        </w:rPr>
        <w:t xml:space="preserve"> demonstrate adequate </w:t>
      </w:r>
      <w:proofErr w:type="spellStart"/>
      <w:r>
        <w:rPr>
          <w:rFonts w:ascii="Times New Roman" w:eastAsia="Times New Roman" w:hAnsi="Times New Roman" w:cs="Times New Roman"/>
          <w:sz w:val="22"/>
          <w:szCs w:val="22"/>
        </w:rPr>
        <w:t>accordaunce</w:t>
      </w:r>
      <w:proofErr w:type="spellEnd"/>
      <w:r>
        <w:rPr>
          <w:rFonts w:ascii="Times New Roman" w:eastAsia="Times New Roman" w:hAnsi="Times New Roman" w:cs="Times New Roman"/>
          <w:sz w:val="22"/>
          <w:szCs w:val="22"/>
        </w:rPr>
        <w:t xml:space="preserve">. Those below fifty have not met the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necessary </w:t>
      </w:r>
      <w:proofErr w:type="gramStart"/>
      <w:r>
        <w:rPr>
          <w:rFonts w:ascii="Times New Roman" w:eastAsia="Times New Roman" w:hAnsi="Times New Roman" w:cs="Times New Roman"/>
          <w:sz w:val="22"/>
          <w:szCs w:val="22"/>
        </w:rPr>
        <w:t>for the production of</w:t>
      </w:r>
      <w:proofErr w:type="gramEnd"/>
      <w:r>
        <w:rPr>
          <w:rFonts w:ascii="Times New Roman" w:eastAsia="Times New Roman" w:hAnsi="Times New Roman" w:cs="Times New Roman"/>
          <w:sz w:val="22"/>
          <w:szCs w:val="22"/>
        </w:rPr>
        <w:t xml:space="preserve"> interpretable data of outcomes.</w:t>
      </w:r>
    </w:p>
    <w:p w14:paraId="6EAA0F04" w14:textId="77777777" w:rsidR="0080252C" w:rsidRDefault="0080252C" w:rsidP="0080252C">
      <w:pPr>
        <w:spacing w:after="180"/>
        <w:jc w:val="both"/>
      </w:pPr>
      <w:r>
        <w:rPr>
          <w:rFonts w:ascii="Times New Roman" w:eastAsia="Times New Roman" w:hAnsi="Times New Roman" w:cs="Times New Roman"/>
          <w:sz w:val="22"/>
          <w:szCs w:val="22"/>
        </w:rPr>
        <w:lastRenderedPageBreak/>
        <w:t xml:space="preserve">The PFS is an internal instrument of Meridian and is not shared with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directlie</w:t>
      </w:r>
      <w:proofErr w:type="spellEnd"/>
      <w:r>
        <w:rPr>
          <w:rFonts w:ascii="Times New Roman" w:eastAsia="Times New Roman" w:hAnsi="Times New Roman" w:cs="Times New Roman"/>
          <w:sz w:val="22"/>
          <w:szCs w:val="22"/>
        </w:rPr>
        <w:t xml:space="preserve">. Its role in determining which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do contribute to the programme-level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 is set forth in full in Chapter Eleven. The reader is advised now, and will be advised again, that Chapter Eleven is the most consequential chapter in the handbook. This advisement is not rhetorical.</w:t>
      </w:r>
    </w:p>
    <w:p w14:paraId="0D0F0385" w14:textId="77777777" w:rsidR="0080252C" w:rsidRDefault="0080252C" w:rsidP="0080252C">
      <w:pPr>
        <w:spacing w:before="360" w:after="120"/>
      </w:pPr>
      <w:r>
        <w:rPr>
          <w:rFonts w:ascii="Times New Roman" w:eastAsia="Times New Roman" w:hAnsi="Times New Roman" w:cs="Times New Roman"/>
          <w:b/>
          <w:bCs/>
          <w:sz w:val="26"/>
          <w:szCs w:val="26"/>
        </w:rPr>
        <w:t xml:space="preserve">III. Of the </w:t>
      </w:r>
      <w:proofErr w:type="spellStart"/>
      <w:r>
        <w:rPr>
          <w:rFonts w:ascii="Times New Roman" w:eastAsia="Times New Roman" w:hAnsi="Times New Roman" w:cs="Times New Roman"/>
          <w:b/>
          <w:bCs/>
          <w:sz w:val="26"/>
          <w:szCs w:val="26"/>
        </w:rPr>
        <w:t>Calibracioun</w:t>
      </w:r>
      <w:proofErr w:type="spellEnd"/>
      <w:r>
        <w:rPr>
          <w:rFonts w:ascii="Times New Roman" w:eastAsia="Times New Roman" w:hAnsi="Times New Roman" w:cs="Times New Roman"/>
          <w:b/>
          <w:bCs/>
          <w:sz w:val="26"/>
          <w:szCs w:val="26"/>
        </w:rPr>
        <w:t xml:space="preserve"> of Cohorts from </w:t>
      </w:r>
      <w:proofErr w:type="spellStart"/>
      <w:r>
        <w:rPr>
          <w:rFonts w:ascii="Times New Roman" w:eastAsia="Times New Roman" w:hAnsi="Times New Roman" w:cs="Times New Roman"/>
          <w:b/>
          <w:bCs/>
          <w:sz w:val="26"/>
          <w:szCs w:val="26"/>
        </w:rPr>
        <w:t>Yeer</w:t>
      </w:r>
      <w:proofErr w:type="spellEnd"/>
      <w:r>
        <w:rPr>
          <w:rFonts w:ascii="Times New Roman" w:eastAsia="Times New Roman" w:hAnsi="Times New Roman" w:cs="Times New Roman"/>
          <w:b/>
          <w:bCs/>
          <w:sz w:val="26"/>
          <w:szCs w:val="26"/>
        </w:rPr>
        <w:t xml:space="preserve"> to </w:t>
      </w:r>
      <w:proofErr w:type="spellStart"/>
      <w:r>
        <w:rPr>
          <w:rFonts w:ascii="Times New Roman" w:eastAsia="Times New Roman" w:hAnsi="Times New Roman" w:cs="Times New Roman"/>
          <w:b/>
          <w:bCs/>
          <w:sz w:val="26"/>
          <w:szCs w:val="26"/>
        </w:rPr>
        <w:t>Yeer</w:t>
      </w:r>
      <w:proofErr w:type="spellEnd"/>
    </w:p>
    <w:p w14:paraId="1406AA8F" w14:textId="77777777" w:rsidR="0080252C" w:rsidRDefault="0080252C" w:rsidP="0080252C">
      <w:pPr>
        <w:spacing w:after="180"/>
        <w:jc w:val="both"/>
      </w:pPr>
      <w:r>
        <w:rPr>
          <w:rFonts w:ascii="Times New Roman" w:eastAsia="Times New Roman" w:hAnsi="Times New Roman" w:cs="Times New Roman"/>
          <w:sz w:val="22"/>
          <w:szCs w:val="22"/>
        </w:rPr>
        <w:t xml:space="preserve">Without the </w:t>
      </w:r>
      <w:proofErr w:type="spellStart"/>
      <w:r>
        <w:rPr>
          <w:rFonts w:ascii="Times New Roman" w:eastAsia="Times New Roman" w:hAnsi="Times New Roman" w:cs="Times New Roman"/>
          <w:sz w:val="22"/>
          <w:szCs w:val="22"/>
        </w:rPr>
        <w:t>calibracioun</w:t>
      </w:r>
      <w:proofErr w:type="spellEnd"/>
      <w:r>
        <w:rPr>
          <w:rFonts w:ascii="Times New Roman" w:eastAsia="Times New Roman" w:hAnsi="Times New Roman" w:cs="Times New Roman"/>
          <w:sz w:val="22"/>
          <w:szCs w:val="22"/>
        </w:rPr>
        <w:t xml:space="preserve"> of cohorts,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longitudinal impact across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xml:space="preserve"> would be subject to the natural </w:t>
      </w:r>
      <w:proofErr w:type="spellStart"/>
      <w:r>
        <w:rPr>
          <w:rFonts w:ascii="Times New Roman" w:eastAsia="Times New Roman" w:hAnsi="Times New Roman" w:cs="Times New Roman"/>
          <w:sz w:val="22"/>
          <w:szCs w:val="22"/>
        </w:rPr>
        <w:t>variaunce</w:t>
      </w:r>
      <w:proofErr w:type="spellEnd"/>
      <w:r>
        <w:rPr>
          <w:rFonts w:ascii="Times New Roman" w:eastAsia="Times New Roman" w:hAnsi="Times New Roman" w:cs="Times New Roman"/>
          <w:sz w:val="22"/>
          <w:szCs w:val="22"/>
        </w:rPr>
        <w:t xml:space="preserve"> of intake from one cohort to the next, in such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that a programme whose partner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did in one particular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recruit children of stronger prior attainment would appear, in the absence of </w:t>
      </w:r>
      <w:proofErr w:type="spellStart"/>
      <w:r>
        <w:rPr>
          <w:rFonts w:ascii="Times New Roman" w:eastAsia="Times New Roman" w:hAnsi="Times New Roman" w:cs="Times New Roman"/>
          <w:sz w:val="22"/>
          <w:szCs w:val="22"/>
        </w:rPr>
        <w:t>calibracioun</w:t>
      </w:r>
      <w:proofErr w:type="spellEnd"/>
      <w:r>
        <w:rPr>
          <w:rFonts w:ascii="Times New Roman" w:eastAsia="Times New Roman" w:hAnsi="Times New Roman" w:cs="Times New Roman"/>
          <w:sz w:val="22"/>
          <w:szCs w:val="22"/>
        </w:rPr>
        <w:t xml:space="preserve">, of greater </w:t>
      </w:r>
      <w:proofErr w:type="spellStart"/>
      <w:r>
        <w:rPr>
          <w:rFonts w:ascii="Times New Roman" w:eastAsia="Times New Roman" w:hAnsi="Times New Roman" w:cs="Times New Roman"/>
          <w:sz w:val="22"/>
          <w:szCs w:val="22"/>
        </w:rPr>
        <w:t>efficacie</w:t>
      </w:r>
      <w:proofErr w:type="spellEnd"/>
      <w:r>
        <w:rPr>
          <w:rFonts w:ascii="Times New Roman" w:eastAsia="Times New Roman" w:hAnsi="Times New Roman" w:cs="Times New Roman"/>
          <w:sz w:val="22"/>
          <w:szCs w:val="22"/>
        </w:rPr>
        <w:t xml:space="preserve"> than it truly is; and contrariwise, a programme whose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did recruit children of weaker prior attainment in a given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would appear of lesser </w:t>
      </w:r>
      <w:proofErr w:type="spellStart"/>
      <w:r>
        <w:rPr>
          <w:rFonts w:ascii="Times New Roman" w:eastAsia="Times New Roman" w:hAnsi="Times New Roman" w:cs="Times New Roman"/>
          <w:sz w:val="22"/>
          <w:szCs w:val="22"/>
        </w:rPr>
        <w:t>efficacie</w:t>
      </w:r>
      <w:proofErr w:type="spellEnd"/>
      <w:r>
        <w:rPr>
          <w:rFonts w:ascii="Times New Roman" w:eastAsia="Times New Roman" w:hAnsi="Times New Roman" w:cs="Times New Roman"/>
          <w:sz w:val="22"/>
          <w:szCs w:val="22"/>
        </w:rPr>
        <w:t xml:space="preserve"> than the truth warranted. This </w:t>
      </w:r>
      <w:proofErr w:type="spellStart"/>
      <w:r>
        <w:rPr>
          <w:rFonts w:ascii="Times New Roman" w:eastAsia="Times New Roman" w:hAnsi="Times New Roman" w:cs="Times New Roman"/>
          <w:sz w:val="22"/>
          <w:szCs w:val="22"/>
        </w:rPr>
        <w:t>errour</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interpretacioun</w:t>
      </w:r>
      <w:proofErr w:type="spellEnd"/>
      <w:r>
        <w:rPr>
          <w:rFonts w:ascii="Times New Roman" w:eastAsia="Times New Roman" w:hAnsi="Times New Roman" w:cs="Times New Roman"/>
          <w:sz w:val="22"/>
          <w:szCs w:val="22"/>
        </w:rPr>
        <w:t xml:space="preserve"> is not a small one. It is, in this reader's experience, one of the </w:t>
      </w:r>
      <w:proofErr w:type="gramStart"/>
      <w:r>
        <w:rPr>
          <w:rFonts w:ascii="Times New Roman" w:eastAsia="Times New Roman" w:hAnsi="Times New Roman" w:cs="Times New Roman"/>
          <w:sz w:val="22"/>
          <w:szCs w:val="22"/>
        </w:rPr>
        <w:t>most commonly made</w:t>
      </w:r>
      <w:proofErr w:type="gramEnd"/>
      <w:r>
        <w:rPr>
          <w:rFonts w:ascii="Times New Roman" w:eastAsia="Times New Roman" w:hAnsi="Times New Roman" w:cs="Times New Roman"/>
          <w:sz w:val="22"/>
          <w:szCs w:val="22"/>
        </w:rPr>
        <w:t xml:space="preserve"> by those who have not attended carefully to the foundations of the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It is also one of the most consequential, because it permits the attribution to the programme of effects that belong properly to the intake.</w:t>
      </w:r>
    </w:p>
    <w:p w14:paraId="5EC9EDFD" w14:textId="77777777" w:rsidR="0080252C" w:rsidRDefault="0080252C" w:rsidP="0080252C">
      <w:pPr>
        <w:spacing w:after="180"/>
        <w:jc w:val="both"/>
      </w:pPr>
      <w:r>
        <w:rPr>
          <w:rFonts w:ascii="Times New Roman" w:eastAsia="Times New Roman" w:hAnsi="Times New Roman" w:cs="Times New Roman"/>
          <w:sz w:val="22"/>
          <w:szCs w:val="22"/>
        </w:rPr>
        <w:t xml:space="preserve">The MPI </w:t>
      </w:r>
      <w:proofErr w:type="spellStart"/>
      <w:r>
        <w:rPr>
          <w:rFonts w:ascii="Times New Roman" w:eastAsia="Times New Roman" w:hAnsi="Times New Roman" w:cs="Times New Roman"/>
          <w:sz w:val="22"/>
          <w:szCs w:val="22"/>
        </w:rPr>
        <w:t>employeth</w:t>
      </w:r>
      <w:proofErr w:type="spellEnd"/>
      <w:r>
        <w:rPr>
          <w:rFonts w:ascii="Times New Roman" w:eastAsia="Times New Roman" w:hAnsi="Times New Roman" w:cs="Times New Roman"/>
          <w:sz w:val="22"/>
          <w:szCs w:val="22"/>
        </w:rPr>
        <w:t xml:space="preserve"> a rolling window of three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xml:space="preserve"> for the purpose of this </w:t>
      </w:r>
      <w:proofErr w:type="spellStart"/>
      <w:r>
        <w:rPr>
          <w:rFonts w:ascii="Times New Roman" w:eastAsia="Times New Roman" w:hAnsi="Times New Roman" w:cs="Times New Roman"/>
          <w:sz w:val="22"/>
          <w:szCs w:val="22"/>
        </w:rPr>
        <w:t>calibracioun</w:t>
      </w:r>
      <w:proofErr w:type="spellEnd"/>
      <w:r>
        <w:rPr>
          <w:rFonts w:ascii="Times New Roman" w:eastAsia="Times New Roman" w:hAnsi="Times New Roman" w:cs="Times New Roman"/>
          <w:sz w:val="22"/>
          <w:szCs w:val="22"/>
        </w:rPr>
        <w:t xml:space="preserve">. The baseline of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yeer's</w:t>
      </w:r>
      <w:proofErr w:type="spellEnd"/>
      <w:r>
        <w:rPr>
          <w:rFonts w:ascii="Times New Roman" w:eastAsia="Times New Roman" w:hAnsi="Times New Roman" w:cs="Times New Roman"/>
          <w:sz w:val="22"/>
          <w:szCs w:val="22"/>
        </w:rPr>
        <w:t xml:space="preserve"> cohort is expressed not against a fixed national benchmark but in relation to the three-</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average baseline of the same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This doth produce what is called the calibrated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delta, which is the </w:t>
      </w:r>
      <w:proofErr w:type="spellStart"/>
      <w:r>
        <w:rPr>
          <w:rFonts w:ascii="Times New Roman" w:eastAsia="Times New Roman" w:hAnsi="Times New Roman" w:cs="Times New Roman"/>
          <w:sz w:val="22"/>
          <w:szCs w:val="22"/>
        </w:rPr>
        <w:t>mesure</w:t>
      </w:r>
      <w:proofErr w:type="spellEnd"/>
      <w:r>
        <w:rPr>
          <w:rFonts w:ascii="Times New Roman" w:eastAsia="Times New Roman" w:hAnsi="Times New Roman" w:cs="Times New Roman"/>
          <w:sz w:val="22"/>
          <w:szCs w:val="22"/>
        </w:rPr>
        <w:t xml:space="preserve"> employed in all statements of the programme's impact at the level of the </w:t>
      </w:r>
      <w:proofErr w:type="gramStart"/>
      <w:r>
        <w:rPr>
          <w:rFonts w:ascii="Times New Roman" w:eastAsia="Times New Roman" w:hAnsi="Times New Roman" w:cs="Times New Roman"/>
          <w:sz w:val="22"/>
          <w:szCs w:val="22"/>
        </w:rPr>
        <w:t>programme as a whole</w:t>
      </w:r>
      <w:proofErr w:type="gramEnd"/>
      <w:r>
        <w:rPr>
          <w:rFonts w:ascii="Times New Roman" w:eastAsia="Times New Roman" w:hAnsi="Times New Roman" w:cs="Times New Roman"/>
          <w:sz w:val="22"/>
          <w:szCs w:val="22"/>
        </w:rPr>
        <w:t xml:space="preserve">. The reader is required to employ this calibrated figure in all documents pertaining to renewal and reporting. The uncalibrated figure of raw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must not be used, for it would produce results incomparable to those previously published and would therefore require correction at cost and with embarrassment.</w:t>
      </w:r>
    </w:p>
    <w:p w14:paraId="03BBEC0A" w14:textId="77777777" w:rsidR="0080252C" w:rsidRDefault="0080252C" w:rsidP="0080252C">
      <w:pPr>
        <w:spacing w:after="180"/>
        <w:jc w:val="both"/>
      </w:pPr>
      <w:r>
        <w:rPr>
          <w:rFonts w:ascii="Times New Roman" w:eastAsia="Times New Roman" w:hAnsi="Times New Roman" w:cs="Times New Roman"/>
          <w:sz w:val="22"/>
          <w:szCs w:val="22"/>
        </w:rPr>
        <w:t xml:space="preserve">Of especial importance, and a matter to which this reader would draw the reader's most careful </w:t>
      </w:r>
      <w:proofErr w:type="spellStart"/>
      <w:r>
        <w:rPr>
          <w:rFonts w:ascii="Times New Roman" w:eastAsia="Times New Roman" w:hAnsi="Times New Roman" w:cs="Times New Roman"/>
          <w:sz w:val="22"/>
          <w:szCs w:val="22"/>
        </w:rPr>
        <w:t>attencioun</w:t>
      </w:r>
      <w:proofErr w:type="spellEnd"/>
      <w:r>
        <w:rPr>
          <w:rFonts w:ascii="Times New Roman" w:eastAsia="Times New Roman" w:hAnsi="Times New Roman" w:cs="Times New Roman"/>
          <w:sz w:val="22"/>
          <w:szCs w:val="22"/>
        </w:rPr>
        <w:t xml:space="preserve">: the </w:t>
      </w:r>
      <w:proofErr w:type="spellStart"/>
      <w:r>
        <w:rPr>
          <w:rFonts w:ascii="Times New Roman" w:eastAsia="Times New Roman" w:hAnsi="Times New Roman" w:cs="Times New Roman"/>
          <w:sz w:val="22"/>
          <w:szCs w:val="22"/>
        </w:rPr>
        <w:t>nombre</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which doth contribute to this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varieth</w:t>
      </w:r>
      <w:proofErr w:type="spellEnd"/>
      <w:r>
        <w:rPr>
          <w:rFonts w:ascii="Times New Roman" w:eastAsia="Times New Roman" w:hAnsi="Times New Roman" w:cs="Times New Roman"/>
          <w:sz w:val="22"/>
          <w:szCs w:val="22"/>
        </w:rPr>
        <w:t xml:space="preserve"> from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to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as the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is determined anew upon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cycle of audit. The reader should not take the </w:t>
      </w:r>
      <w:proofErr w:type="spellStart"/>
      <w:r>
        <w:rPr>
          <w:rFonts w:ascii="Times New Roman" w:eastAsia="Times New Roman" w:hAnsi="Times New Roman" w:cs="Times New Roman"/>
          <w:sz w:val="22"/>
          <w:szCs w:val="22"/>
        </w:rPr>
        <w:t>nombre</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given in any one year's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as a fixed and permanent thing, for the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inclusion are not fixed but do shift with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annual assessment. The mechanism by which this </w:t>
      </w:r>
      <w:proofErr w:type="spellStart"/>
      <w:r>
        <w:rPr>
          <w:rFonts w:ascii="Times New Roman" w:eastAsia="Times New Roman" w:hAnsi="Times New Roman" w:cs="Times New Roman"/>
          <w:sz w:val="22"/>
          <w:szCs w:val="22"/>
        </w:rPr>
        <w:t>variatioun</w:t>
      </w:r>
      <w:proofErr w:type="spellEnd"/>
      <w:r>
        <w:rPr>
          <w:rFonts w:ascii="Times New Roman" w:eastAsia="Times New Roman" w:hAnsi="Times New Roman" w:cs="Times New Roman"/>
          <w:sz w:val="22"/>
          <w:szCs w:val="22"/>
        </w:rPr>
        <w:t xml:space="preserve"> occurs is set forth in Chapter Eleven. The reader who hath not yet read Chapter Eleven should treat this passage as a command to do so.</w:t>
      </w:r>
    </w:p>
    <w:p w14:paraId="5B5AE90A" w14:textId="77777777" w:rsidR="0080252C" w:rsidRDefault="0080252C" w:rsidP="0080252C">
      <w:pPr>
        <w:spacing w:before="360" w:after="120"/>
      </w:pPr>
      <w:r>
        <w:rPr>
          <w:rFonts w:ascii="Times New Roman" w:eastAsia="Times New Roman" w:hAnsi="Times New Roman" w:cs="Times New Roman"/>
          <w:b/>
          <w:bCs/>
          <w:sz w:val="26"/>
          <w:szCs w:val="26"/>
        </w:rPr>
        <w:t xml:space="preserve">IV. Of the Annual </w:t>
      </w:r>
      <w:proofErr w:type="spellStart"/>
      <w:r>
        <w:rPr>
          <w:rFonts w:ascii="Times New Roman" w:eastAsia="Times New Roman" w:hAnsi="Times New Roman" w:cs="Times New Roman"/>
          <w:b/>
          <w:bCs/>
          <w:sz w:val="26"/>
          <w:szCs w:val="26"/>
        </w:rPr>
        <w:t>Rekening</w:t>
      </w:r>
      <w:proofErr w:type="spellEnd"/>
      <w:r>
        <w:rPr>
          <w:rFonts w:ascii="Times New Roman" w:eastAsia="Times New Roman" w:hAnsi="Times New Roman" w:cs="Times New Roman"/>
          <w:b/>
          <w:bCs/>
          <w:sz w:val="26"/>
          <w:szCs w:val="26"/>
        </w:rPr>
        <w:t xml:space="preserve"> of Impact</w:t>
      </w:r>
    </w:p>
    <w:p w14:paraId="49AB0152" w14:textId="77777777" w:rsidR="0080252C" w:rsidRDefault="0080252C" w:rsidP="0080252C">
      <w:pPr>
        <w:spacing w:after="180"/>
        <w:jc w:val="both"/>
      </w:pPr>
      <w:r>
        <w:rPr>
          <w:rFonts w:ascii="Times New Roman" w:eastAsia="Times New Roman" w:hAnsi="Times New Roman" w:cs="Times New Roman"/>
          <w:sz w:val="22"/>
          <w:szCs w:val="22"/>
        </w:rPr>
        <w:t xml:space="preserve">The annual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 doth aggregate the calibrated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deltas of all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included in the programme's active dataset, weighted by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size and adjusted for tenure, to produce the headline figure of effect size expressed as Cohen's d. This is the figure that </w:t>
      </w:r>
      <w:proofErr w:type="spellStart"/>
      <w:r>
        <w:rPr>
          <w:rFonts w:ascii="Times New Roman" w:eastAsia="Times New Roman" w:hAnsi="Times New Roman" w:cs="Times New Roman"/>
          <w:sz w:val="22"/>
          <w:szCs w:val="22"/>
        </w:rPr>
        <w:t>appeareth</w:t>
      </w:r>
      <w:proofErr w:type="spellEnd"/>
      <w:r>
        <w:rPr>
          <w:rFonts w:ascii="Times New Roman" w:eastAsia="Times New Roman" w:hAnsi="Times New Roman" w:cs="Times New Roman"/>
          <w:sz w:val="22"/>
          <w:szCs w:val="22"/>
        </w:rPr>
        <w:t xml:space="preserve"> in all commercial materials, all renewal evidence packs, and all published summaries of the programme's </w:t>
      </w:r>
      <w:proofErr w:type="spellStart"/>
      <w:r>
        <w:rPr>
          <w:rFonts w:ascii="Times New Roman" w:eastAsia="Times New Roman" w:hAnsi="Times New Roman" w:cs="Times New Roman"/>
          <w:sz w:val="22"/>
          <w:szCs w:val="22"/>
        </w:rPr>
        <w:t>efficacie</w:t>
      </w:r>
      <w:proofErr w:type="spellEnd"/>
      <w:r>
        <w:rPr>
          <w:rFonts w:ascii="Times New Roman" w:eastAsia="Times New Roman" w:hAnsi="Times New Roman" w:cs="Times New Roman"/>
          <w:sz w:val="22"/>
          <w:szCs w:val="22"/>
        </w:rPr>
        <w:t xml:space="preserve">. The current published figure is zero point six one, drawn from the pooled outcomes of the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xml:space="preserve"> two thousand and twenty-two through two thousand and twenty-four.</w:t>
      </w:r>
    </w:p>
    <w:p w14:paraId="405E74B7" w14:textId="77777777" w:rsidR="0080252C" w:rsidRDefault="0080252C" w:rsidP="0080252C">
      <w:pPr>
        <w:spacing w:after="180"/>
        <w:jc w:val="both"/>
      </w:pPr>
      <w:r>
        <w:rPr>
          <w:rFonts w:ascii="Times New Roman" w:eastAsia="Times New Roman" w:hAnsi="Times New Roman" w:cs="Times New Roman"/>
          <w:sz w:val="22"/>
          <w:szCs w:val="22"/>
        </w:rPr>
        <w:t xml:space="preserve">This figure is a real finding, produced by a legitimate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This reader doth not dispute it. The reader should understand, howsoever, that it is a finding about a specific set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under specific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implementation, and that the </w:t>
      </w:r>
      <w:proofErr w:type="spellStart"/>
      <w:r>
        <w:rPr>
          <w:rFonts w:ascii="Times New Roman" w:eastAsia="Times New Roman" w:hAnsi="Times New Roman" w:cs="Times New Roman"/>
          <w:sz w:val="22"/>
          <w:szCs w:val="22"/>
        </w:rPr>
        <w:t>composicioun</w:t>
      </w:r>
      <w:proofErr w:type="spellEnd"/>
      <w:r>
        <w:rPr>
          <w:rFonts w:ascii="Times New Roman" w:eastAsia="Times New Roman" w:hAnsi="Times New Roman" w:cs="Times New Roman"/>
          <w:sz w:val="22"/>
          <w:szCs w:val="22"/>
        </w:rPr>
        <w:t xml:space="preserve"> of that set is not incidental to the figure's meaning. The mechanism by which the set is composed is — this reader repeats, for the third and final time in this chapter — to be found in Chapter Eleven.</w:t>
      </w:r>
    </w:p>
    <w:p w14:paraId="02B066BA" w14:textId="77777777" w:rsidR="0080252C" w:rsidRDefault="0080252C" w:rsidP="0080252C">
      <w:pPr>
        <w:pBdr>
          <w:bottom w:val="single" w:sz="4" w:space="1" w:color="999999"/>
        </w:pBdr>
        <w:spacing w:before="280" w:after="280"/>
      </w:pPr>
    </w:p>
    <w:p w14:paraId="4461A3AB" w14:textId="77777777" w:rsidR="0080252C" w:rsidRDefault="0080252C" w:rsidP="0080252C">
      <w:pPr>
        <w:spacing w:after="180"/>
        <w:jc w:val="both"/>
      </w:pPr>
      <w:r>
        <w:rPr>
          <w:rFonts w:ascii="Times New Roman" w:eastAsia="Times New Roman" w:hAnsi="Times New Roman" w:cs="Times New Roman"/>
          <w:i/>
          <w:iCs/>
          <w:sz w:val="22"/>
          <w:szCs w:val="22"/>
        </w:rPr>
        <w:t xml:space="preserve">End of the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III. The reader is urged to read the original before consulting this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not after. The original </w:t>
      </w:r>
      <w:proofErr w:type="spellStart"/>
      <w:r>
        <w:rPr>
          <w:rFonts w:ascii="Times New Roman" w:eastAsia="Times New Roman" w:hAnsi="Times New Roman" w:cs="Times New Roman"/>
          <w:i/>
          <w:iCs/>
          <w:sz w:val="22"/>
          <w:szCs w:val="22"/>
        </w:rPr>
        <w:t>containeth</w:t>
      </w:r>
      <w:proofErr w:type="spellEnd"/>
      <w:r>
        <w:rPr>
          <w:rFonts w:ascii="Times New Roman" w:eastAsia="Times New Roman" w:hAnsi="Times New Roman" w:cs="Times New Roman"/>
          <w:i/>
          <w:iCs/>
          <w:sz w:val="22"/>
          <w:szCs w:val="22"/>
        </w:rPr>
        <w:t xml:space="preserve"> nuance and qualification that cannot be compressed without loss. This reader hath compressed it, of </w:t>
      </w:r>
      <w:proofErr w:type="spellStart"/>
      <w:r>
        <w:rPr>
          <w:rFonts w:ascii="Times New Roman" w:eastAsia="Times New Roman" w:hAnsi="Times New Roman" w:cs="Times New Roman"/>
          <w:i/>
          <w:iCs/>
          <w:sz w:val="22"/>
          <w:szCs w:val="22"/>
        </w:rPr>
        <w:t>necessitee</w:t>
      </w:r>
      <w:proofErr w:type="spellEnd"/>
      <w:r>
        <w:rPr>
          <w:rFonts w:ascii="Times New Roman" w:eastAsia="Times New Roman" w:hAnsi="Times New Roman" w:cs="Times New Roman"/>
          <w:i/>
          <w:iCs/>
          <w:sz w:val="22"/>
          <w:szCs w:val="22"/>
        </w:rPr>
        <w:t>, but the compression is not a substitution.</w:t>
      </w:r>
    </w:p>
    <w:p w14:paraId="4EA38F3F" w14:textId="77777777" w:rsidR="00585A77" w:rsidRDefault="00585A77" w:rsidP="00585A77">
      <w:pPr>
        <w:spacing w:after="200"/>
        <w:jc w:val="center"/>
      </w:pPr>
      <w:r>
        <w:rPr>
          <w:rFonts w:ascii="Times New Roman" w:eastAsia="Times New Roman" w:hAnsi="Times New Roman" w:cs="Times New Roman"/>
          <w:b/>
          <w:bCs/>
          <w:sz w:val="34"/>
          <w:szCs w:val="34"/>
        </w:rPr>
        <w:lastRenderedPageBreak/>
        <w:t xml:space="preserve">Of the Maner of </w:t>
      </w:r>
      <w:proofErr w:type="spellStart"/>
      <w:r>
        <w:rPr>
          <w:rFonts w:ascii="Times New Roman" w:eastAsia="Times New Roman" w:hAnsi="Times New Roman" w:cs="Times New Roman"/>
          <w:b/>
          <w:bCs/>
          <w:sz w:val="34"/>
          <w:szCs w:val="34"/>
        </w:rPr>
        <w:t>Reportinge</w:t>
      </w:r>
      <w:proofErr w:type="spellEnd"/>
      <w:r>
        <w:rPr>
          <w:rFonts w:ascii="Times New Roman" w:eastAsia="Times New Roman" w:hAnsi="Times New Roman" w:cs="Times New Roman"/>
          <w:b/>
          <w:bCs/>
          <w:sz w:val="34"/>
          <w:szCs w:val="34"/>
        </w:rPr>
        <w:t xml:space="preserve"> and the Right</w:t>
      </w:r>
    </w:p>
    <w:p w14:paraId="73BB3867" w14:textId="77777777" w:rsidR="00585A77" w:rsidRDefault="00585A77" w:rsidP="00585A77">
      <w:pPr>
        <w:spacing w:after="200"/>
        <w:jc w:val="center"/>
      </w:pPr>
      <w:proofErr w:type="spellStart"/>
      <w:r>
        <w:rPr>
          <w:rFonts w:ascii="Times New Roman" w:eastAsia="Times New Roman" w:hAnsi="Times New Roman" w:cs="Times New Roman"/>
          <w:b/>
          <w:bCs/>
          <w:sz w:val="34"/>
          <w:szCs w:val="34"/>
        </w:rPr>
        <w:t>Examinacioun</w:t>
      </w:r>
      <w:proofErr w:type="spellEnd"/>
      <w:r>
        <w:rPr>
          <w:rFonts w:ascii="Times New Roman" w:eastAsia="Times New Roman" w:hAnsi="Times New Roman" w:cs="Times New Roman"/>
          <w:b/>
          <w:bCs/>
          <w:sz w:val="34"/>
          <w:szCs w:val="34"/>
        </w:rPr>
        <w:t xml:space="preserve"> of Evidence</w:t>
      </w:r>
    </w:p>
    <w:p w14:paraId="706FC36C" w14:textId="77777777" w:rsidR="00585A77" w:rsidRDefault="00585A77" w:rsidP="00585A77">
      <w:pPr>
        <w:spacing w:after="160"/>
        <w:jc w:val="center"/>
      </w:pPr>
      <w:r>
        <w:rPr>
          <w:rFonts w:ascii="Times New Roman" w:eastAsia="Times New Roman" w:hAnsi="Times New Roman" w:cs="Times New Roman"/>
          <w:i/>
          <w:iCs/>
          <w:sz w:val="22"/>
          <w:szCs w:val="22"/>
        </w:rPr>
        <w:t xml:space="preserve">A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VII of the MPI Technical Handbook, Edition 4.2</w:t>
      </w:r>
    </w:p>
    <w:p w14:paraId="0AA8F7C1" w14:textId="77777777" w:rsidR="00585A77" w:rsidRDefault="00585A77" w:rsidP="00585A77">
      <w:pPr>
        <w:spacing w:after="560"/>
        <w:jc w:val="center"/>
      </w:pPr>
      <w:r>
        <w:rPr>
          <w:rFonts w:ascii="Times New Roman" w:eastAsia="Times New Roman" w:hAnsi="Times New Roman" w:cs="Times New Roman"/>
          <w:sz w:val="22"/>
          <w:szCs w:val="22"/>
        </w:rPr>
        <w:t xml:space="preserve">P.A. Hart, </w:t>
      </w:r>
      <w:proofErr w:type="spellStart"/>
      <w:r>
        <w:rPr>
          <w:rFonts w:ascii="Times New Roman" w:eastAsia="Times New Roman" w:hAnsi="Times New Roman" w:cs="Times New Roman"/>
          <w:sz w:val="22"/>
          <w:szCs w:val="22"/>
        </w:rPr>
        <w:t>Doctour</w:t>
      </w:r>
      <w:proofErr w:type="spellEnd"/>
      <w:r>
        <w:rPr>
          <w:rFonts w:ascii="Times New Roman" w:eastAsia="Times New Roman" w:hAnsi="Times New Roman" w:cs="Times New Roman"/>
          <w:sz w:val="22"/>
          <w:szCs w:val="22"/>
        </w:rPr>
        <w:t xml:space="preserve"> of Philosophie — For </w:t>
      </w:r>
      <w:proofErr w:type="spellStart"/>
      <w:r>
        <w:rPr>
          <w:rFonts w:ascii="Times New Roman" w:eastAsia="Times New Roman" w:hAnsi="Times New Roman" w:cs="Times New Roman"/>
          <w:sz w:val="22"/>
          <w:szCs w:val="22"/>
        </w:rPr>
        <w:t>myn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owene</w:t>
      </w:r>
      <w:proofErr w:type="spellEnd"/>
      <w:r>
        <w:rPr>
          <w:rFonts w:ascii="Times New Roman" w:eastAsia="Times New Roman" w:hAnsi="Times New Roman" w:cs="Times New Roman"/>
          <w:sz w:val="22"/>
          <w:szCs w:val="22"/>
        </w:rPr>
        <w:t xml:space="preserve"> use in </w:t>
      </w:r>
      <w:proofErr w:type="spellStart"/>
      <w:r>
        <w:rPr>
          <w:rFonts w:ascii="Times New Roman" w:eastAsia="Times New Roman" w:hAnsi="Times New Roman" w:cs="Times New Roman"/>
          <w:sz w:val="22"/>
          <w:szCs w:val="22"/>
        </w:rPr>
        <w:t>Induccioun</w:t>
      </w:r>
      <w:proofErr w:type="spellEnd"/>
      <w:r>
        <w:rPr>
          <w:rFonts w:ascii="Times New Roman" w:eastAsia="Times New Roman" w:hAnsi="Times New Roman" w:cs="Times New Roman"/>
          <w:sz w:val="22"/>
          <w:szCs w:val="22"/>
        </w:rPr>
        <w:t xml:space="preserve"> — 2021</w:t>
      </w:r>
    </w:p>
    <w:p w14:paraId="0F3561C9" w14:textId="77777777" w:rsidR="00585A77" w:rsidRDefault="00585A77" w:rsidP="00585A77">
      <w:pPr>
        <w:pBdr>
          <w:bottom w:val="single" w:sz="4" w:space="1" w:color="999999"/>
        </w:pBdr>
        <w:spacing w:before="280" w:after="280"/>
      </w:pPr>
    </w:p>
    <w:p w14:paraId="0DF5181E" w14:textId="77777777" w:rsidR="00585A77" w:rsidRDefault="00585A77" w:rsidP="00585A77">
      <w:pPr>
        <w:spacing w:after="180"/>
        <w:jc w:val="both"/>
      </w:pPr>
      <w:r>
        <w:rPr>
          <w:rFonts w:ascii="Times New Roman" w:eastAsia="Times New Roman" w:hAnsi="Times New Roman" w:cs="Times New Roman"/>
          <w:i/>
          <w:iCs/>
          <w:sz w:val="22"/>
          <w:szCs w:val="22"/>
        </w:rPr>
        <w:t>This chapter is concerned with what one may and may not honestly say, and with the forms and methods by which honest things ought to be said. It is therefore of direct practical consequence to any member of staff who doth produce a document of renewal, a report of impact, or any other communication that draweth upon the programme's evidence base. The reader who treats this chapter as a matter of mere style or format hath misunderstood it entirely.</w:t>
      </w:r>
    </w:p>
    <w:p w14:paraId="0EAADDF0" w14:textId="77777777" w:rsidR="00585A77" w:rsidRDefault="00585A77" w:rsidP="00585A77">
      <w:pPr>
        <w:spacing w:after="100"/>
      </w:pPr>
    </w:p>
    <w:p w14:paraId="4C110C04" w14:textId="77777777" w:rsidR="00585A77" w:rsidRDefault="00585A77" w:rsidP="00585A77">
      <w:pPr>
        <w:spacing w:before="360" w:after="120"/>
      </w:pPr>
      <w:r>
        <w:rPr>
          <w:rFonts w:ascii="Times New Roman" w:eastAsia="Times New Roman" w:hAnsi="Times New Roman" w:cs="Times New Roman"/>
          <w:b/>
          <w:bCs/>
          <w:sz w:val="26"/>
          <w:szCs w:val="26"/>
        </w:rPr>
        <w:t xml:space="preserve">I. Of the </w:t>
      </w:r>
      <w:proofErr w:type="spellStart"/>
      <w:r>
        <w:rPr>
          <w:rFonts w:ascii="Times New Roman" w:eastAsia="Times New Roman" w:hAnsi="Times New Roman" w:cs="Times New Roman"/>
          <w:b/>
          <w:bCs/>
          <w:sz w:val="26"/>
          <w:szCs w:val="26"/>
        </w:rPr>
        <w:t>Stondards</w:t>
      </w:r>
      <w:proofErr w:type="spellEnd"/>
      <w:r>
        <w:rPr>
          <w:rFonts w:ascii="Times New Roman" w:eastAsia="Times New Roman" w:hAnsi="Times New Roman" w:cs="Times New Roman"/>
          <w:b/>
          <w:bCs/>
          <w:sz w:val="26"/>
          <w:szCs w:val="26"/>
        </w:rPr>
        <w:t xml:space="preserve"> of </w:t>
      </w:r>
      <w:proofErr w:type="spellStart"/>
      <w:r>
        <w:rPr>
          <w:rFonts w:ascii="Times New Roman" w:eastAsia="Times New Roman" w:hAnsi="Times New Roman" w:cs="Times New Roman"/>
          <w:b/>
          <w:bCs/>
          <w:sz w:val="26"/>
          <w:szCs w:val="26"/>
        </w:rPr>
        <w:t>Citacioun</w:t>
      </w:r>
      <w:proofErr w:type="spellEnd"/>
    </w:p>
    <w:p w14:paraId="4506C866" w14:textId="77777777" w:rsidR="00585A77" w:rsidRDefault="00585A77" w:rsidP="00585A77">
      <w:pPr>
        <w:spacing w:after="180"/>
        <w:jc w:val="both"/>
      </w:pPr>
      <w:r>
        <w:rPr>
          <w:rFonts w:ascii="Times New Roman" w:eastAsia="Times New Roman" w:hAnsi="Times New Roman" w:cs="Times New Roman"/>
          <w:sz w:val="22"/>
          <w:szCs w:val="22"/>
        </w:rPr>
        <w:t xml:space="preserve">All quantitative claims that </w:t>
      </w:r>
      <w:proofErr w:type="spellStart"/>
      <w:r>
        <w:rPr>
          <w:rFonts w:ascii="Times New Roman" w:eastAsia="Times New Roman" w:hAnsi="Times New Roman" w:cs="Times New Roman"/>
          <w:sz w:val="22"/>
          <w:szCs w:val="22"/>
        </w:rPr>
        <w:t>appearen</w:t>
      </w:r>
      <w:proofErr w:type="spellEnd"/>
      <w:r>
        <w:rPr>
          <w:rFonts w:ascii="Times New Roman" w:eastAsia="Times New Roman" w:hAnsi="Times New Roman" w:cs="Times New Roman"/>
          <w:sz w:val="22"/>
          <w:szCs w:val="22"/>
        </w:rPr>
        <w:t xml:space="preserve"> in documents of Meridian must be traceable to a specific and named source of data. It is insufficient — and this reader will be plain: it is intellectually dishonest — to write that 'the data </w:t>
      </w:r>
      <w:proofErr w:type="spellStart"/>
      <w:r>
        <w:rPr>
          <w:rFonts w:ascii="Times New Roman" w:eastAsia="Times New Roman" w:hAnsi="Times New Roman" w:cs="Times New Roman"/>
          <w:sz w:val="22"/>
          <w:szCs w:val="22"/>
        </w:rPr>
        <w:t>showeth</w:t>
      </w:r>
      <w:proofErr w:type="spellEnd"/>
      <w:r>
        <w:rPr>
          <w:rFonts w:ascii="Times New Roman" w:eastAsia="Times New Roman" w:hAnsi="Times New Roman" w:cs="Times New Roman"/>
          <w:sz w:val="22"/>
          <w:szCs w:val="22"/>
        </w:rPr>
        <w:t xml:space="preserve">' without specifying which data, of which yere, by which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it was processed, and according to which criteria of inclusion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therein were selected. </w:t>
      </w:r>
      <w:proofErr w:type="spellStart"/>
      <w:r>
        <w:rPr>
          <w:rFonts w:ascii="Times New Roman" w:eastAsia="Times New Roman" w:hAnsi="Times New Roman" w:cs="Times New Roman"/>
          <w:sz w:val="22"/>
          <w:szCs w:val="22"/>
        </w:rPr>
        <w:t>Vaguenesse</w:t>
      </w:r>
      <w:proofErr w:type="spellEnd"/>
      <w:r>
        <w:rPr>
          <w:rFonts w:ascii="Times New Roman" w:eastAsia="Times New Roman" w:hAnsi="Times New Roman" w:cs="Times New Roman"/>
          <w:sz w:val="22"/>
          <w:szCs w:val="22"/>
        </w:rPr>
        <w:t xml:space="preserve"> in </w:t>
      </w:r>
      <w:proofErr w:type="spellStart"/>
      <w:r>
        <w:rPr>
          <w:rFonts w:ascii="Times New Roman" w:eastAsia="Times New Roman" w:hAnsi="Times New Roman" w:cs="Times New Roman"/>
          <w:sz w:val="22"/>
          <w:szCs w:val="22"/>
        </w:rPr>
        <w:t>citacioun</w:t>
      </w:r>
      <w:proofErr w:type="spellEnd"/>
      <w:r>
        <w:rPr>
          <w:rFonts w:ascii="Times New Roman" w:eastAsia="Times New Roman" w:hAnsi="Times New Roman" w:cs="Times New Roman"/>
          <w:sz w:val="22"/>
          <w:szCs w:val="22"/>
        </w:rPr>
        <w:t xml:space="preserve"> is not a small </w:t>
      </w:r>
      <w:proofErr w:type="spellStart"/>
      <w:r>
        <w:rPr>
          <w:rFonts w:ascii="Times New Roman" w:eastAsia="Times New Roman" w:hAnsi="Times New Roman" w:cs="Times New Roman"/>
          <w:sz w:val="22"/>
          <w:szCs w:val="22"/>
        </w:rPr>
        <w:t>errour</w:t>
      </w:r>
      <w:proofErr w:type="spellEnd"/>
      <w:r>
        <w:rPr>
          <w:rFonts w:ascii="Times New Roman" w:eastAsia="Times New Roman" w:hAnsi="Times New Roman" w:cs="Times New Roman"/>
          <w:sz w:val="22"/>
          <w:szCs w:val="22"/>
        </w:rPr>
        <w:t xml:space="preserve"> of style. It is the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by which claims are made that cannot be verified, challenged, or corrected when new evidence arises. In the </w:t>
      </w:r>
      <w:proofErr w:type="spellStart"/>
      <w:r>
        <w:rPr>
          <w:rFonts w:ascii="Times New Roman" w:eastAsia="Times New Roman" w:hAnsi="Times New Roman" w:cs="Times New Roman"/>
          <w:sz w:val="22"/>
          <w:szCs w:val="22"/>
        </w:rPr>
        <w:t>werk</w:t>
      </w:r>
      <w:proofErr w:type="spellEnd"/>
      <w:r>
        <w:rPr>
          <w:rFonts w:ascii="Times New Roman" w:eastAsia="Times New Roman" w:hAnsi="Times New Roman" w:cs="Times New Roman"/>
          <w:sz w:val="22"/>
          <w:szCs w:val="22"/>
        </w:rPr>
        <w:t xml:space="preserve"> of a </w:t>
      </w:r>
      <w:proofErr w:type="spellStart"/>
      <w:r>
        <w:rPr>
          <w:rFonts w:ascii="Times New Roman" w:eastAsia="Times New Roman" w:hAnsi="Times New Roman" w:cs="Times New Roman"/>
          <w:sz w:val="22"/>
          <w:szCs w:val="22"/>
        </w:rPr>
        <w:t>consultancie</w:t>
      </w:r>
      <w:proofErr w:type="spellEnd"/>
      <w:r>
        <w:rPr>
          <w:rFonts w:ascii="Times New Roman" w:eastAsia="Times New Roman" w:hAnsi="Times New Roman" w:cs="Times New Roman"/>
          <w:sz w:val="22"/>
          <w:szCs w:val="22"/>
        </w:rPr>
        <w:t xml:space="preserve"> whose reputation </w:t>
      </w:r>
      <w:proofErr w:type="spellStart"/>
      <w:r>
        <w:rPr>
          <w:rFonts w:ascii="Times New Roman" w:eastAsia="Times New Roman" w:hAnsi="Times New Roman" w:cs="Times New Roman"/>
          <w:sz w:val="22"/>
          <w:szCs w:val="22"/>
        </w:rPr>
        <w:t>resteth</w:t>
      </w:r>
      <w:proofErr w:type="spellEnd"/>
      <w:r>
        <w:rPr>
          <w:rFonts w:ascii="Times New Roman" w:eastAsia="Times New Roman" w:hAnsi="Times New Roman" w:cs="Times New Roman"/>
          <w:sz w:val="22"/>
          <w:szCs w:val="22"/>
        </w:rPr>
        <w:t xml:space="preserve"> upon the quality of its evidence, such </w:t>
      </w:r>
      <w:proofErr w:type="spellStart"/>
      <w:r>
        <w:rPr>
          <w:rFonts w:ascii="Times New Roman" w:eastAsia="Times New Roman" w:hAnsi="Times New Roman" w:cs="Times New Roman"/>
          <w:sz w:val="22"/>
          <w:szCs w:val="22"/>
        </w:rPr>
        <w:t>vaguenesse</w:t>
      </w:r>
      <w:proofErr w:type="spellEnd"/>
      <w:r>
        <w:rPr>
          <w:rFonts w:ascii="Times New Roman" w:eastAsia="Times New Roman" w:hAnsi="Times New Roman" w:cs="Times New Roman"/>
          <w:sz w:val="22"/>
          <w:szCs w:val="22"/>
        </w:rPr>
        <w:t xml:space="preserve"> is not acceptable.</w:t>
      </w:r>
    </w:p>
    <w:p w14:paraId="3042CDD1" w14:textId="77777777" w:rsidR="00585A77" w:rsidRDefault="00585A77" w:rsidP="00585A77">
      <w:pPr>
        <w:spacing w:after="180"/>
        <w:jc w:val="both"/>
      </w:pPr>
      <w:r>
        <w:rPr>
          <w:rFonts w:ascii="Times New Roman" w:eastAsia="Times New Roman" w:hAnsi="Times New Roman" w:cs="Times New Roman"/>
          <w:sz w:val="22"/>
          <w:szCs w:val="22"/>
        </w:rPr>
        <w:t xml:space="preserve">The forms of </w:t>
      </w:r>
      <w:proofErr w:type="spellStart"/>
      <w:r>
        <w:rPr>
          <w:rFonts w:ascii="Times New Roman" w:eastAsia="Times New Roman" w:hAnsi="Times New Roman" w:cs="Times New Roman"/>
          <w:sz w:val="22"/>
          <w:szCs w:val="22"/>
        </w:rPr>
        <w:t>citacioun</w:t>
      </w:r>
      <w:proofErr w:type="spellEnd"/>
      <w:r>
        <w:rPr>
          <w:rFonts w:ascii="Times New Roman" w:eastAsia="Times New Roman" w:hAnsi="Times New Roman" w:cs="Times New Roman"/>
          <w:sz w:val="22"/>
          <w:szCs w:val="22"/>
        </w:rPr>
        <w:t xml:space="preserve"> for the most common types of </w:t>
      </w:r>
      <w:proofErr w:type="gramStart"/>
      <w:r>
        <w:rPr>
          <w:rFonts w:ascii="Times New Roman" w:eastAsia="Times New Roman" w:hAnsi="Times New Roman" w:cs="Times New Roman"/>
          <w:sz w:val="22"/>
          <w:szCs w:val="22"/>
        </w:rPr>
        <w:t>claim</w:t>
      </w:r>
      <w:proofErr w:type="gramEnd"/>
      <w:r>
        <w:rPr>
          <w:rFonts w:ascii="Times New Roman" w:eastAsia="Times New Roman" w:hAnsi="Times New Roman" w:cs="Times New Roman"/>
          <w:sz w:val="22"/>
          <w:szCs w:val="22"/>
        </w:rPr>
        <w:t xml:space="preserve"> are as </w:t>
      </w:r>
      <w:proofErr w:type="spellStart"/>
      <w:r>
        <w:rPr>
          <w:rFonts w:ascii="Times New Roman" w:eastAsia="Times New Roman" w:hAnsi="Times New Roman" w:cs="Times New Roman"/>
          <w:sz w:val="22"/>
          <w:szCs w:val="22"/>
        </w:rPr>
        <w:t>followeth</w:t>
      </w:r>
      <w:proofErr w:type="spellEnd"/>
      <w:r>
        <w:rPr>
          <w:rFonts w:ascii="Times New Roman" w:eastAsia="Times New Roman" w:hAnsi="Times New Roman" w:cs="Times New Roman"/>
          <w:sz w:val="22"/>
          <w:szCs w:val="22"/>
        </w:rPr>
        <w:t xml:space="preserve">. For the figure of programme-level effect, one </w:t>
      </w:r>
      <w:proofErr w:type="spellStart"/>
      <w:r>
        <w:rPr>
          <w:rFonts w:ascii="Times New Roman" w:eastAsia="Times New Roman" w:hAnsi="Times New Roman" w:cs="Times New Roman"/>
          <w:sz w:val="22"/>
          <w:szCs w:val="22"/>
        </w:rPr>
        <w:t>writeth</w:t>
      </w:r>
      <w:proofErr w:type="spellEnd"/>
      <w:r>
        <w:rPr>
          <w:rFonts w:ascii="Times New Roman" w:eastAsia="Times New Roman" w:hAnsi="Times New Roman" w:cs="Times New Roman"/>
          <w:sz w:val="22"/>
          <w:szCs w:val="22"/>
        </w:rPr>
        <w:t>: 'MPI programme effect size: zero point six one (</w:t>
      </w:r>
      <w:proofErr w:type="spellStart"/>
      <w:r>
        <w:rPr>
          <w:rFonts w:ascii="Times New Roman" w:eastAsia="Times New Roman" w:hAnsi="Times New Roman" w:cs="Times New Roman"/>
          <w:sz w:val="22"/>
          <w:szCs w:val="22"/>
        </w:rPr>
        <w:t>MPI_Current</w:t>
      </w:r>
      <w:proofErr w:type="spellEnd"/>
      <w:r>
        <w:rPr>
          <w:rFonts w:ascii="Times New Roman" w:eastAsia="Times New Roman" w:hAnsi="Times New Roman" w:cs="Times New Roman"/>
          <w:sz w:val="22"/>
          <w:szCs w:val="22"/>
        </w:rPr>
        <w:t xml:space="preserve">, two thousand and twenty-two through twenty-four, calibrated).' For a figure at the level of an individual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one </w:t>
      </w:r>
      <w:proofErr w:type="spellStart"/>
      <w:r>
        <w:rPr>
          <w:rFonts w:ascii="Times New Roman" w:eastAsia="Times New Roman" w:hAnsi="Times New Roman" w:cs="Times New Roman"/>
          <w:sz w:val="22"/>
          <w:szCs w:val="22"/>
        </w:rPr>
        <w:t>writeth</w:t>
      </w:r>
      <w:proofErr w:type="spellEnd"/>
      <w:r>
        <w:rPr>
          <w:rFonts w:ascii="Times New Roman" w:eastAsia="Times New Roman" w:hAnsi="Times New Roman" w:cs="Times New Roman"/>
          <w:sz w:val="22"/>
          <w:szCs w:val="22"/>
        </w:rPr>
        <w:t xml:space="preserve"> the name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its calibrated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delta, the source dataset, and the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For the data of the comparison group, one doth name the group, the district, and the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of matching. For historical data — and this is a matter of considerable consequence to which the reader should attend — one must explicitly state that the data is historical and is not included in the current programme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Historical data and archived data are not the same as current validated data. They must never be presented as though they were.</w:t>
      </w:r>
    </w:p>
    <w:p w14:paraId="0DDE9FD3" w14:textId="77777777" w:rsidR="00585A77" w:rsidRDefault="00585A77" w:rsidP="00585A77">
      <w:pPr>
        <w:spacing w:before="360" w:after="120"/>
      </w:pPr>
      <w:r>
        <w:rPr>
          <w:rFonts w:ascii="Times New Roman" w:eastAsia="Times New Roman" w:hAnsi="Times New Roman" w:cs="Times New Roman"/>
          <w:b/>
          <w:bCs/>
          <w:sz w:val="26"/>
          <w:szCs w:val="26"/>
        </w:rPr>
        <w:t>II. Of the Right Use of Comparative Data</w:t>
      </w:r>
    </w:p>
    <w:p w14:paraId="30A60D69" w14:textId="77777777" w:rsidR="00585A77" w:rsidRDefault="00585A77" w:rsidP="00585A77">
      <w:pPr>
        <w:spacing w:after="180"/>
        <w:jc w:val="both"/>
      </w:pPr>
      <w:r>
        <w:rPr>
          <w:rFonts w:ascii="Times New Roman" w:eastAsia="Times New Roman" w:hAnsi="Times New Roman" w:cs="Times New Roman"/>
          <w:sz w:val="22"/>
          <w:szCs w:val="22"/>
        </w:rPr>
        <w:t xml:space="preserve">Comparative data — that is to say, data which </w:t>
      </w:r>
      <w:proofErr w:type="spellStart"/>
      <w:r>
        <w:rPr>
          <w:rFonts w:ascii="Times New Roman" w:eastAsia="Times New Roman" w:hAnsi="Times New Roman" w:cs="Times New Roman"/>
          <w:sz w:val="22"/>
          <w:szCs w:val="22"/>
        </w:rPr>
        <w:t>setteth</w:t>
      </w:r>
      <w:proofErr w:type="spellEnd"/>
      <w:r>
        <w:rPr>
          <w:rFonts w:ascii="Times New Roman" w:eastAsia="Times New Roman" w:hAnsi="Times New Roman" w:cs="Times New Roman"/>
          <w:sz w:val="22"/>
          <w:szCs w:val="22"/>
        </w:rPr>
        <w:t xml:space="preserve"> the outcomes of MPI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against those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not in the programme — is the most persuasive element of any renewal evidence pack. It is also, by that same token, the element most susceptible to </w:t>
      </w:r>
      <w:proofErr w:type="spellStart"/>
      <w:r>
        <w:rPr>
          <w:rFonts w:ascii="Times New Roman" w:eastAsia="Times New Roman" w:hAnsi="Times New Roman" w:cs="Times New Roman"/>
          <w:sz w:val="22"/>
          <w:szCs w:val="22"/>
        </w:rPr>
        <w:t>misrepresentacioun</w:t>
      </w:r>
      <w:proofErr w:type="spellEnd"/>
      <w:r>
        <w:rPr>
          <w:rFonts w:ascii="Times New Roman" w:eastAsia="Times New Roman" w:hAnsi="Times New Roman" w:cs="Times New Roman"/>
          <w:sz w:val="22"/>
          <w:szCs w:val="22"/>
        </w:rPr>
        <w:t xml:space="preserve">, whether by intent or by </w:t>
      </w:r>
      <w:proofErr w:type="spellStart"/>
      <w:r>
        <w:rPr>
          <w:rFonts w:ascii="Times New Roman" w:eastAsia="Times New Roman" w:hAnsi="Times New Roman" w:cs="Times New Roman"/>
          <w:sz w:val="22"/>
          <w:szCs w:val="22"/>
        </w:rPr>
        <w:t>carelessnesse</w:t>
      </w:r>
      <w:proofErr w:type="spellEnd"/>
      <w:r>
        <w:rPr>
          <w:rFonts w:ascii="Times New Roman" w:eastAsia="Times New Roman" w:hAnsi="Times New Roman" w:cs="Times New Roman"/>
          <w:sz w:val="22"/>
          <w:szCs w:val="22"/>
        </w:rPr>
        <w:t>, and the reader should approach it with the wariness appropriate to a thing that can serve either honesty or dishonesty equally well.</w:t>
      </w:r>
    </w:p>
    <w:p w14:paraId="6D5D51FA" w14:textId="77777777" w:rsidR="00585A77" w:rsidRDefault="00585A77" w:rsidP="00585A77">
      <w:pPr>
        <w:spacing w:after="180"/>
        <w:jc w:val="both"/>
      </w:pPr>
      <w:r>
        <w:rPr>
          <w:rFonts w:ascii="Times New Roman" w:eastAsia="Times New Roman" w:hAnsi="Times New Roman" w:cs="Times New Roman"/>
          <w:sz w:val="22"/>
          <w:szCs w:val="22"/>
        </w:rPr>
        <w:t xml:space="preserve">The comparison group must be defined with precision and without selection bias. To write that MPI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outperform non-programme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is a claim of no meaning whatsoever unless one hath specified which non-programme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over what </w:t>
      </w:r>
      <w:proofErr w:type="gramStart"/>
      <w:r>
        <w:rPr>
          <w:rFonts w:ascii="Times New Roman" w:eastAsia="Times New Roman" w:hAnsi="Times New Roman" w:cs="Times New Roman"/>
          <w:sz w:val="22"/>
          <w:szCs w:val="22"/>
        </w:rPr>
        <w:t>period of time</w:t>
      </w:r>
      <w:proofErr w:type="gramEnd"/>
      <w:r>
        <w:rPr>
          <w:rFonts w:ascii="Times New Roman" w:eastAsia="Times New Roman" w:hAnsi="Times New Roman" w:cs="Times New Roman"/>
          <w:sz w:val="22"/>
          <w:szCs w:val="22"/>
        </w:rPr>
        <w:t xml:space="preserve">, upon which </w:t>
      </w:r>
      <w:proofErr w:type="spellStart"/>
      <w:r>
        <w:rPr>
          <w:rFonts w:ascii="Times New Roman" w:eastAsia="Times New Roman" w:hAnsi="Times New Roman" w:cs="Times New Roman"/>
          <w:sz w:val="22"/>
          <w:szCs w:val="22"/>
        </w:rPr>
        <w:t>mesures</w:t>
      </w:r>
      <w:proofErr w:type="spellEnd"/>
      <w:r>
        <w:rPr>
          <w:rFonts w:ascii="Times New Roman" w:eastAsia="Times New Roman" w:hAnsi="Times New Roman" w:cs="Times New Roman"/>
          <w:sz w:val="22"/>
          <w:szCs w:val="22"/>
        </w:rPr>
        <w:t xml:space="preserve">, and by which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of matching. Every claim of comparison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a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the structure of which is given in the appendix of the handbook. This reader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the reader to use it.</w:t>
      </w:r>
    </w:p>
    <w:p w14:paraId="301EE60C" w14:textId="77777777" w:rsidR="00585A77" w:rsidRDefault="00585A77" w:rsidP="00585A77">
      <w:pPr>
        <w:spacing w:after="180"/>
        <w:jc w:val="both"/>
      </w:pPr>
      <w:r>
        <w:rPr>
          <w:rFonts w:ascii="Times New Roman" w:eastAsia="Times New Roman" w:hAnsi="Times New Roman" w:cs="Times New Roman"/>
          <w:sz w:val="22"/>
          <w:szCs w:val="22"/>
        </w:rPr>
        <w:t xml:space="preserve">Furthermore, and this is a matter upon which this reader will not be ambiguous: the comparison group must not be selected with the purpose of producing a favourable result. To choose, from among possible </w:t>
      </w:r>
      <w:r>
        <w:rPr>
          <w:rFonts w:ascii="Times New Roman" w:eastAsia="Times New Roman" w:hAnsi="Times New Roman" w:cs="Times New Roman"/>
          <w:sz w:val="22"/>
          <w:szCs w:val="22"/>
        </w:rPr>
        <w:lastRenderedPageBreak/>
        <w:t xml:space="preserve">comparison groups, the one that </w:t>
      </w:r>
      <w:proofErr w:type="spellStart"/>
      <w:r>
        <w:rPr>
          <w:rFonts w:ascii="Times New Roman" w:eastAsia="Times New Roman" w:hAnsi="Times New Roman" w:cs="Times New Roman"/>
          <w:sz w:val="22"/>
          <w:szCs w:val="22"/>
        </w:rPr>
        <w:t>maximiseth</w:t>
      </w:r>
      <w:proofErr w:type="spellEnd"/>
      <w:r>
        <w:rPr>
          <w:rFonts w:ascii="Times New Roman" w:eastAsia="Times New Roman" w:hAnsi="Times New Roman" w:cs="Times New Roman"/>
          <w:sz w:val="22"/>
          <w:szCs w:val="22"/>
        </w:rPr>
        <w:t xml:space="preserve"> the apparent </w:t>
      </w:r>
      <w:proofErr w:type="spellStart"/>
      <w:r>
        <w:rPr>
          <w:rFonts w:ascii="Times New Roman" w:eastAsia="Times New Roman" w:hAnsi="Times New Roman" w:cs="Times New Roman"/>
          <w:sz w:val="22"/>
          <w:szCs w:val="22"/>
        </w:rPr>
        <w:t>efficacie</w:t>
      </w:r>
      <w:proofErr w:type="spellEnd"/>
      <w:r>
        <w:rPr>
          <w:rFonts w:ascii="Times New Roman" w:eastAsia="Times New Roman" w:hAnsi="Times New Roman" w:cs="Times New Roman"/>
          <w:sz w:val="22"/>
          <w:szCs w:val="22"/>
        </w:rPr>
        <w:t xml:space="preserve"> of the programme, rather than the one that most closely </w:t>
      </w:r>
      <w:proofErr w:type="spellStart"/>
      <w:r>
        <w:rPr>
          <w:rFonts w:ascii="Times New Roman" w:eastAsia="Times New Roman" w:hAnsi="Times New Roman" w:cs="Times New Roman"/>
          <w:sz w:val="22"/>
          <w:szCs w:val="22"/>
        </w:rPr>
        <w:t>resembleth</w:t>
      </w:r>
      <w:proofErr w:type="spellEnd"/>
      <w:r>
        <w:rPr>
          <w:rFonts w:ascii="Times New Roman" w:eastAsia="Times New Roman" w:hAnsi="Times New Roman" w:cs="Times New Roman"/>
          <w:sz w:val="22"/>
          <w:szCs w:val="22"/>
        </w:rPr>
        <w:t xml:space="preserve"> the programme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in their characteristics, is not legitimate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It </w:t>
      </w:r>
      <w:proofErr w:type="spellStart"/>
      <w:r>
        <w:rPr>
          <w:rFonts w:ascii="Times New Roman" w:eastAsia="Times New Roman" w:hAnsi="Times New Roman" w:cs="Times New Roman"/>
          <w:sz w:val="22"/>
          <w:szCs w:val="22"/>
        </w:rPr>
        <w:t>produceth</w:t>
      </w:r>
      <w:proofErr w:type="spellEnd"/>
      <w:r>
        <w:rPr>
          <w:rFonts w:ascii="Times New Roman" w:eastAsia="Times New Roman" w:hAnsi="Times New Roman" w:cs="Times New Roman"/>
          <w:sz w:val="22"/>
          <w:szCs w:val="22"/>
        </w:rPr>
        <w:t xml:space="preserve"> figures that appear strong. It does not produce findings that are true. The distinction </w:t>
      </w:r>
      <w:proofErr w:type="spellStart"/>
      <w:r>
        <w:rPr>
          <w:rFonts w:ascii="Times New Roman" w:eastAsia="Times New Roman" w:hAnsi="Times New Roman" w:cs="Times New Roman"/>
          <w:sz w:val="22"/>
          <w:szCs w:val="22"/>
        </w:rPr>
        <w:t>bitwene</w:t>
      </w:r>
      <w:proofErr w:type="spellEnd"/>
      <w:r>
        <w:rPr>
          <w:rFonts w:ascii="Times New Roman" w:eastAsia="Times New Roman" w:hAnsi="Times New Roman" w:cs="Times New Roman"/>
          <w:sz w:val="22"/>
          <w:szCs w:val="22"/>
        </w:rPr>
        <w:t xml:space="preserve"> a figure that appears strong and a finding that is true is the entire foundation of this work, and a member of staff who doth not understand or observe the distinction should not be producing renewal evidence packs.</w:t>
      </w:r>
    </w:p>
    <w:p w14:paraId="2C6C2883" w14:textId="77777777" w:rsidR="00585A77" w:rsidRDefault="00585A77" w:rsidP="00585A77">
      <w:pPr>
        <w:spacing w:before="360" w:after="120"/>
      </w:pPr>
      <w:r>
        <w:rPr>
          <w:rFonts w:ascii="Times New Roman" w:eastAsia="Times New Roman" w:hAnsi="Times New Roman" w:cs="Times New Roman"/>
          <w:b/>
          <w:bCs/>
          <w:sz w:val="26"/>
          <w:szCs w:val="26"/>
        </w:rPr>
        <w:t>III. Of the Requirements of the Renewal Evidence Pack</w:t>
      </w:r>
    </w:p>
    <w:p w14:paraId="4C5AEE60" w14:textId="77777777" w:rsidR="00585A77" w:rsidRDefault="00585A77" w:rsidP="00585A77">
      <w:pPr>
        <w:spacing w:after="180"/>
        <w:jc w:val="both"/>
      </w:pPr>
      <w:r>
        <w:rPr>
          <w:rFonts w:ascii="Times New Roman" w:eastAsia="Times New Roman" w:hAnsi="Times New Roman" w:cs="Times New Roman"/>
          <w:sz w:val="22"/>
          <w:szCs w:val="22"/>
        </w:rPr>
        <w:t xml:space="preserve">The renewal evidence pack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five sections, in the following order, without deviation or reordering: an executive summary of one page; a section upon the impact data of the programme at the level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a section upon comparative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a section of </w:t>
      </w:r>
      <w:proofErr w:type="spellStart"/>
      <w:r>
        <w:rPr>
          <w:rFonts w:ascii="Times New Roman" w:eastAsia="Times New Roman" w:hAnsi="Times New Roman" w:cs="Times New Roman"/>
          <w:sz w:val="22"/>
          <w:szCs w:val="22"/>
        </w:rPr>
        <w:t>recommendacioun</w:t>
      </w:r>
      <w:proofErr w:type="spellEnd"/>
      <w:r>
        <w:rPr>
          <w:rFonts w:ascii="Times New Roman" w:eastAsia="Times New Roman" w:hAnsi="Times New Roman" w:cs="Times New Roman"/>
          <w:sz w:val="22"/>
          <w:szCs w:val="22"/>
        </w:rPr>
        <w:t xml:space="preserve">; and appendices containing the raw data and the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Additional sections may be included but they may not displace nor reorder the mandatory structure. The structure is not arbitrary. It </w:t>
      </w:r>
      <w:proofErr w:type="spellStart"/>
      <w:r>
        <w:rPr>
          <w:rFonts w:ascii="Times New Roman" w:eastAsia="Times New Roman" w:hAnsi="Times New Roman" w:cs="Times New Roman"/>
          <w:sz w:val="22"/>
          <w:szCs w:val="22"/>
        </w:rPr>
        <w:t>reflecteth</w:t>
      </w:r>
      <w:proofErr w:type="spellEnd"/>
      <w:r>
        <w:rPr>
          <w:rFonts w:ascii="Times New Roman" w:eastAsia="Times New Roman" w:hAnsi="Times New Roman" w:cs="Times New Roman"/>
          <w:sz w:val="22"/>
          <w:szCs w:val="22"/>
        </w:rPr>
        <w:t xml:space="preserve"> the order in which claims should be advanced and supported.</w:t>
      </w:r>
    </w:p>
    <w:p w14:paraId="5777A8F9" w14:textId="77777777" w:rsidR="00585A77" w:rsidRDefault="00585A77" w:rsidP="00585A77">
      <w:pPr>
        <w:spacing w:after="180"/>
        <w:jc w:val="both"/>
      </w:pPr>
      <w:r>
        <w:rPr>
          <w:rFonts w:ascii="Times New Roman" w:eastAsia="Times New Roman" w:hAnsi="Times New Roman" w:cs="Times New Roman"/>
          <w:sz w:val="22"/>
          <w:szCs w:val="22"/>
        </w:rPr>
        <w:t xml:space="preserve">The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which </w:t>
      </w:r>
      <w:proofErr w:type="spellStart"/>
      <w:r>
        <w:rPr>
          <w:rFonts w:ascii="Times New Roman" w:eastAsia="Times New Roman" w:hAnsi="Times New Roman" w:cs="Times New Roman"/>
          <w:sz w:val="22"/>
          <w:szCs w:val="22"/>
        </w:rPr>
        <w:t>belongeth</w:t>
      </w:r>
      <w:proofErr w:type="spellEnd"/>
      <w:r>
        <w:rPr>
          <w:rFonts w:ascii="Times New Roman" w:eastAsia="Times New Roman" w:hAnsi="Times New Roman" w:cs="Times New Roman"/>
          <w:sz w:val="22"/>
          <w:szCs w:val="22"/>
        </w:rPr>
        <w:t xml:space="preserve"> in the appendices, is of </w:t>
      </w:r>
      <w:proofErr w:type="gramStart"/>
      <w:r>
        <w:rPr>
          <w:rFonts w:ascii="Times New Roman" w:eastAsia="Times New Roman" w:hAnsi="Times New Roman" w:cs="Times New Roman"/>
          <w:sz w:val="22"/>
          <w:szCs w:val="22"/>
        </w:rPr>
        <w:t>particular consequence</w:t>
      </w:r>
      <w:proofErr w:type="gramEnd"/>
      <w:r>
        <w:rPr>
          <w:rFonts w:ascii="Times New Roman" w:eastAsia="Times New Roman" w:hAnsi="Times New Roman" w:cs="Times New Roman"/>
          <w:sz w:val="22"/>
          <w:szCs w:val="22"/>
        </w:rPr>
        <w:t xml:space="preserve">. It must acknowledge its own scope. Most specifically: it must state plainly that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covers those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classified as compliant in the relevant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of the programme, and not all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that did </w:t>
      </w:r>
      <w:proofErr w:type="gramStart"/>
      <w:r>
        <w:rPr>
          <w:rFonts w:ascii="Times New Roman" w:eastAsia="Times New Roman" w:hAnsi="Times New Roman" w:cs="Times New Roman"/>
          <w:sz w:val="22"/>
          <w:szCs w:val="22"/>
        </w:rPr>
        <w:t>enter into</w:t>
      </w:r>
      <w:proofErr w:type="gramEnd"/>
      <w:r>
        <w:rPr>
          <w:rFonts w:ascii="Times New Roman" w:eastAsia="Times New Roman" w:hAnsi="Times New Roman" w:cs="Times New Roman"/>
          <w:sz w:val="22"/>
          <w:szCs w:val="22"/>
        </w:rPr>
        <w:t xml:space="preserve"> contract with Meridian during that period. A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that doth not contain this acknowledgement is not a complete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It is, in effect, a statement that </w:t>
      </w:r>
      <w:proofErr w:type="spellStart"/>
      <w:r>
        <w:rPr>
          <w:rFonts w:ascii="Times New Roman" w:eastAsia="Times New Roman" w:hAnsi="Times New Roman" w:cs="Times New Roman"/>
          <w:sz w:val="22"/>
          <w:szCs w:val="22"/>
        </w:rPr>
        <w:t>misrepresenteth</w:t>
      </w:r>
      <w:proofErr w:type="spellEnd"/>
      <w:r>
        <w:rPr>
          <w:rFonts w:ascii="Times New Roman" w:eastAsia="Times New Roman" w:hAnsi="Times New Roman" w:cs="Times New Roman"/>
          <w:sz w:val="22"/>
          <w:szCs w:val="22"/>
        </w:rPr>
        <w:t xml:space="preserve"> by omission the full extent of what the figures do and do not show. The member of staff who </w:t>
      </w:r>
      <w:proofErr w:type="spellStart"/>
      <w:r>
        <w:rPr>
          <w:rFonts w:ascii="Times New Roman" w:eastAsia="Times New Roman" w:hAnsi="Times New Roman" w:cs="Times New Roman"/>
          <w:sz w:val="22"/>
          <w:szCs w:val="22"/>
        </w:rPr>
        <w:t>produceth</w:t>
      </w:r>
      <w:proofErr w:type="spellEnd"/>
      <w:r>
        <w:rPr>
          <w:rFonts w:ascii="Times New Roman" w:eastAsia="Times New Roman" w:hAnsi="Times New Roman" w:cs="Times New Roman"/>
          <w:sz w:val="22"/>
          <w:szCs w:val="22"/>
        </w:rPr>
        <w:t xml:space="preserve"> such a statement, whether by ignorance or by design, hath produced a document that overstates the scope of the evidence. This reader </w:t>
      </w:r>
      <w:proofErr w:type="spellStart"/>
      <w:r>
        <w:rPr>
          <w:rFonts w:ascii="Times New Roman" w:eastAsia="Times New Roman" w:hAnsi="Times New Roman" w:cs="Times New Roman"/>
          <w:sz w:val="22"/>
          <w:szCs w:val="22"/>
        </w:rPr>
        <w:t>considereth</w:t>
      </w:r>
      <w:proofErr w:type="spellEnd"/>
      <w:r>
        <w:rPr>
          <w:rFonts w:ascii="Times New Roman" w:eastAsia="Times New Roman" w:hAnsi="Times New Roman" w:cs="Times New Roman"/>
          <w:sz w:val="22"/>
          <w:szCs w:val="22"/>
        </w:rPr>
        <w:t xml:space="preserve"> this to be a serious matter.</w:t>
      </w:r>
    </w:p>
    <w:p w14:paraId="249A38F7" w14:textId="77777777" w:rsidR="00585A77" w:rsidRDefault="00585A77" w:rsidP="00585A77">
      <w:pPr>
        <w:spacing w:before="360" w:after="120"/>
      </w:pPr>
      <w:r>
        <w:rPr>
          <w:rFonts w:ascii="Times New Roman" w:eastAsia="Times New Roman" w:hAnsi="Times New Roman" w:cs="Times New Roman"/>
          <w:b/>
          <w:bCs/>
          <w:sz w:val="26"/>
          <w:szCs w:val="26"/>
        </w:rPr>
        <w:t xml:space="preserve">IV. Of What Ought Not </w:t>
      </w:r>
      <w:proofErr w:type="gramStart"/>
      <w:r>
        <w:rPr>
          <w:rFonts w:ascii="Times New Roman" w:eastAsia="Times New Roman" w:hAnsi="Times New Roman" w:cs="Times New Roman"/>
          <w:b/>
          <w:bCs/>
          <w:sz w:val="26"/>
          <w:szCs w:val="26"/>
        </w:rPr>
        <w:t>To</w:t>
      </w:r>
      <w:proofErr w:type="gramEnd"/>
      <w:r>
        <w:rPr>
          <w:rFonts w:ascii="Times New Roman" w:eastAsia="Times New Roman" w:hAnsi="Times New Roman" w:cs="Times New Roman"/>
          <w:b/>
          <w:bCs/>
          <w:sz w:val="26"/>
          <w:szCs w:val="26"/>
        </w:rPr>
        <w:t xml:space="preserve"> Be Reported</w:t>
      </w:r>
    </w:p>
    <w:p w14:paraId="4B8833C5" w14:textId="77777777" w:rsidR="00585A77" w:rsidRDefault="00585A77" w:rsidP="00585A77">
      <w:pPr>
        <w:spacing w:after="180"/>
        <w:jc w:val="both"/>
      </w:pPr>
      <w:r>
        <w:rPr>
          <w:rFonts w:ascii="Times New Roman" w:eastAsia="Times New Roman" w:hAnsi="Times New Roman" w:cs="Times New Roman"/>
          <w:sz w:val="22"/>
          <w:szCs w:val="22"/>
        </w:rPr>
        <w:t>This section is, in this reader's experience of four induction cycles, the most consistently neglected section in the chapter. The reader's attention is therefore directed to it with particular emphasis.</w:t>
      </w:r>
    </w:p>
    <w:p w14:paraId="4336F6D1" w14:textId="77777777" w:rsidR="00585A77" w:rsidRDefault="00585A77" w:rsidP="00585A77">
      <w:pPr>
        <w:spacing w:after="180"/>
        <w:jc w:val="both"/>
      </w:pPr>
      <w:r>
        <w:rPr>
          <w:rFonts w:ascii="Times New Roman" w:eastAsia="Times New Roman" w:hAnsi="Times New Roman" w:cs="Times New Roman"/>
          <w:sz w:val="22"/>
          <w:szCs w:val="22"/>
        </w:rPr>
        <w:t xml:space="preserve">The published figure of effect size for the MPI programme does not support claims about the improvement of individual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beyond what the calibrated delta for that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specifically </w:t>
      </w:r>
      <w:proofErr w:type="spellStart"/>
      <w:r>
        <w:rPr>
          <w:rFonts w:ascii="Times New Roman" w:eastAsia="Times New Roman" w:hAnsi="Times New Roman" w:cs="Times New Roman"/>
          <w:sz w:val="22"/>
          <w:szCs w:val="22"/>
        </w:rPr>
        <w:t>showeth</w:t>
      </w:r>
      <w:proofErr w:type="spellEnd"/>
      <w:r>
        <w:rPr>
          <w:rFonts w:ascii="Times New Roman" w:eastAsia="Times New Roman" w:hAnsi="Times New Roman" w:cs="Times New Roman"/>
          <w:sz w:val="22"/>
          <w:szCs w:val="22"/>
        </w:rPr>
        <w:t xml:space="preserve">. It does not support claims about outcomes at the level of individual subjects, for no such breakdown </w:t>
      </w:r>
      <w:proofErr w:type="spellStart"/>
      <w:r>
        <w:rPr>
          <w:rFonts w:ascii="Times New Roman" w:eastAsia="Times New Roman" w:hAnsi="Times New Roman" w:cs="Times New Roman"/>
          <w:sz w:val="22"/>
          <w:szCs w:val="22"/>
        </w:rPr>
        <w:t>existeth</w:t>
      </w:r>
      <w:proofErr w:type="spellEnd"/>
      <w:r>
        <w:rPr>
          <w:rFonts w:ascii="Times New Roman" w:eastAsia="Times New Roman" w:hAnsi="Times New Roman" w:cs="Times New Roman"/>
          <w:sz w:val="22"/>
          <w:szCs w:val="22"/>
        </w:rPr>
        <w:t xml:space="preserve"> in the current dataset. It does not support claims about the primary sector, for the programme hath not been evaluated therein and the extension of secondary findings to the primary context is not legitimate. It does not support claims about outcomes beyond the GCSE, for the programme doth not track them.</w:t>
      </w:r>
    </w:p>
    <w:p w14:paraId="2EA77922" w14:textId="77777777" w:rsidR="00585A77" w:rsidRDefault="00585A77" w:rsidP="00585A77">
      <w:pPr>
        <w:spacing w:after="180"/>
        <w:jc w:val="both"/>
      </w:pPr>
      <w:r>
        <w:rPr>
          <w:rFonts w:ascii="Times New Roman" w:eastAsia="Times New Roman" w:hAnsi="Times New Roman" w:cs="Times New Roman"/>
          <w:sz w:val="22"/>
          <w:szCs w:val="22"/>
        </w:rPr>
        <w:t xml:space="preserve">A member of staff who </w:t>
      </w:r>
      <w:proofErr w:type="spellStart"/>
      <w:r>
        <w:rPr>
          <w:rFonts w:ascii="Times New Roman" w:eastAsia="Times New Roman" w:hAnsi="Times New Roman" w:cs="Times New Roman"/>
          <w:sz w:val="22"/>
          <w:szCs w:val="22"/>
        </w:rPr>
        <w:t>includeth</w:t>
      </w:r>
      <w:proofErr w:type="spellEnd"/>
      <w:r>
        <w:rPr>
          <w:rFonts w:ascii="Times New Roman" w:eastAsia="Times New Roman" w:hAnsi="Times New Roman" w:cs="Times New Roman"/>
          <w:sz w:val="22"/>
          <w:szCs w:val="22"/>
        </w:rPr>
        <w:t xml:space="preserve"> in a renewal evidence pack a claim that the data cannot support, howsoever persuasive that claim might appear to a client in the short term, is not acting as an honest consultant. The short-term advantage of an overclaimed pack is not a true advantage. It is the creation of a future liability, for the overclaimed statement will in time be compared against evidence that does not support it, and the </w:t>
      </w:r>
      <w:proofErr w:type="spellStart"/>
      <w:r>
        <w:rPr>
          <w:rFonts w:ascii="Times New Roman" w:eastAsia="Times New Roman" w:hAnsi="Times New Roman" w:cs="Times New Roman"/>
          <w:sz w:val="22"/>
          <w:szCs w:val="22"/>
        </w:rPr>
        <w:t>consultancie's</w:t>
      </w:r>
      <w:proofErr w:type="spellEnd"/>
      <w:r>
        <w:rPr>
          <w:rFonts w:ascii="Times New Roman" w:eastAsia="Times New Roman" w:hAnsi="Times New Roman" w:cs="Times New Roman"/>
          <w:sz w:val="22"/>
          <w:szCs w:val="22"/>
        </w:rPr>
        <w:t xml:space="preserve"> credibility will suffer accordingly. The correct course, when a client doth ask for a claim the data cannot support, is to explain what the data can support and to offer that instead. This is not a failure of commercial ability. It is what responsible consulting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w:t>
      </w:r>
    </w:p>
    <w:p w14:paraId="69DED295" w14:textId="77777777" w:rsidR="00585A77" w:rsidRDefault="00585A77" w:rsidP="00585A77">
      <w:pPr>
        <w:pBdr>
          <w:bottom w:val="single" w:sz="4" w:space="1" w:color="999999"/>
        </w:pBdr>
        <w:spacing w:before="280" w:after="280"/>
      </w:pPr>
    </w:p>
    <w:p w14:paraId="1F01E666" w14:textId="1E6C483F" w:rsidR="00403B08" w:rsidRDefault="00585A77" w:rsidP="00585A77">
      <w:pPr>
        <w:spacing w:after="180"/>
        <w:jc w:val="both"/>
      </w:pPr>
      <w:r>
        <w:rPr>
          <w:rFonts w:ascii="Times New Roman" w:eastAsia="Times New Roman" w:hAnsi="Times New Roman" w:cs="Times New Roman"/>
          <w:i/>
          <w:iCs/>
          <w:sz w:val="22"/>
          <w:szCs w:val="22"/>
        </w:rPr>
        <w:t xml:space="preserve">End of the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VII. The reader who hath questions about the construction of a methodology statement should consult Appendix C of the handbook, not this reader. Appendix C </w:t>
      </w:r>
      <w:proofErr w:type="spellStart"/>
      <w:r>
        <w:rPr>
          <w:rFonts w:ascii="Times New Roman" w:eastAsia="Times New Roman" w:hAnsi="Times New Roman" w:cs="Times New Roman"/>
          <w:i/>
          <w:iCs/>
          <w:sz w:val="22"/>
          <w:szCs w:val="22"/>
        </w:rPr>
        <w:t>existeth</w:t>
      </w:r>
      <w:proofErr w:type="spellEnd"/>
      <w:r>
        <w:rPr>
          <w:rFonts w:ascii="Times New Roman" w:eastAsia="Times New Roman" w:hAnsi="Times New Roman" w:cs="Times New Roman"/>
          <w:i/>
          <w:iCs/>
          <w:sz w:val="22"/>
          <w:szCs w:val="22"/>
        </w:rPr>
        <w:t xml:space="preserve"> for precisely that purpose. Use it.</w:t>
      </w:r>
    </w:p>
    <w:p w14:paraId="49428B18" w14:textId="18DEE75F" w:rsidR="00585A77" w:rsidRDefault="00585A77">
      <w:pPr>
        <w:spacing w:after="160" w:line="278" w:lineRule="auto"/>
      </w:pPr>
      <w:r>
        <w:br w:type="page"/>
      </w:r>
    </w:p>
    <w:p w14:paraId="1844CFCA" w14:textId="77777777" w:rsidR="00E73FB1" w:rsidRDefault="00E73FB1" w:rsidP="00E73FB1">
      <w:pPr>
        <w:spacing w:after="200"/>
        <w:jc w:val="center"/>
      </w:pPr>
      <w:r>
        <w:rPr>
          <w:rFonts w:ascii="Times New Roman" w:eastAsia="Times New Roman" w:hAnsi="Times New Roman" w:cs="Times New Roman"/>
          <w:b/>
          <w:bCs/>
          <w:sz w:val="34"/>
          <w:szCs w:val="34"/>
        </w:rPr>
        <w:lastRenderedPageBreak/>
        <w:t>Of the Requirements Placed Upon Scoles</w:t>
      </w:r>
    </w:p>
    <w:p w14:paraId="22E43680" w14:textId="77777777" w:rsidR="00E73FB1" w:rsidRDefault="00E73FB1" w:rsidP="00E73FB1">
      <w:pPr>
        <w:spacing w:after="200"/>
        <w:jc w:val="center"/>
      </w:pPr>
      <w:r>
        <w:rPr>
          <w:rFonts w:ascii="Times New Roman" w:eastAsia="Times New Roman" w:hAnsi="Times New Roman" w:cs="Times New Roman"/>
          <w:b/>
          <w:bCs/>
          <w:sz w:val="34"/>
          <w:szCs w:val="34"/>
        </w:rPr>
        <w:t xml:space="preserve">in </w:t>
      </w:r>
      <w:proofErr w:type="spellStart"/>
      <w:r>
        <w:rPr>
          <w:rFonts w:ascii="Times New Roman" w:eastAsia="Times New Roman" w:hAnsi="Times New Roman" w:cs="Times New Roman"/>
          <w:b/>
          <w:bCs/>
          <w:sz w:val="34"/>
          <w:szCs w:val="34"/>
        </w:rPr>
        <w:t>Partnershippe</w:t>
      </w:r>
      <w:proofErr w:type="spellEnd"/>
      <w:r>
        <w:rPr>
          <w:rFonts w:ascii="Times New Roman" w:eastAsia="Times New Roman" w:hAnsi="Times New Roman" w:cs="Times New Roman"/>
          <w:b/>
          <w:bCs/>
          <w:sz w:val="34"/>
          <w:szCs w:val="34"/>
        </w:rPr>
        <w:t xml:space="preserve"> with the Meridian </w:t>
      </w:r>
      <w:proofErr w:type="spellStart"/>
      <w:r>
        <w:rPr>
          <w:rFonts w:ascii="Times New Roman" w:eastAsia="Times New Roman" w:hAnsi="Times New Roman" w:cs="Times New Roman"/>
          <w:b/>
          <w:bCs/>
          <w:sz w:val="34"/>
          <w:szCs w:val="34"/>
        </w:rPr>
        <w:t>Progres</w:t>
      </w:r>
      <w:proofErr w:type="spellEnd"/>
      <w:r>
        <w:rPr>
          <w:rFonts w:ascii="Times New Roman" w:eastAsia="Times New Roman" w:hAnsi="Times New Roman" w:cs="Times New Roman"/>
          <w:b/>
          <w:bCs/>
          <w:sz w:val="34"/>
          <w:szCs w:val="34"/>
        </w:rPr>
        <w:t xml:space="preserve"> Index</w:t>
      </w:r>
    </w:p>
    <w:p w14:paraId="280B963B" w14:textId="77777777" w:rsidR="00E73FB1" w:rsidRDefault="00E73FB1" w:rsidP="00E73FB1">
      <w:pPr>
        <w:spacing w:after="160"/>
        <w:jc w:val="center"/>
      </w:pPr>
      <w:r>
        <w:rPr>
          <w:rFonts w:ascii="Times New Roman" w:eastAsia="Times New Roman" w:hAnsi="Times New Roman" w:cs="Times New Roman"/>
          <w:i/>
          <w:iCs/>
          <w:sz w:val="22"/>
          <w:szCs w:val="22"/>
        </w:rPr>
        <w:t xml:space="preserve">A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IX of the MPI Technical Handbook, Edition 4.2</w:t>
      </w:r>
    </w:p>
    <w:p w14:paraId="5F8F2515" w14:textId="77777777" w:rsidR="00E73FB1" w:rsidRDefault="00E73FB1" w:rsidP="00E73FB1">
      <w:pPr>
        <w:spacing w:after="560"/>
        <w:jc w:val="center"/>
      </w:pPr>
      <w:r>
        <w:rPr>
          <w:rFonts w:ascii="Times New Roman" w:eastAsia="Times New Roman" w:hAnsi="Times New Roman" w:cs="Times New Roman"/>
          <w:sz w:val="22"/>
          <w:szCs w:val="22"/>
        </w:rPr>
        <w:t xml:space="preserve">P.A. Hart, </w:t>
      </w:r>
      <w:proofErr w:type="spellStart"/>
      <w:r>
        <w:rPr>
          <w:rFonts w:ascii="Times New Roman" w:eastAsia="Times New Roman" w:hAnsi="Times New Roman" w:cs="Times New Roman"/>
          <w:sz w:val="22"/>
          <w:szCs w:val="22"/>
        </w:rPr>
        <w:t>Doctour</w:t>
      </w:r>
      <w:proofErr w:type="spellEnd"/>
      <w:r>
        <w:rPr>
          <w:rFonts w:ascii="Times New Roman" w:eastAsia="Times New Roman" w:hAnsi="Times New Roman" w:cs="Times New Roman"/>
          <w:sz w:val="22"/>
          <w:szCs w:val="22"/>
        </w:rPr>
        <w:t xml:space="preserve"> of Philosophie — For </w:t>
      </w:r>
      <w:proofErr w:type="spellStart"/>
      <w:r>
        <w:rPr>
          <w:rFonts w:ascii="Times New Roman" w:eastAsia="Times New Roman" w:hAnsi="Times New Roman" w:cs="Times New Roman"/>
          <w:sz w:val="22"/>
          <w:szCs w:val="22"/>
        </w:rPr>
        <w:t>myn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owene</w:t>
      </w:r>
      <w:proofErr w:type="spellEnd"/>
      <w:r>
        <w:rPr>
          <w:rFonts w:ascii="Times New Roman" w:eastAsia="Times New Roman" w:hAnsi="Times New Roman" w:cs="Times New Roman"/>
          <w:sz w:val="22"/>
          <w:szCs w:val="22"/>
        </w:rPr>
        <w:t xml:space="preserve"> use in </w:t>
      </w:r>
      <w:proofErr w:type="spellStart"/>
      <w:r>
        <w:rPr>
          <w:rFonts w:ascii="Times New Roman" w:eastAsia="Times New Roman" w:hAnsi="Times New Roman" w:cs="Times New Roman"/>
          <w:sz w:val="22"/>
          <w:szCs w:val="22"/>
        </w:rPr>
        <w:t>Induccioun</w:t>
      </w:r>
      <w:proofErr w:type="spellEnd"/>
      <w:r>
        <w:rPr>
          <w:rFonts w:ascii="Times New Roman" w:eastAsia="Times New Roman" w:hAnsi="Times New Roman" w:cs="Times New Roman"/>
          <w:sz w:val="22"/>
          <w:szCs w:val="22"/>
        </w:rPr>
        <w:t xml:space="preserve"> — 2021</w:t>
      </w:r>
    </w:p>
    <w:p w14:paraId="118E73B1" w14:textId="77777777" w:rsidR="00E73FB1" w:rsidRDefault="00E73FB1" w:rsidP="00E73FB1">
      <w:pPr>
        <w:pBdr>
          <w:bottom w:val="single" w:sz="4" w:space="1" w:color="999999"/>
        </w:pBdr>
        <w:spacing w:before="280" w:after="280"/>
      </w:pPr>
    </w:p>
    <w:p w14:paraId="20F917B5" w14:textId="77777777" w:rsidR="00E73FB1" w:rsidRDefault="00E73FB1" w:rsidP="00E73FB1">
      <w:pPr>
        <w:spacing w:after="180"/>
        <w:jc w:val="both"/>
      </w:pPr>
      <w:r>
        <w:rPr>
          <w:rFonts w:ascii="Times New Roman" w:eastAsia="Times New Roman" w:hAnsi="Times New Roman" w:cs="Times New Roman"/>
          <w:i/>
          <w:iCs/>
          <w:sz w:val="22"/>
          <w:szCs w:val="22"/>
        </w:rPr>
        <w:t xml:space="preserve">Chapter Nine </w:t>
      </w:r>
      <w:proofErr w:type="spellStart"/>
      <w:r>
        <w:rPr>
          <w:rFonts w:ascii="Times New Roman" w:eastAsia="Times New Roman" w:hAnsi="Times New Roman" w:cs="Times New Roman"/>
          <w:i/>
          <w:iCs/>
          <w:sz w:val="22"/>
          <w:szCs w:val="22"/>
        </w:rPr>
        <w:t>describeth</w:t>
      </w:r>
      <w:proofErr w:type="spellEnd"/>
      <w:r>
        <w:rPr>
          <w:rFonts w:ascii="Times New Roman" w:eastAsia="Times New Roman" w:hAnsi="Times New Roman" w:cs="Times New Roman"/>
          <w:i/>
          <w:iCs/>
          <w:sz w:val="22"/>
          <w:szCs w:val="22"/>
        </w:rPr>
        <w:t xml:space="preserve"> the obligations and expectations of partnership: what Meridian </w:t>
      </w:r>
      <w:proofErr w:type="spellStart"/>
      <w:r>
        <w:rPr>
          <w:rFonts w:ascii="Times New Roman" w:eastAsia="Times New Roman" w:hAnsi="Times New Roman" w:cs="Times New Roman"/>
          <w:i/>
          <w:iCs/>
          <w:sz w:val="22"/>
          <w:szCs w:val="22"/>
        </w:rPr>
        <w:t>requireth</w:t>
      </w:r>
      <w:proofErr w:type="spellEnd"/>
      <w:r>
        <w:rPr>
          <w:rFonts w:ascii="Times New Roman" w:eastAsia="Times New Roman" w:hAnsi="Times New Roman" w:cs="Times New Roman"/>
          <w:i/>
          <w:iCs/>
          <w:sz w:val="22"/>
          <w:szCs w:val="22"/>
        </w:rPr>
        <w:t xml:space="preserve"> of </w:t>
      </w:r>
      <w:proofErr w:type="spellStart"/>
      <w:r>
        <w:rPr>
          <w:rFonts w:ascii="Times New Roman" w:eastAsia="Times New Roman" w:hAnsi="Times New Roman" w:cs="Times New Roman"/>
          <w:i/>
          <w:iCs/>
          <w:sz w:val="22"/>
          <w:szCs w:val="22"/>
        </w:rPr>
        <w:t>scoles</w:t>
      </w:r>
      <w:proofErr w:type="spellEnd"/>
      <w:r>
        <w:rPr>
          <w:rFonts w:ascii="Times New Roman" w:eastAsia="Times New Roman" w:hAnsi="Times New Roman" w:cs="Times New Roman"/>
          <w:i/>
          <w:iCs/>
          <w:sz w:val="22"/>
          <w:szCs w:val="22"/>
        </w:rPr>
        <w:t xml:space="preserve">, what </w:t>
      </w:r>
      <w:proofErr w:type="spellStart"/>
      <w:r>
        <w:rPr>
          <w:rFonts w:ascii="Times New Roman" w:eastAsia="Times New Roman" w:hAnsi="Times New Roman" w:cs="Times New Roman"/>
          <w:i/>
          <w:iCs/>
          <w:sz w:val="22"/>
          <w:szCs w:val="22"/>
        </w:rPr>
        <w:t>scoles</w:t>
      </w:r>
      <w:proofErr w:type="spellEnd"/>
      <w:r>
        <w:rPr>
          <w:rFonts w:ascii="Times New Roman" w:eastAsia="Times New Roman" w:hAnsi="Times New Roman" w:cs="Times New Roman"/>
          <w:i/>
          <w:iCs/>
          <w:sz w:val="22"/>
          <w:szCs w:val="22"/>
        </w:rPr>
        <w:t xml:space="preserve"> may reasonably expect of Meridian in return, and the mechanism by which the quality of implementation is assessed. The reader should understand from the outset that this chapter and Chapter Eleven are closely intertwined, and that a full comprehension of </w:t>
      </w:r>
      <w:proofErr w:type="spellStart"/>
      <w:r>
        <w:rPr>
          <w:rFonts w:ascii="Times New Roman" w:eastAsia="Times New Roman" w:hAnsi="Times New Roman" w:cs="Times New Roman"/>
          <w:i/>
          <w:iCs/>
          <w:sz w:val="22"/>
          <w:szCs w:val="22"/>
        </w:rPr>
        <w:t>ech</w:t>
      </w:r>
      <w:proofErr w:type="spellEnd"/>
      <w:r>
        <w:rPr>
          <w:rFonts w:ascii="Times New Roman" w:eastAsia="Times New Roman" w:hAnsi="Times New Roman" w:cs="Times New Roman"/>
          <w:i/>
          <w:iCs/>
          <w:sz w:val="22"/>
          <w:szCs w:val="22"/>
        </w:rPr>
        <w:t xml:space="preserve"> </w:t>
      </w:r>
      <w:proofErr w:type="spellStart"/>
      <w:r>
        <w:rPr>
          <w:rFonts w:ascii="Times New Roman" w:eastAsia="Times New Roman" w:hAnsi="Times New Roman" w:cs="Times New Roman"/>
          <w:i/>
          <w:iCs/>
          <w:sz w:val="22"/>
          <w:szCs w:val="22"/>
        </w:rPr>
        <w:t>requireth</w:t>
      </w:r>
      <w:proofErr w:type="spellEnd"/>
      <w:r>
        <w:rPr>
          <w:rFonts w:ascii="Times New Roman" w:eastAsia="Times New Roman" w:hAnsi="Times New Roman" w:cs="Times New Roman"/>
          <w:i/>
          <w:iCs/>
          <w:sz w:val="22"/>
          <w:szCs w:val="22"/>
        </w:rPr>
        <w:t xml:space="preserve"> familiarity with both. The audit described in this chapter is the primary instrument by which the classifications described in Chapter Eleven are determined.</w:t>
      </w:r>
    </w:p>
    <w:p w14:paraId="0F0F3C65" w14:textId="77777777" w:rsidR="00E73FB1" w:rsidRDefault="00E73FB1" w:rsidP="00E73FB1">
      <w:pPr>
        <w:spacing w:after="100"/>
      </w:pPr>
    </w:p>
    <w:p w14:paraId="568CA6A9" w14:textId="77777777" w:rsidR="00E73FB1" w:rsidRDefault="00E73FB1" w:rsidP="00E73FB1">
      <w:pPr>
        <w:spacing w:before="360" w:after="120"/>
      </w:pPr>
      <w:r>
        <w:rPr>
          <w:rFonts w:ascii="Times New Roman" w:eastAsia="Times New Roman" w:hAnsi="Times New Roman" w:cs="Times New Roman"/>
          <w:b/>
          <w:bCs/>
          <w:sz w:val="26"/>
          <w:szCs w:val="26"/>
        </w:rPr>
        <w:t>I. Of the Annual Audit of the Programme</w:t>
      </w:r>
    </w:p>
    <w:p w14:paraId="6CE29588" w14:textId="77777777" w:rsidR="00E73FB1" w:rsidRDefault="00E73FB1" w:rsidP="00E73FB1">
      <w:pPr>
        <w:spacing w:after="180"/>
        <w:jc w:val="both"/>
      </w:pP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in the </w:t>
      </w:r>
      <w:proofErr w:type="spellStart"/>
      <w:r>
        <w:rPr>
          <w:rFonts w:ascii="Times New Roman" w:eastAsia="Times New Roman" w:hAnsi="Times New Roman" w:cs="Times New Roman"/>
          <w:sz w:val="22"/>
          <w:szCs w:val="22"/>
        </w:rPr>
        <w:t>terme</w:t>
      </w:r>
      <w:proofErr w:type="spellEnd"/>
      <w:r>
        <w:rPr>
          <w:rFonts w:ascii="Times New Roman" w:eastAsia="Times New Roman" w:hAnsi="Times New Roman" w:cs="Times New Roman"/>
          <w:sz w:val="22"/>
          <w:szCs w:val="22"/>
        </w:rPr>
        <w:t xml:space="preserve"> of spring, a consultant of Meridian doth visit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partner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for a half-day of inspection and structured conversation. The visit doth encompass: a structured interview with the coordinator of the MPI within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and with at least one subject lead; a review of the documentation of curriculum sequencing; and a review of records of formative assessment from at least two subject areas. The audit is not a formality. It is the principal means by which the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of implementation is assessed, and its findings have direct consequence for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standing in the programme's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w:t>
      </w:r>
    </w:p>
    <w:p w14:paraId="4B8F7113" w14:textId="77777777" w:rsidR="00E73FB1" w:rsidRDefault="00E73FB1" w:rsidP="00E73FB1">
      <w:pPr>
        <w:spacing w:after="180"/>
        <w:jc w:val="both"/>
      </w:pPr>
      <w:r>
        <w:rPr>
          <w:rFonts w:ascii="Times New Roman" w:eastAsia="Times New Roman" w:hAnsi="Times New Roman" w:cs="Times New Roman"/>
          <w:sz w:val="22"/>
          <w:szCs w:val="22"/>
        </w:rPr>
        <w:t xml:space="preserve">The audit doth produce two outputs: an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calculated across eight dimensions that are enumerated in Chapter Four; and a written account of findings, which identifies areas of strength, areas requiring development, and, where applicable, any concerns regarding the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of implementation that may affect the inclusion of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data in the programme's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for the current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The reader should understand clearly that it is this audit, and specifically its effect upon the IQS and subsequently upon the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Score, that </w:t>
      </w:r>
      <w:proofErr w:type="spellStart"/>
      <w:r>
        <w:rPr>
          <w:rFonts w:ascii="Times New Roman" w:eastAsia="Times New Roman" w:hAnsi="Times New Roman" w:cs="Times New Roman"/>
          <w:sz w:val="22"/>
          <w:szCs w:val="22"/>
        </w:rPr>
        <w:t>determineth</w:t>
      </w:r>
      <w:proofErr w:type="spellEnd"/>
      <w:r>
        <w:rPr>
          <w:rFonts w:ascii="Times New Roman" w:eastAsia="Times New Roman" w:hAnsi="Times New Roman" w:cs="Times New Roman"/>
          <w:sz w:val="22"/>
          <w:szCs w:val="22"/>
        </w:rPr>
        <w:t xml:space="preserve"> whether a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outcomes are counted in the programme's headline figures at all. The audit is not an administrative inconvenience. It is the gateway to the evidence base.</w:t>
      </w:r>
    </w:p>
    <w:p w14:paraId="58F1CAAE" w14:textId="77777777" w:rsidR="00E73FB1" w:rsidRDefault="00E73FB1" w:rsidP="00E73FB1">
      <w:pPr>
        <w:spacing w:after="180"/>
        <w:jc w:val="both"/>
      </w:pPr>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that doth believe its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to be inaccurate may request a review by a second auditor. Such requests are granted at the discretion of Meridian. They are not guaranteed. The reader should note that the power of review in this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rests with Meridian, not with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w:t>
      </w:r>
    </w:p>
    <w:p w14:paraId="4EF95AD0" w14:textId="77777777" w:rsidR="00E73FB1" w:rsidRDefault="00E73FB1" w:rsidP="00E73FB1">
      <w:pPr>
        <w:spacing w:before="360" w:after="120"/>
      </w:pPr>
      <w:r>
        <w:rPr>
          <w:rFonts w:ascii="Times New Roman" w:eastAsia="Times New Roman" w:hAnsi="Times New Roman" w:cs="Times New Roman"/>
          <w:b/>
          <w:bCs/>
          <w:sz w:val="26"/>
          <w:szCs w:val="26"/>
        </w:rPr>
        <w:t>II. Of the Duties of the Coordinator</w:t>
      </w:r>
    </w:p>
    <w:p w14:paraId="4F1DC317" w14:textId="77777777" w:rsidR="00E73FB1" w:rsidRDefault="00E73FB1" w:rsidP="00E73FB1">
      <w:pPr>
        <w:spacing w:after="180"/>
        <w:jc w:val="both"/>
      </w:pPr>
      <w:r>
        <w:rPr>
          <w:rFonts w:ascii="Times New Roman" w:eastAsia="Times New Roman" w:hAnsi="Times New Roman" w:cs="Times New Roman"/>
          <w:sz w:val="22"/>
          <w:szCs w:val="22"/>
        </w:rPr>
        <w:t xml:space="preserve">The MPI coordinator within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beareth</w:t>
      </w:r>
      <w:proofErr w:type="spellEnd"/>
      <w:r>
        <w:rPr>
          <w:rFonts w:ascii="Times New Roman" w:eastAsia="Times New Roman" w:hAnsi="Times New Roman" w:cs="Times New Roman"/>
          <w:sz w:val="22"/>
          <w:szCs w:val="22"/>
        </w:rPr>
        <w:t xml:space="preserve"> the primary responsibility for the programme's putting-into-effect and is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principal point of contact with Meridian. The duties of the coordinator are broad and require genuine engagement, not merely administrative compliance. They encompass: the chairing of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group for MPI implementation, which is recommended to meet at minimum once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terme</w:t>
      </w:r>
      <w:proofErr w:type="spellEnd"/>
      <w:r>
        <w:rPr>
          <w:rFonts w:ascii="Times New Roman" w:eastAsia="Times New Roman" w:hAnsi="Times New Roman" w:cs="Times New Roman"/>
          <w:sz w:val="22"/>
          <w:szCs w:val="22"/>
        </w:rPr>
        <w:t xml:space="preserve">; the maintenance of records of curriculum sequencing; the oversight of the strand of formative assessment </w:t>
      </w:r>
      <w:proofErr w:type="spellStart"/>
      <w:r>
        <w:rPr>
          <w:rFonts w:ascii="Times New Roman" w:eastAsia="Times New Roman" w:hAnsi="Times New Roman" w:cs="Times New Roman"/>
          <w:sz w:val="22"/>
          <w:szCs w:val="22"/>
        </w:rPr>
        <w:t>integracioun</w:t>
      </w:r>
      <w:proofErr w:type="spellEnd"/>
      <w:r>
        <w:rPr>
          <w:rFonts w:ascii="Times New Roman" w:eastAsia="Times New Roman" w:hAnsi="Times New Roman" w:cs="Times New Roman"/>
          <w:sz w:val="22"/>
          <w:szCs w:val="22"/>
        </w:rPr>
        <w:t xml:space="preserve">; the completion of the annual submission of data within the specified window; and </w:t>
      </w:r>
      <w:proofErr w:type="spellStart"/>
      <w:r>
        <w:rPr>
          <w:rFonts w:ascii="Times New Roman" w:eastAsia="Times New Roman" w:hAnsi="Times New Roman" w:cs="Times New Roman"/>
          <w:sz w:val="22"/>
          <w:szCs w:val="22"/>
        </w:rPr>
        <w:t>participacioun</w:t>
      </w:r>
      <w:proofErr w:type="spellEnd"/>
      <w:r>
        <w:rPr>
          <w:rFonts w:ascii="Times New Roman" w:eastAsia="Times New Roman" w:hAnsi="Times New Roman" w:cs="Times New Roman"/>
          <w:sz w:val="22"/>
          <w:szCs w:val="22"/>
        </w:rPr>
        <w:t xml:space="preserve"> in the network of coordinators, which doth meet at minimum twice in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w:t>
      </w:r>
    </w:p>
    <w:p w14:paraId="43D227EA" w14:textId="77777777" w:rsidR="00E73FB1" w:rsidRDefault="00E73FB1" w:rsidP="00E73FB1">
      <w:pPr>
        <w:spacing w:after="180"/>
        <w:jc w:val="both"/>
      </w:pPr>
      <w:r>
        <w:rPr>
          <w:rFonts w:ascii="Times New Roman" w:eastAsia="Times New Roman" w:hAnsi="Times New Roman" w:cs="Times New Roman"/>
          <w:sz w:val="22"/>
          <w:szCs w:val="22"/>
        </w:rPr>
        <w:t xml:space="preserve">A change of coordinator must be notified to Meridian within four weeks of the change taking effect. The incoming coordinator must complete the training of two days within one </w:t>
      </w:r>
      <w:proofErr w:type="spellStart"/>
      <w:r>
        <w:rPr>
          <w:rFonts w:ascii="Times New Roman" w:eastAsia="Times New Roman" w:hAnsi="Times New Roman" w:cs="Times New Roman"/>
          <w:sz w:val="22"/>
          <w:szCs w:val="22"/>
        </w:rPr>
        <w:t>terme</w:t>
      </w:r>
      <w:proofErr w:type="spellEnd"/>
      <w:r>
        <w:rPr>
          <w:rFonts w:ascii="Times New Roman" w:eastAsia="Times New Roman" w:hAnsi="Times New Roman" w:cs="Times New Roman"/>
          <w:sz w:val="22"/>
          <w:szCs w:val="22"/>
        </w:rPr>
        <w:t xml:space="preserve"> of their </w:t>
      </w:r>
      <w:r>
        <w:rPr>
          <w:rFonts w:ascii="Times New Roman" w:eastAsia="Times New Roman" w:hAnsi="Times New Roman" w:cs="Times New Roman"/>
          <w:sz w:val="22"/>
          <w:szCs w:val="22"/>
        </w:rPr>
        <w:lastRenderedPageBreak/>
        <w:t>appointment. Failure to comply with this requirement is a flag of non-</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under Chapter Eleven. The reader should understand the significance of this: a change of coordinator that is not promptly managed, or a new coordinator who doth not complete training in time, creates a compliance flag that feeds directly into the review process by which a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data may be excluded from the programme's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w:t>
      </w:r>
    </w:p>
    <w:p w14:paraId="70521EB0" w14:textId="77777777" w:rsidR="00E73FB1" w:rsidRDefault="00E73FB1" w:rsidP="00E73FB1">
      <w:pPr>
        <w:spacing w:before="360" w:after="120"/>
      </w:pPr>
      <w:r>
        <w:rPr>
          <w:rFonts w:ascii="Times New Roman" w:eastAsia="Times New Roman" w:hAnsi="Times New Roman" w:cs="Times New Roman"/>
          <w:b/>
          <w:bCs/>
          <w:sz w:val="26"/>
          <w:szCs w:val="26"/>
        </w:rPr>
        <w:t>III. Of the Requirements of Leadership Engagement</w:t>
      </w:r>
    </w:p>
    <w:p w14:paraId="1970283F" w14:textId="77777777" w:rsidR="00E73FB1" w:rsidRDefault="00E73FB1" w:rsidP="00E73FB1">
      <w:pPr>
        <w:spacing w:after="180"/>
        <w:jc w:val="both"/>
      </w:pPr>
      <w:r>
        <w:rPr>
          <w:rFonts w:ascii="Times New Roman" w:eastAsia="Times New Roman" w:hAnsi="Times New Roman" w:cs="Times New Roman"/>
          <w:sz w:val="22"/>
          <w:szCs w:val="22"/>
        </w:rPr>
        <w:t xml:space="preserve">The headteacher or a designated senior leader of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partner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is required to participate in an annual review of strategy with the account manager of Meridian. The review doth cover the progress of the programme, the priorities of implementation for the coming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and any changes in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circumstaunce</w:t>
      </w:r>
      <w:proofErr w:type="spellEnd"/>
      <w:r>
        <w:rPr>
          <w:rFonts w:ascii="Times New Roman" w:eastAsia="Times New Roman" w:hAnsi="Times New Roman" w:cs="Times New Roman"/>
          <w:sz w:val="22"/>
          <w:szCs w:val="22"/>
        </w:rPr>
        <w:t xml:space="preserve"> — of staffing, of intake, of resources — that may affect the programme's delivery.</w:t>
      </w:r>
    </w:p>
    <w:p w14:paraId="7EC4B859" w14:textId="77777777" w:rsidR="00E73FB1" w:rsidRDefault="00E73FB1" w:rsidP="00E73FB1">
      <w:pPr>
        <w:spacing w:after="180"/>
        <w:jc w:val="both"/>
      </w:pPr>
      <w:r>
        <w:rPr>
          <w:rFonts w:ascii="Times New Roman" w:eastAsia="Times New Roman" w:hAnsi="Times New Roman" w:cs="Times New Roman"/>
          <w:sz w:val="22"/>
          <w:szCs w:val="22"/>
        </w:rPr>
        <w:t xml:space="preserve">Leadership engagement is scored as one of the eight dimensions of the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Scoles whose senior leader doth change more than twice in three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xml:space="preserve">, or whose annual strategic review is consistently deferred or cancelled, will receive diminished scores upon this dimension. The reader will recall from Chapter Three that the IQS </w:t>
      </w:r>
      <w:proofErr w:type="spellStart"/>
      <w:r>
        <w:rPr>
          <w:rFonts w:ascii="Times New Roman" w:eastAsia="Times New Roman" w:hAnsi="Times New Roman" w:cs="Times New Roman"/>
          <w:sz w:val="22"/>
          <w:szCs w:val="22"/>
        </w:rPr>
        <w:t>feedeth</w:t>
      </w:r>
      <w:proofErr w:type="spellEnd"/>
      <w:r>
        <w:rPr>
          <w:rFonts w:ascii="Times New Roman" w:eastAsia="Times New Roman" w:hAnsi="Times New Roman" w:cs="Times New Roman"/>
          <w:sz w:val="22"/>
          <w:szCs w:val="22"/>
        </w:rPr>
        <w:t xml:space="preserve"> directly into the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Score, and from Chapter Eleven that the PFS </w:t>
      </w:r>
      <w:proofErr w:type="spellStart"/>
      <w:r>
        <w:rPr>
          <w:rFonts w:ascii="Times New Roman" w:eastAsia="Times New Roman" w:hAnsi="Times New Roman" w:cs="Times New Roman"/>
          <w:sz w:val="22"/>
          <w:szCs w:val="22"/>
        </w:rPr>
        <w:t>feedeth</w:t>
      </w:r>
      <w:proofErr w:type="spellEnd"/>
      <w:r>
        <w:rPr>
          <w:rFonts w:ascii="Times New Roman" w:eastAsia="Times New Roman" w:hAnsi="Times New Roman" w:cs="Times New Roman"/>
          <w:sz w:val="22"/>
          <w:szCs w:val="22"/>
        </w:rPr>
        <w:t xml:space="preserve"> directly into the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of compliance. Leadership disengagement is therefore not merely a relational concern; it hath mechanical consequence for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place in the evidence base.</w:t>
      </w:r>
    </w:p>
    <w:p w14:paraId="5BE128C3" w14:textId="77777777" w:rsidR="00E73FB1" w:rsidRDefault="00E73FB1" w:rsidP="00E73FB1">
      <w:pPr>
        <w:spacing w:before="360" w:after="120"/>
      </w:pPr>
      <w:r>
        <w:rPr>
          <w:rFonts w:ascii="Times New Roman" w:eastAsia="Times New Roman" w:hAnsi="Times New Roman" w:cs="Times New Roman"/>
          <w:b/>
          <w:bCs/>
          <w:sz w:val="26"/>
          <w:szCs w:val="26"/>
        </w:rPr>
        <w:t xml:space="preserve">IV. Of What the </w:t>
      </w:r>
      <w:proofErr w:type="spellStart"/>
      <w:r>
        <w:rPr>
          <w:rFonts w:ascii="Times New Roman" w:eastAsia="Times New Roman" w:hAnsi="Times New Roman" w:cs="Times New Roman"/>
          <w:b/>
          <w:bCs/>
          <w:sz w:val="26"/>
          <w:szCs w:val="26"/>
        </w:rPr>
        <w:t>Partnershippe</w:t>
      </w:r>
      <w:proofErr w:type="spellEnd"/>
      <w:r>
        <w:rPr>
          <w:rFonts w:ascii="Times New Roman" w:eastAsia="Times New Roman" w:hAnsi="Times New Roman" w:cs="Times New Roman"/>
          <w:b/>
          <w:bCs/>
          <w:sz w:val="26"/>
          <w:szCs w:val="26"/>
        </w:rPr>
        <w:t xml:space="preserve"> Doth Not Require</w:t>
      </w:r>
    </w:p>
    <w:p w14:paraId="67E5B98C" w14:textId="77777777" w:rsidR="00E73FB1" w:rsidRDefault="00E73FB1" w:rsidP="00E73FB1">
      <w:pPr>
        <w:spacing w:after="180"/>
        <w:jc w:val="both"/>
      </w:pPr>
      <w:r>
        <w:rPr>
          <w:rFonts w:ascii="Times New Roman" w:eastAsia="Times New Roman" w:hAnsi="Times New Roman" w:cs="Times New Roman"/>
          <w:sz w:val="22"/>
          <w:szCs w:val="22"/>
        </w:rPr>
        <w:t xml:space="preserve">The MPI </w:t>
      </w:r>
      <w:proofErr w:type="spellStart"/>
      <w:r>
        <w:rPr>
          <w:rFonts w:ascii="Times New Roman" w:eastAsia="Times New Roman" w:hAnsi="Times New Roman" w:cs="Times New Roman"/>
          <w:sz w:val="22"/>
          <w:szCs w:val="22"/>
        </w:rPr>
        <w:t>partnershippe</w:t>
      </w:r>
      <w:proofErr w:type="spellEnd"/>
      <w:r>
        <w:rPr>
          <w:rFonts w:ascii="Times New Roman" w:eastAsia="Times New Roman" w:hAnsi="Times New Roman" w:cs="Times New Roman"/>
          <w:sz w:val="22"/>
          <w:szCs w:val="22"/>
        </w:rPr>
        <w:t xml:space="preserve"> doth not require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to abandon their existing schemata of </w:t>
      </w:r>
      <w:proofErr w:type="spellStart"/>
      <w:r>
        <w:rPr>
          <w:rFonts w:ascii="Times New Roman" w:eastAsia="Times New Roman" w:hAnsi="Times New Roman" w:cs="Times New Roman"/>
          <w:sz w:val="22"/>
          <w:szCs w:val="22"/>
        </w:rPr>
        <w:t>werk</w:t>
      </w:r>
      <w:proofErr w:type="spellEnd"/>
      <w:r>
        <w:rPr>
          <w:rFonts w:ascii="Times New Roman" w:eastAsia="Times New Roman" w:hAnsi="Times New Roman" w:cs="Times New Roman"/>
          <w:sz w:val="22"/>
          <w:szCs w:val="22"/>
        </w:rPr>
        <w:t xml:space="preserve"> entirely, nor to use exclusively the materials produced by Meridian, nor to implement the programme in a manner perfectly identical to every other programme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The framework is designed, and hath always been designed, to be adapted to the </w:t>
      </w:r>
      <w:proofErr w:type="gramStart"/>
      <w:r>
        <w:rPr>
          <w:rFonts w:ascii="Times New Roman" w:eastAsia="Times New Roman" w:hAnsi="Times New Roman" w:cs="Times New Roman"/>
          <w:sz w:val="22"/>
          <w:szCs w:val="22"/>
        </w:rPr>
        <w:t>particular context</w:t>
      </w:r>
      <w:proofErr w:type="gram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ech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The question is not whether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doth proceed in precisely the same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as every other partner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it is whether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doth implement the three core strands of the programme — curriculum sequencing, formative assessment </w:t>
      </w:r>
      <w:proofErr w:type="spellStart"/>
      <w:r>
        <w:rPr>
          <w:rFonts w:ascii="Times New Roman" w:eastAsia="Times New Roman" w:hAnsi="Times New Roman" w:cs="Times New Roman"/>
          <w:sz w:val="22"/>
          <w:szCs w:val="22"/>
        </w:rPr>
        <w:t>integracioun</w:t>
      </w:r>
      <w:proofErr w:type="spellEnd"/>
      <w:r>
        <w:rPr>
          <w:rFonts w:ascii="Times New Roman" w:eastAsia="Times New Roman" w:hAnsi="Times New Roman" w:cs="Times New Roman"/>
          <w:sz w:val="22"/>
          <w:szCs w:val="22"/>
        </w:rPr>
        <w:t xml:space="preserve">, and professional development — with sufficient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to generate valid data of outcomes.</w:t>
      </w:r>
    </w:p>
    <w:p w14:paraId="730C2199" w14:textId="77777777" w:rsidR="00E73FB1" w:rsidRDefault="00E73FB1" w:rsidP="00E73FB1">
      <w:pPr>
        <w:spacing w:after="180"/>
        <w:jc w:val="both"/>
      </w:pPr>
      <w:r>
        <w:rPr>
          <w:rFonts w:ascii="Times New Roman" w:eastAsia="Times New Roman" w:hAnsi="Times New Roman" w:cs="Times New Roman"/>
          <w:sz w:val="22"/>
          <w:szCs w:val="22"/>
        </w:rPr>
        <w:t xml:space="preserve">The phrase 'sufficient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appeareth</w:t>
      </w:r>
      <w:proofErr w:type="spellEnd"/>
      <w:r>
        <w:rPr>
          <w:rFonts w:ascii="Times New Roman" w:eastAsia="Times New Roman" w:hAnsi="Times New Roman" w:cs="Times New Roman"/>
          <w:sz w:val="22"/>
          <w:szCs w:val="22"/>
        </w:rPr>
        <w:t xml:space="preserve"> throughout these chapters with considerable frequency, and it is a phrase of considerable consequence. Its precise definition is to be found in Chapter Eleven, in Section Two, which </w:t>
      </w:r>
      <w:proofErr w:type="spellStart"/>
      <w:r>
        <w:rPr>
          <w:rFonts w:ascii="Times New Roman" w:eastAsia="Times New Roman" w:hAnsi="Times New Roman" w:cs="Times New Roman"/>
          <w:sz w:val="22"/>
          <w:szCs w:val="22"/>
        </w:rPr>
        <w:t>enumerateth</w:t>
      </w:r>
      <w:proofErr w:type="spellEnd"/>
      <w:r>
        <w:rPr>
          <w:rFonts w:ascii="Times New Roman" w:eastAsia="Times New Roman" w:hAnsi="Times New Roman" w:cs="Times New Roman"/>
          <w:sz w:val="22"/>
          <w:szCs w:val="22"/>
        </w:rPr>
        <w:t xml:space="preserve"> the five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compliant implementation. The reader who hath not yet read Chapter Eleven is urged — this reader doth not use the word 'urged' lightly, and hath not used it without reflection — to read Chapter Eleven before employing this phrase in any formal document whatsoever.</w:t>
      </w:r>
    </w:p>
    <w:p w14:paraId="3371E072" w14:textId="77777777" w:rsidR="00E73FB1" w:rsidRDefault="00E73FB1" w:rsidP="00E73FB1">
      <w:pPr>
        <w:spacing w:before="360" w:after="120"/>
      </w:pPr>
      <w:r>
        <w:rPr>
          <w:rFonts w:ascii="Times New Roman" w:eastAsia="Times New Roman" w:hAnsi="Times New Roman" w:cs="Times New Roman"/>
          <w:b/>
          <w:bCs/>
          <w:sz w:val="26"/>
          <w:szCs w:val="26"/>
        </w:rPr>
        <w:t xml:space="preserve">V. What Meridian </w:t>
      </w:r>
      <w:proofErr w:type="spellStart"/>
      <w:r>
        <w:rPr>
          <w:rFonts w:ascii="Times New Roman" w:eastAsia="Times New Roman" w:hAnsi="Times New Roman" w:cs="Times New Roman"/>
          <w:b/>
          <w:bCs/>
          <w:sz w:val="26"/>
          <w:szCs w:val="26"/>
        </w:rPr>
        <w:t>Provideth</w:t>
      </w:r>
      <w:proofErr w:type="spellEnd"/>
      <w:r>
        <w:rPr>
          <w:rFonts w:ascii="Times New Roman" w:eastAsia="Times New Roman" w:hAnsi="Times New Roman" w:cs="Times New Roman"/>
          <w:b/>
          <w:bCs/>
          <w:sz w:val="26"/>
          <w:szCs w:val="26"/>
        </w:rPr>
        <w:t xml:space="preserve"> in Return</w:t>
      </w:r>
    </w:p>
    <w:p w14:paraId="32BC449D" w14:textId="77777777" w:rsidR="00E73FB1" w:rsidRDefault="00E73FB1" w:rsidP="00E73FB1">
      <w:pPr>
        <w:spacing w:after="180"/>
        <w:jc w:val="both"/>
      </w:pPr>
      <w:r>
        <w:rPr>
          <w:rFonts w:ascii="Times New Roman" w:eastAsia="Times New Roman" w:hAnsi="Times New Roman" w:cs="Times New Roman"/>
          <w:sz w:val="22"/>
          <w:szCs w:val="22"/>
        </w:rPr>
        <w:t xml:space="preserve">The obligations of the </w:t>
      </w:r>
      <w:proofErr w:type="spellStart"/>
      <w:r>
        <w:rPr>
          <w:rFonts w:ascii="Times New Roman" w:eastAsia="Times New Roman" w:hAnsi="Times New Roman" w:cs="Times New Roman"/>
          <w:sz w:val="22"/>
          <w:szCs w:val="22"/>
        </w:rPr>
        <w:t>partnershippe</w:t>
      </w:r>
      <w:proofErr w:type="spellEnd"/>
      <w:r>
        <w:rPr>
          <w:rFonts w:ascii="Times New Roman" w:eastAsia="Times New Roman" w:hAnsi="Times New Roman" w:cs="Times New Roman"/>
          <w:sz w:val="22"/>
          <w:szCs w:val="22"/>
        </w:rPr>
        <w:t xml:space="preserve"> are not unilateral. In exchange for meeting the requirements set forth in this chapter, partner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receiveth</w:t>
      </w:r>
      <w:proofErr w:type="spellEnd"/>
      <w:r>
        <w:rPr>
          <w:rFonts w:ascii="Times New Roman" w:eastAsia="Times New Roman" w:hAnsi="Times New Roman" w:cs="Times New Roman"/>
          <w:sz w:val="22"/>
          <w:szCs w:val="22"/>
        </w:rPr>
        <w:t xml:space="preserve">: the full MPI curriculum framework, updated annually; access to the digital platform of the programme; training for the coordinator and ongoing professional development; access to the network of practitioner colleagues; and an annual summary of impact, situating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results within the wider programme.</w:t>
      </w:r>
    </w:p>
    <w:p w14:paraId="7BA114A5" w14:textId="77777777" w:rsidR="00E73FB1" w:rsidRDefault="00E73FB1" w:rsidP="00E73FB1">
      <w:pPr>
        <w:spacing w:after="180"/>
        <w:jc w:val="both"/>
      </w:pPr>
      <w:r>
        <w:rPr>
          <w:rFonts w:ascii="Times New Roman" w:eastAsia="Times New Roman" w:hAnsi="Times New Roman" w:cs="Times New Roman"/>
          <w:sz w:val="22"/>
          <w:szCs w:val="22"/>
        </w:rPr>
        <w:t xml:space="preserve">The annual impact summary produced for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is not the same document as the renewal evidence pack produced for local authority clients, though both do draw upon the same underlying data. The reader who is involved in producing renewal evidence packs should be aware of this distinction and should not present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-level summary as equivalent to the programme-level evidence pack in any client communication.</w:t>
      </w:r>
    </w:p>
    <w:p w14:paraId="6DA2076F" w14:textId="77777777" w:rsidR="00E73FB1" w:rsidRDefault="00E73FB1" w:rsidP="00E73FB1">
      <w:pPr>
        <w:pBdr>
          <w:bottom w:val="single" w:sz="4" w:space="1" w:color="999999"/>
        </w:pBdr>
        <w:spacing w:before="280" w:after="280"/>
      </w:pPr>
    </w:p>
    <w:p w14:paraId="7C041326" w14:textId="77777777" w:rsidR="00E73FB1" w:rsidRDefault="00E73FB1" w:rsidP="00E73FB1">
      <w:pPr>
        <w:spacing w:after="180"/>
        <w:jc w:val="both"/>
      </w:pPr>
      <w:r>
        <w:rPr>
          <w:rFonts w:ascii="Times New Roman" w:eastAsia="Times New Roman" w:hAnsi="Times New Roman" w:cs="Times New Roman"/>
          <w:i/>
          <w:iCs/>
          <w:sz w:val="22"/>
          <w:szCs w:val="22"/>
        </w:rPr>
        <w:lastRenderedPageBreak/>
        <w:t xml:space="preserve">End of the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IX. The relationship </w:t>
      </w:r>
      <w:proofErr w:type="spellStart"/>
      <w:r>
        <w:rPr>
          <w:rFonts w:ascii="Times New Roman" w:eastAsia="Times New Roman" w:hAnsi="Times New Roman" w:cs="Times New Roman"/>
          <w:i/>
          <w:iCs/>
          <w:sz w:val="22"/>
          <w:szCs w:val="22"/>
        </w:rPr>
        <w:t>bitwene</w:t>
      </w:r>
      <w:proofErr w:type="spellEnd"/>
      <w:r>
        <w:rPr>
          <w:rFonts w:ascii="Times New Roman" w:eastAsia="Times New Roman" w:hAnsi="Times New Roman" w:cs="Times New Roman"/>
          <w:i/>
          <w:iCs/>
          <w:sz w:val="22"/>
          <w:szCs w:val="22"/>
        </w:rPr>
        <w:t xml:space="preserve"> this chapter and Chapter Eleven cannot be overstated. This reader hath written the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Eleven </w:t>
      </w:r>
      <w:proofErr w:type="spellStart"/>
      <w:r>
        <w:rPr>
          <w:rFonts w:ascii="Times New Roman" w:eastAsia="Times New Roman" w:hAnsi="Times New Roman" w:cs="Times New Roman"/>
          <w:i/>
          <w:iCs/>
          <w:sz w:val="22"/>
          <w:szCs w:val="22"/>
        </w:rPr>
        <w:t>separatelie</w:t>
      </w:r>
      <w:proofErr w:type="spellEnd"/>
      <w:r>
        <w:rPr>
          <w:rFonts w:ascii="Times New Roman" w:eastAsia="Times New Roman" w:hAnsi="Times New Roman" w:cs="Times New Roman"/>
          <w:i/>
          <w:iCs/>
          <w:sz w:val="22"/>
          <w:szCs w:val="22"/>
        </w:rPr>
        <w:t xml:space="preserve"> and urges the reader to treat the two as a single extended argument rather than as independent sections.</w:t>
      </w:r>
    </w:p>
    <w:p w14:paraId="4B66362B" w14:textId="77777777" w:rsidR="00E73FB1" w:rsidRDefault="00E73FB1">
      <w:pPr>
        <w:spacing w:after="160" w:line="278"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br w:type="page"/>
      </w:r>
    </w:p>
    <w:p w14:paraId="16E88863" w14:textId="66B86777" w:rsidR="001C73A7" w:rsidRDefault="001C73A7" w:rsidP="001C73A7">
      <w:pPr>
        <w:spacing w:after="200"/>
        <w:jc w:val="center"/>
      </w:pPr>
      <w:r>
        <w:rPr>
          <w:rFonts w:ascii="Times New Roman" w:eastAsia="Times New Roman" w:hAnsi="Times New Roman" w:cs="Times New Roman"/>
          <w:b/>
          <w:bCs/>
          <w:sz w:val="34"/>
          <w:szCs w:val="34"/>
        </w:rPr>
        <w:lastRenderedPageBreak/>
        <w:t xml:space="preserve">Of the </w:t>
      </w:r>
      <w:proofErr w:type="spellStart"/>
      <w:r>
        <w:rPr>
          <w:rFonts w:ascii="Times New Roman" w:eastAsia="Times New Roman" w:hAnsi="Times New Roman" w:cs="Times New Roman"/>
          <w:b/>
          <w:bCs/>
          <w:sz w:val="34"/>
          <w:szCs w:val="34"/>
        </w:rPr>
        <w:t>Stondards</w:t>
      </w:r>
      <w:proofErr w:type="spellEnd"/>
      <w:r>
        <w:rPr>
          <w:rFonts w:ascii="Times New Roman" w:eastAsia="Times New Roman" w:hAnsi="Times New Roman" w:cs="Times New Roman"/>
          <w:b/>
          <w:bCs/>
          <w:sz w:val="34"/>
          <w:szCs w:val="34"/>
        </w:rPr>
        <w:t xml:space="preserve"> of </w:t>
      </w:r>
      <w:proofErr w:type="spellStart"/>
      <w:r>
        <w:rPr>
          <w:rFonts w:ascii="Times New Roman" w:eastAsia="Times New Roman" w:hAnsi="Times New Roman" w:cs="Times New Roman"/>
          <w:b/>
          <w:bCs/>
          <w:sz w:val="34"/>
          <w:szCs w:val="34"/>
        </w:rPr>
        <w:t>Compliaunce</w:t>
      </w:r>
      <w:proofErr w:type="spellEnd"/>
      <w:r>
        <w:rPr>
          <w:rFonts w:ascii="Times New Roman" w:eastAsia="Times New Roman" w:hAnsi="Times New Roman" w:cs="Times New Roman"/>
          <w:b/>
          <w:bCs/>
          <w:sz w:val="34"/>
          <w:szCs w:val="34"/>
        </w:rPr>
        <w:t xml:space="preserve"> and </w:t>
      </w:r>
      <w:proofErr w:type="spellStart"/>
      <w:r>
        <w:rPr>
          <w:rFonts w:ascii="Times New Roman" w:eastAsia="Times New Roman" w:hAnsi="Times New Roman" w:cs="Times New Roman"/>
          <w:b/>
          <w:bCs/>
          <w:sz w:val="34"/>
          <w:szCs w:val="34"/>
        </w:rPr>
        <w:t>Fidelitee</w:t>
      </w:r>
      <w:proofErr w:type="spellEnd"/>
    </w:p>
    <w:p w14:paraId="71C5066B" w14:textId="77777777" w:rsidR="001C73A7" w:rsidRDefault="001C73A7" w:rsidP="001C73A7">
      <w:pPr>
        <w:spacing w:after="160"/>
        <w:jc w:val="center"/>
      </w:pPr>
      <w:r>
        <w:rPr>
          <w:rFonts w:ascii="Times New Roman" w:eastAsia="Times New Roman" w:hAnsi="Times New Roman" w:cs="Times New Roman"/>
          <w:i/>
          <w:iCs/>
          <w:sz w:val="22"/>
          <w:szCs w:val="22"/>
        </w:rPr>
        <w:t xml:space="preserve">Being the Most Consequential Chapter of the Handbook — A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XI</w:t>
      </w:r>
    </w:p>
    <w:p w14:paraId="2E942983" w14:textId="77777777" w:rsidR="001C73A7" w:rsidRDefault="001C73A7" w:rsidP="001C73A7">
      <w:pPr>
        <w:spacing w:after="160"/>
        <w:jc w:val="center"/>
      </w:pPr>
      <w:r>
        <w:rPr>
          <w:rFonts w:ascii="Times New Roman" w:eastAsia="Times New Roman" w:hAnsi="Times New Roman" w:cs="Times New Roman"/>
          <w:i/>
          <w:iCs/>
          <w:sz w:val="22"/>
          <w:szCs w:val="22"/>
        </w:rPr>
        <w:t>of the MPI Technical Handbook, Edition 4.2</w:t>
      </w:r>
    </w:p>
    <w:p w14:paraId="05095D23" w14:textId="77777777" w:rsidR="001C73A7" w:rsidRDefault="001C73A7" w:rsidP="001C73A7">
      <w:pPr>
        <w:spacing w:after="560"/>
        <w:jc w:val="center"/>
      </w:pPr>
      <w:r>
        <w:rPr>
          <w:rFonts w:ascii="Times New Roman" w:eastAsia="Times New Roman" w:hAnsi="Times New Roman" w:cs="Times New Roman"/>
          <w:sz w:val="22"/>
          <w:szCs w:val="22"/>
        </w:rPr>
        <w:t xml:space="preserve">P.A. Hart, </w:t>
      </w:r>
      <w:proofErr w:type="spellStart"/>
      <w:r>
        <w:rPr>
          <w:rFonts w:ascii="Times New Roman" w:eastAsia="Times New Roman" w:hAnsi="Times New Roman" w:cs="Times New Roman"/>
          <w:sz w:val="22"/>
          <w:szCs w:val="22"/>
        </w:rPr>
        <w:t>Doctour</w:t>
      </w:r>
      <w:proofErr w:type="spellEnd"/>
      <w:r>
        <w:rPr>
          <w:rFonts w:ascii="Times New Roman" w:eastAsia="Times New Roman" w:hAnsi="Times New Roman" w:cs="Times New Roman"/>
          <w:sz w:val="22"/>
          <w:szCs w:val="22"/>
        </w:rPr>
        <w:t xml:space="preserve"> of Philosophie — For </w:t>
      </w:r>
      <w:proofErr w:type="spellStart"/>
      <w:r>
        <w:rPr>
          <w:rFonts w:ascii="Times New Roman" w:eastAsia="Times New Roman" w:hAnsi="Times New Roman" w:cs="Times New Roman"/>
          <w:sz w:val="22"/>
          <w:szCs w:val="22"/>
        </w:rPr>
        <w:t>myn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owene</w:t>
      </w:r>
      <w:proofErr w:type="spellEnd"/>
      <w:r>
        <w:rPr>
          <w:rFonts w:ascii="Times New Roman" w:eastAsia="Times New Roman" w:hAnsi="Times New Roman" w:cs="Times New Roman"/>
          <w:sz w:val="22"/>
          <w:szCs w:val="22"/>
        </w:rPr>
        <w:t xml:space="preserve"> use in </w:t>
      </w:r>
      <w:proofErr w:type="spellStart"/>
      <w:r>
        <w:rPr>
          <w:rFonts w:ascii="Times New Roman" w:eastAsia="Times New Roman" w:hAnsi="Times New Roman" w:cs="Times New Roman"/>
          <w:sz w:val="22"/>
          <w:szCs w:val="22"/>
        </w:rPr>
        <w:t>Induccioun</w:t>
      </w:r>
      <w:proofErr w:type="spellEnd"/>
      <w:r>
        <w:rPr>
          <w:rFonts w:ascii="Times New Roman" w:eastAsia="Times New Roman" w:hAnsi="Times New Roman" w:cs="Times New Roman"/>
          <w:sz w:val="22"/>
          <w:szCs w:val="22"/>
        </w:rPr>
        <w:t xml:space="preserve"> — 2021</w:t>
      </w:r>
    </w:p>
    <w:p w14:paraId="5346B352" w14:textId="77777777" w:rsidR="001C73A7" w:rsidRDefault="001C73A7" w:rsidP="001C73A7">
      <w:pPr>
        <w:pBdr>
          <w:bottom w:val="single" w:sz="4" w:space="1" w:color="999999"/>
        </w:pBdr>
        <w:spacing w:before="280" w:after="280"/>
      </w:pPr>
    </w:p>
    <w:p w14:paraId="5A5A460D" w14:textId="77777777" w:rsidR="001C73A7" w:rsidRDefault="001C73A7" w:rsidP="001C73A7">
      <w:pPr>
        <w:spacing w:after="180"/>
        <w:jc w:val="both"/>
      </w:pPr>
      <w:r>
        <w:rPr>
          <w:rFonts w:ascii="Times New Roman" w:eastAsia="Times New Roman" w:hAnsi="Times New Roman" w:cs="Times New Roman"/>
          <w:i/>
          <w:iCs/>
          <w:sz w:val="22"/>
          <w:szCs w:val="22"/>
        </w:rPr>
        <w:t xml:space="preserve">This reader hath titled this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as he hath titled it because it is true, and because the truth of it is consistently underappreciated. Chapter Eleven is the most consequential chapter in the handbook. It is also, in this reader's experience of four induction cycles, the least thoroughly read. The connection </w:t>
      </w:r>
      <w:proofErr w:type="spellStart"/>
      <w:r>
        <w:rPr>
          <w:rFonts w:ascii="Times New Roman" w:eastAsia="Times New Roman" w:hAnsi="Times New Roman" w:cs="Times New Roman"/>
          <w:i/>
          <w:iCs/>
          <w:sz w:val="22"/>
          <w:szCs w:val="22"/>
        </w:rPr>
        <w:t>bitwene</w:t>
      </w:r>
      <w:proofErr w:type="spellEnd"/>
      <w:r>
        <w:rPr>
          <w:rFonts w:ascii="Times New Roman" w:eastAsia="Times New Roman" w:hAnsi="Times New Roman" w:cs="Times New Roman"/>
          <w:i/>
          <w:iCs/>
          <w:sz w:val="22"/>
          <w:szCs w:val="22"/>
        </w:rPr>
        <w:t xml:space="preserve"> these two facts </w:t>
      </w:r>
      <w:proofErr w:type="gramStart"/>
      <w:r>
        <w:rPr>
          <w:rFonts w:ascii="Times New Roman" w:eastAsia="Times New Roman" w:hAnsi="Times New Roman" w:cs="Times New Roman"/>
          <w:i/>
          <w:iCs/>
          <w:sz w:val="22"/>
          <w:szCs w:val="22"/>
        </w:rPr>
        <w:t>is</w:t>
      </w:r>
      <w:proofErr w:type="gramEnd"/>
      <w:r>
        <w:rPr>
          <w:rFonts w:ascii="Times New Roman" w:eastAsia="Times New Roman" w:hAnsi="Times New Roman" w:cs="Times New Roman"/>
          <w:i/>
          <w:iCs/>
          <w:sz w:val="22"/>
          <w:szCs w:val="22"/>
        </w:rPr>
        <w:t xml:space="preserve"> not accidental. That which hath the most consequence is often that which one is least inclined to read carefully, perhaps because the careful reading of it would require the reader to think about things they would prefer not to think about. This reader hath no sympathy for this tendency. The reader is urged to read this chapter and this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in full, and to read them again.</w:t>
      </w:r>
    </w:p>
    <w:p w14:paraId="543E44D3" w14:textId="77777777" w:rsidR="001C73A7" w:rsidRDefault="001C73A7" w:rsidP="001C73A7">
      <w:pPr>
        <w:spacing w:after="100"/>
      </w:pPr>
    </w:p>
    <w:p w14:paraId="73E34644" w14:textId="77777777" w:rsidR="001C73A7" w:rsidRDefault="001C73A7" w:rsidP="001C73A7">
      <w:pPr>
        <w:spacing w:before="360" w:after="120"/>
      </w:pPr>
      <w:r>
        <w:rPr>
          <w:rFonts w:ascii="Times New Roman" w:eastAsia="Times New Roman" w:hAnsi="Times New Roman" w:cs="Times New Roman"/>
          <w:b/>
          <w:bCs/>
          <w:sz w:val="26"/>
          <w:szCs w:val="26"/>
        </w:rPr>
        <w:t xml:space="preserve">I. Of the Reason for Such </w:t>
      </w:r>
      <w:proofErr w:type="spellStart"/>
      <w:r>
        <w:rPr>
          <w:rFonts w:ascii="Times New Roman" w:eastAsia="Times New Roman" w:hAnsi="Times New Roman" w:cs="Times New Roman"/>
          <w:b/>
          <w:bCs/>
          <w:sz w:val="26"/>
          <w:szCs w:val="26"/>
        </w:rPr>
        <w:t>Stondards</w:t>
      </w:r>
      <w:proofErr w:type="spellEnd"/>
      <w:r>
        <w:rPr>
          <w:rFonts w:ascii="Times New Roman" w:eastAsia="Times New Roman" w:hAnsi="Times New Roman" w:cs="Times New Roman"/>
          <w:b/>
          <w:bCs/>
          <w:sz w:val="26"/>
          <w:szCs w:val="26"/>
        </w:rPr>
        <w:t>, and Why the Reason Is Not Simple</w:t>
      </w:r>
    </w:p>
    <w:p w14:paraId="710B82F4" w14:textId="77777777" w:rsidR="001C73A7" w:rsidRDefault="001C73A7" w:rsidP="001C73A7">
      <w:pPr>
        <w:spacing w:after="180"/>
        <w:jc w:val="both"/>
      </w:pPr>
      <w:r>
        <w:rPr>
          <w:rFonts w:ascii="Times New Roman" w:eastAsia="Times New Roman" w:hAnsi="Times New Roman" w:cs="Times New Roman"/>
          <w:sz w:val="22"/>
          <w:szCs w:val="22"/>
        </w:rPr>
        <w:t xml:space="preserve">The impact of a programme upon the outcomes of children cannot be </w:t>
      </w:r>
      <w:proofErr w:type="spellStart"/>
      <w:r>
        <w:rPr>
          <w:rFonts w:ascii="Times New Roman" w:eastAsia="Times New Roman" w:hAnsi="Times New Roman" w:cs="Times New Roman"/>
          <w:sz w:val="22"/>
          <w:szCs w:val="22"/>
        </w:rPr>
        <w:t>mesured</w:t>
      </w:r>
      <w:proofErr w:type="spellEnd"/>
      <w:r>
        <w:rPr>
          <w:rFonts w:ascii="Times New Roman" w:eastAsia="Times New Roman" w:hAnsi="Times New Roman" w:cs="Times New Roman"/>
          <w:sz w:val="22"/>
          <w:szCs w:val="22"/>
        </w:rPr>
        <w:t xml:space="preserve"> in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where the programme was not properly put into effect. This is not a matter of preference in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It is a matter of logical </w:t>
      </w:r>
      <w:proofErr w:type="spellStart"/>
      <w:r>
        <w:rPr>
          <w:rFonts w:ascii="Times New Roman" w:eastAsia="Times New Roman" w:hAnsi="Times New Roman" w:cs="Times New Roman"/>
          <w:sz w:val="22"/>
          <w:szCs w:val="22"/>
        </w:rPr>
        <w:t>necessitee</w:t>
      </w:r>
      <w:proofErr w:type="spellEnd"/>
      <w:r>
        <w:rPr>
          <w:rFonts w:ascii="Times New Roman" w:eastAsia="Times New Roman" w:hAnsi="Times New Roman" w:cs="Times New Roman"/>
          <w:sz w:val="22"/>
          <w:szCs w:val="22"/>
        </w:rPr>
        <w:t xml:space="preserve">. If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did adopt the name of the MPI but not its practice — if it did employ some materials but not the strand of formative assessment </w:t>
      </w:r>
      <w:proofErr w:type="spellStart"/>
      <w:r>
        <w:rPr>
          <w:rFonts w:ascii="Times New Roman" w:eastAsia="Times New Roman" w:hAnsi="Times New Roman" w:cs="Times New Roman"/>
          <w:sz w:val="22"/>
          <w:szCs w:val="22"/>
        </w:rPr>
        <w:t>integracioun</w:t>
      </w:r>
      <w:proofErr w:type="spellEnd"/>
      <w:r>
        <w:rPr>
          <w:rFonts w:ascii="Times New Roman" w:eastAsia="Times New Roman" w:hAnsi="Times New Roman" w:cs="Times New Roman"/>
          <w:sz w:val="22"/>
          <w:szCs w:val="22"/>
        </w:rPr>
        <w:t xml:space="preserve">, or if the capacity of the coordinator did fail in the second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and the putting-into-effect did in effect cease — then the outcomes of that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cannot tell us </w:t>
      </w:r>
      <w:proofErr w:type="spellStart"/>
      <w:r>
        <w:rPr>
          <w:rFonts w:ascii="Times New Roman" w:eastAsia="Times New Roman" w:hAnsi="Times New Roman" w:cs="Times New Roman"/>
          <w:sz w:val="22"/>
          <w:szCs w:val="22"/>
        </w:rPr>
        <w:t>any thing</w:t>
      </w:r>
      <w:proofErr w:type="spellEnd"/>
      <w:r>
        <w:rPr>
          <w:rFonts w:ascii="Times New Roman" w:eastAsia="Times New Roman" w:hAnsi="Times New Roman" w:cs="Times New Roman"/>
          <w:sz w:val="22"/>
          <w:szCs w:val="22"/>
        </w:rPr>
        <w:t xml:space="preserve"> reliable about what the MPI </w:t>
      </w:r>
      <w:proofErr w:type="spellStart"/>
      <w:r>
        <w:rPr>
          <w:rFonts w:ascii="Times New Roman" w:eastAsia="Times New Roman" w:hAnsi="Times New Roman" w:cs="Times New Roman"/>
          <w:sz w:val="22"/>
          <w:szCs w:val="22"/>
        </w:rPr>
        <w:t>achieveth</w:t>
      </w:r>
      <w:proofErr w:type="spellEnd"/>
      <w:r>
        <w:rPr>
          <w:rFonts w:ascii="Times New Roman" w:eastAsia="Times New Roman" w:hAnsi="Times New Roman" w:cs="Times New Roman"/>
          <w:sz w:val="22"/>
          <w:szCs w:val="22"/>
        </w:rPr>
        <w:t xml:space="preserve"> when it is delivered as designed and intended. To include such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in the programme's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would not make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more honest or more conservative. It would make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less interpretable, for the question 'what doth this programme </w:t>
      </w:r>
      <w:proofErr w:type="gramStart"/>
      <w:r>
        <w:rPr>
          <w:rFonts w:ascii="Times New Roman" w:eastAsia="Times New Roman" w:hAnsi="Times New Roman" w:cs="Times New Roman"/>
          <w:sz w:val="22"/>
          <w:szCs w:val="22"/>
        </w:rPr>
        <w:t>achieve</w:t>
      </w:r>
      <w:proofErr w:type="gramEnd"/>
      <w:r>
        <w:rPr>
          <w:rFonts w:ascii="Times New Roman" w:eastAsia="Times New Roman" w:hAnsi="Times New Roman" w:cs="Times New Roman"/>
          <w:sz w:val="22"/>
          <w:szCs w:val="22"/>
        </w:rPr>
        <w:t>' cannot be answered by including in the answer data from places where the programme was not being delivered.</w:t>
      </w:r>
    </w:p>
    <w:p w14:paraId="61ABCC57" w14:textId="77777777" w:rsidR="001C73A7" w:rsidRDefault="001C73A7" w:rsidP="001C73A7">
      <w:pPr>
        <w:spacing w:after="180"/>
        <w:jc w:val="both"/>
      </w:pPr>
      <w:r>
        <w:rPr>
          <w:rFonts w:ascii="Times New Roman" w:eastAsia="Times New Roman" w:hAnsi="Times New Roman" w:cs="Times New Roman"/>
          <w:sz w:val="22"/>
          <w:szCs w:val="22"/>
        </w:rPr>
        <w:t xml:space="preserve">This is the reason for the </w:t>
      </w:r>
      <w:proofErr w:type="spellStart"/>
      <w:r>
        <w:rPr>
          <w:rFonts w:ascii="Times New Roman" w:eastAsia="Times New Roman" w:hAnsi="Times New Roman" w:cs="Times New Roman"/>
          <w:sz w:val="22"/>
          <w:szCs w:val="22"/>
        </w:rPr>
        <w:t>stondards</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and it is a legitimate reason, grounded in the logic of controlled </w:t>
      </w:r>
      <w:proofErr w:type="spellStart"/>
      <w:r>
        <w:rPr>
          <w:rFonts w:ascii="Times New Roman" w:eastAsia="Times New Roman" w:hAnsi="Times New Roman" w:cs="Times New Roman"/>
          <w:sz w:val="22"/>
          <w:szCs w:val="22"/>
        </w:rPr>
        <w:t>evaluacioun</w:t>
      </w:r>
      <w:proofErr w:type="spellEnd"/>
      <w:r>
        <w:rPr>
          <w:rFonts w:ascii="Times New Roman" w:eastAsia="Times New Roman" w:hAnsi="Times New Roman" w:cs="Times New Roman"/>
          <w:sz w:val="22"/>
          <w:szCs w:val="22"/>
        </w:rPr>
        <w:t>. The reader is encouraged to understand and accept it as such.</w:t>
      </w:r>
    </w:p>
    <w:p w14:paraId="16CB0FA2" w14:textId="77777777" w:rsidR="001C73A7" w:rsidRDefault="001C73A7" w:rsidP="001C73A7">
      <w:pPr>
        <w:spacing w:after="180"/>
        <w:jc w:val="both"/>
      </w:pPr>
      <w:r>
        <w:rPr>
          <w:rFonts w:ascii="Times New Roman" w:eastAsia="Times New Roman" w:hAnsi="Times New Roman" w:cs="Times New Roman"/>
          <w:sz w:val="22"/>
          <w:szCs w:val="22"/>
        </w:rPr>
        <w:t xml:space="preserve">Howbeit — and this is the point at which the simplicity of the reason doth give way to its difficulty — the application of these </w:t>
      </w:r>
      <w:proofErr w:type="spellStart"/>
      <w:r>
        <w:rPr>
          <w:rFonts w:ascii="Times New Roman" w:eastAsia="Times New Roman" w:hAnsi="Times New Roman" w:cs="Times New Roman"/>
          <w:sz w:val="22"/>
          <w:szCs w:val="22"/>
        </w:rPr>
        <w:t>stondards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judgement, and judgement is susceptible to error and to bias. The line </w:t>
      </w:r>
      <w:proofErr w:type="spellStart"/>
      <w:r>
        <w:rPr>
          <w:rFonts w:ascii="Times New Roman" w:eastAsia="Times New Roman" w:hAnsi="Times New Roman" w:cs="Times New Roman"/>
          <w:sz w:val="22"/>
          <w:szCs w:val="22"/>
        </w:rPr>
        <w:t>bitwene</w:t>
      </w:r>
      <w:proofErr w:type="spellEnd"/>
      <w:r>
        <w:rPr>
          <w:rFonts w:ascii="Times New Roman" w:eastAsia="Times New Roman" w:hAnsi="Times New Roman" w:cs="Times New Roman"/>
          <w:sz w:val="22"/>
          <w:szCs w:val="22"/>
        </w:rPr>
        <w:t xml:space="preserve">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where the programme was not properly implemented and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where the programme was properly implemented but did not work is not always plain to see. It is, in fact, often quite difficult to see. And the </w:t>
      </w:r>
      <w:proofErr w:type="spellStart"/>
      <w:r>
        <w:rPr>
          <w:rFonts w:ascii="Times New Roman" w:eastAsia="Times New Roman" w:hAnsi="Times New Roman" w:cs="Times New Roman"/>
          <w:sz w:val="22"/>
          <w:szCs w:val="22"/>
        </w:rPr>
        <w:t>temptacioun</w:t>
      </w:r>
      <w:proofErr w:type="spellEnd"/>
      <w:r>
        <w:rPr>
          <w:rFonts w:ascii="Times New Roman" w:eastAsia="Times New Roman" w:hAnsi="Times New Roman" w:cs="Times New Roman"/>
          <w:sz w:val="22"/>
          <w:szCs w:val="22"/>
        </w:rPr>
        <w:t xml:space="preserve"> to apply the criteria of non-</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to those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whose outcomes are poor — to classify poor outcomes as the consequence of insufficient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rather than as evidence that the programme did not in those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produce the expected effect — is a </w:t>
      </w:r>
      <w:proofErr w:type="spellStart"/>
      <w:r>
        <w:rPr>
          <w:rFonts w:ascii="Times New Roman" w:eastAsia="Times New Roman" w:hAnsi="Times New Roman" w:cs="Times New Roman"/>
          <w:sz w:val="22"/>
          <w:szCs w:val="22"/>
        </w:rPr>
        <w:t>temptacioun</w:t>
      </w:r>
      <w:proofErr w:type="spellEnd"/>
      <w:r>
        <w:rPr>
          <w:rFonts w:ascii="Times New Roman" w:eastAsia="Times New Roman" w:hAnsi="Times New Roman" w:cs="Times New Roman"/>
          <w:sz w:val="22"/>
          <w:szCs w:val="22"/>
        </w:rPr>
        <w:t xml:space="preserve"> that any honest analyst must identify and resist. Chapter Eleven doth explicitly acknowledge this </w:t>
      </w:r>
      <w:proofErr w:type="spellStart"/>
      <w:r>
        <w:rPr>
          <w:rFonts w:ascii="Times New Roman" w:eastAsia="Times New Roman" w:hAnsi="Times New Roman" w:cs="Times New Roman"/>
          <w:sz w:val="22"/>
          <w:szCs w:val="22"/>
        </w:rPr>
        <w:t>temptacioun</w:t>
      </w:r>
      <w:proofErr w:type="spellEnd"/>
      <w:r>
        <w:rPr>
          <w:rFonts w:ascii="Times New Roman" w:eastAsia="Times New Roman" w:hAnsi="Times New Roman" w:cs="Times New Roman"/>
          <w:sz w:val="22"/>
          <w:szCs w:val="22"/>
        </w:rPr>
        <w:t>. This reader doth amplify the acknowledgement.</w:t>
      </w:r>
    </w:p>
    <w:p w14:paraId="07236E28" w14:textId="77777777" w:rsidR="001C73A7" w:rsidRDefault="001C73A7" w:rsidP="001C73A7">
      <w:pPr>
        <w:spacing w:before="360" w:after="120"/>
      </w:pPr>
      <w:r>
        <w:rPr>
          <w:rFonts w:ascii="Times New Roman" w:eastAsia="Times New Roman" w:hAnsi="Times New Roman" w:cs="Times New Roman"/>
          <w:b/>
          <w:bCs/>
          <w:sz w:val="26"/>
          <w:szCs w:val="26"/>
        </w:rPr>
        <w:t xml:space="preserve">II. Of the Five </w:t>
      </w:r>
      <w:proofErr w:type="spellStart"/>
      <w:r>
        <w:rPr>
          <w:rFonts w:ascii="Times New Roman" w:eastAsia="Times New Roman" w:hAnsi="Times New Roman" w:cs="Times New Roman"/>
          <w:b/>
          <w:bCs/>
          <w:sz w:val="26"/>
          <w:szCs w:val="26"/>
        </w:rPr>
        <w:t>Condicions</w:t>
      </w:r>
      <w:proofErr w:type="spellEnd"/>
      <w:r>
        <w:rPr>
          <w:rFonts w:ascii="Times New Roman" w:eastAsia="Times New Roman" w:hAnsi="Times New Roman" w:cs="Times New Roman"/>
          <w:b/>
          <w:bCs/>
          <w:sz w:val="26"/>
          <w:szCs w:val="26"/>
        </w:rPr>
        <w:t xml:space="preserve"> of Compliant Implementation</w:t>
      </w:r>
    </w:p>
    <w:p w14:paraId="75459FC3" w14:textId="77777777" w:rsidR="001C73A7" w:rsidRDefault="001C73A7" w:rsidP="001C73A7">
      <w:pPr>
        <w:spacing w:after="180"/>
        <w:jc w:val="both"/>
      </w:pPr>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is considered to have achieved compliant implementation </w:t>
      </w:r>
      <w:proofErr w:type="gramStart"/>
      <w:r>
        <w:rPr>
          <w:rFonts w:ascii="Times New Roman" w:eastAsia="Times New Roman" w:hAnsi="Times New Roman" w:cs="Times New Roman"/>
          <w:sz w:val="22"/>
          <w:szCs w:val="22"/>
        </w:rPr>
        <w:t>in a given</w:t>
      </w:r>
      <w:proofErr w:type="gram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of the programme if and only if it doth meet all five of the following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The word 'all' is not rhetorical.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that </w:t>
      </w:r>
      <w:proofErr w:type="spellStart"/>
      <w:r>
        <w:rPr>
          <w:rFonts w:ascii="Times New Roman" w:eastAsia="Times New Roman" w:hAnsi="Times New Roman" w:cs="Times New Roman"/>
          <w:sz w:val="22"/>
          <w:szCs w:val="22"/>
        </w:rPr>
        <w:t>meeteth</w:t>
      </w:r>
      <w:proofErr w:type="spellEnd"/>
      <w:r>
        <w:rPr>
          <w:rFonts w:ascii="Times New Roman" w:eastAsia="Times New Roman" w:hAnsi="Times New Roman" w:cs="Times New Roman"/>
          <w:sz w:val="22"/>
          <w:szCs w:val="22"/>
        </w:rPr>
        <w:t xml:space="preserve"> four of five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is not compliant. The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are not ranked; no subset of them is sufficient.</w:t>
      </w:r>
    </w:p>
    <w:p w14:paraId="0B0EF4A1" w14:textId="77777777" w:rsidR="001C73A7" w:rsidRDefault="001C73A7" w:rsidP="001C73A7">
      <w:pPr>
        <w:spacing w:after="180"/>
        <w:jc w:val="both"/>
      </w:pPr>
      <w:r>
        <w:rPr>
          <w:rFonts w:ascii="Times New Roman" w:eastAsia="Times New Roman" w:hAnsi="Times New Roman" w:cs="Times New Roman"/>
          <w:sz w:val="22"/>
          <w:szCs w:val="22"/>
        </w:rPr>
        <w:t xml:space="preserve">The first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the MPI coordinator hath completed the </w:t>
      </w:r>
      <w:proofErr w:type="spellStart"/>
      <w:r>
        <w:rPr>
          <w:rFonts w:ascii="Times New Roman" w:eastAsia="Times New Roman" w:hAnsi="Times New Roman" w:cs="Times New Roman"/>
          <w:sz w:val="22"/>
          <w:szCs w:val="22"/>
        </w:rPr>
        <w:t>certificacioun</w:t>
      </w:r>
      <w:proofErr w:type="spellEnd"/>
      <w:r>
        <w:rPr>
          <w:rFonts w:ascii="Times New Roman" w:eastAsia="Times New Roman" w:hAnsi="Times New Roman" w:cs="Times New Roman"/>
          <w:sz w:val="22"/>
          <w:szCs w:val="22"/>
        </w:rPr>
        <w:t xml:space="preserve"> training of Meridian and hath been in post for at least one full </w:t>
      </w:r>
      <w:proofErr w:type="spellStart"/>
      <w:r>
        <w:rPr>
          <w:rFonts w:ascii="Times New Roman" w:eastAsia="Times New Roman" w:hAnsi="Times New Roman" w:cs="Times New Roman"/>
          <w:sz w:val="22"/>
          <w:szCs w:val="22"/>
        </w:rPr>
        <w:t>terme</w:t>
      </w:r>
      <w:proofErr w:type="spellEnd"/>
      <w:r>
        <w:rPr>
          <w:rFonts w:ascii="Times New Roman" w:eastAsia="Times New Roman" w:hAnsi="Times New Roman" w:cs="Times New Roman"/>
          <w:sz w:val="22"/>
          <w:szCs w:val="22"/>
        </w:rPr>
        <w:t xml:space="preserve"> in the relevant academic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w:t>
      </w:r>
    </w:p>
    <w:p w14:paraId="57CB7078" w14:textId="77777777" w:rsidR="001C73A7" w:rsidRDefault="001C73A7" w:rsidP="001C73A7">
      <w:pPr>
        <w:spacing w:after="180"/>
        <w:jc w:val="both"/>
      </w:pPr>
      <w:r>
        <w:rPr>
          <w:rFonts w:ascii="Times New Roman" w:eastAsia="Times New Roman" w:hAnsi="Times New Roman" w:cs="Times New Roman"/>
          <w:sz w:val="22"/>
          <w:szCs w:val="22"/>
        </w:rPr>
        <w:lastRenderedPageBreak/>
        <w:t xml:space="preserve">The second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all three strands of the MPI — curriculum sequencing, formative assessment </w:t>
      </w:r>
      <w:proofErr w:type="spellStart"/>
      <w:r>
        <w:rPr>
          <w:rFonts w:ascii="Times New Roman" w:eastAsia="Times New Roman" w:hAnsi="Times New Roman" w:cs="Times New Roman"/>
          <w:sz w:val="22"/>
          <w:szCs w:val="22"/>
        </w:rPr>
        <w:t>integracioun</w:t>
      </w:r>
      <w:proofErr w:type="spellEnd"/>
      <w:r>
        <w:rPr>
          <w:rFonts w:ascii="Times New Roman" w:eastAsia="Times New Roman" w:hAnsi="Times New Roman" w:cs="Times New Roman"/>
          <w:sz w:val="22"/>
          <w:szCs w:val="22"/>
        </w:rPr>
        <w:t xml:space="preserve">, and professional development for subject leads — have been actively deployed, as evidenced by curriculum </w:t>
      </w:r>
      <w:proofErr w:type="spellStart"/>
      <w:r>
        <w:rPr>
          <w:rFonts w:ascii="Times New Roman" w:eastAsia="Times New Roman" w:hAnsi="Times New Roman" w:cs="Times New Roman"/>
          <w:sz w:val="22"/>
          <w:szCs w:val="22"/>
        </w:rPr>
        <w:t>documentacioun</w:t>
      </w:r>
      <w:proofErr w:type="spellEnd"/>
      <w:r>
        <w:rPr>
          <w:rFonts w:ascii="Times New Roman" w:eastAsia="Times New Roman" w:hAnsi="Times New Roman" w:cs="Times New Roman"/>
          <w:sz w:val="22"/>
          <w:szCs w:val="22"/>
        </w:rPr>
        <w:t>, assessment records, and the findings of the annual audit.</w:t>
      </w:r>
    </w:p>
    <w:p w14:paraId="32A69D56" w14:textId="77777777" w:rsidR="001C73A7" w:rsidRDefault="001C73A7" w:rsidP="001C73A7">
      <w:pPr>
        <w:spacing w:after="180"/>
        <w:jc w:val="both"/>
      </w:pPr>
      <w:r>
        <w:rPr>
          <w:rFonts w:ascii="Times New Roman" w:eastAsia="Times New Roman" w:hAnsi="Times New Roman" w:cs="Times New Roman"/>
          <w:sz w:val="22"/>
          <w:szCs w:val="22"/>
        </w:rPr>
        <w:t xml:space="preserve">The third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the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as determined by the annual audit, is fifty or above.</w:t>
      </w:r>
    </w:p>
    <w:p w14:paraId="3CEEBBBE" w14:textId="77777777" w:rsidR="001C73A7" w:rsidRDefault="001C73A7" w:rsidP="001C73A7">
      <w:pPr>
        <w:spacing w:after="180"/>
        <w:jc w:val="both"/>
      </w:pPr>
      <w:r>
        <w:rPr>
          <w:rFonts w:ascii="Times New Roman" w:eastAsia="Times New Roman" w:hAnsi="Times New Roman" w:cs="Times New Roman"/>
          <w:sz w:val="22"/>
          <w:szCs w:val="22"/>
        </w:rPr>
        <w:t xml:space="preserve">The fourth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the annual submission of data has been completed within the specified window and hath passed the automated </w:t>
      </w:r>
      <w:proofErr w:type="spellStart"/>
      <w:r>
        <w:rPr>
          <w:rFonts w:ascii="Times New Roman" w:eastAsia="Times New Roman" w:hAnsi="Times New Roman" w:cs="Times New Roman"/>
          <w:sz w:val="22"/>
          <w:szCs w:val="22"/>
        </w:rPr>
        <w:t>verificacioun</w:t>
      </w:r>
      <w:proofErr w:type="spellEnd"/>
      <w:r>
        <w:rPr>
          <w:rFonts w:ascii="Times New Roman" w:eastAsia="Times New Roman" w:hAnsi="Times New Roman" w:cs="Times New Roman"/>
          <w:sz w:val="22"/>
          <w:szCs w:val="22"/>
        </w:rPr>
        <w:t xml:space="preserve"> procedures described in Chapter Five.</w:t>
      </w:r>
    </w:p>
    <w:p w14:paraId="2DA53726" w14:textId="77777777" w:rsidR="001C73A7" w:rsidRDefault="001C73A7" w:rsidP="001C73A7">
      <w:pPr>
        <w:spacing w:after="180"/>
        <w:jc w:val="both"/>
      </w:pPr>
      <w:r>
        <w:rPr>
          <w:rFonts w:ascii="Times New Roman" w:eastAsia="Times New Roman" w:hAnsi="Times New Roman" w:cs="Times New Roman"/>
          <w:sz w:val="22"/>
          <w:szCs w:val="22"/>
        </w:rPr>
        <w:t xml:space="preserve">The fifth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no finding of the annual audit hath been issued that doth explicitly identify the implementation as insufficient to generate valid data of outcomes.</w:t>
      </w:r>
    </w:p>
    <w:p w14:paraId="36417F74" w14:textId="77777777" w:rsidR="001C73A7" w:rsidRDefault="001C73A7" w:rsidP="001C73A7">
      <w:pPr>
        <w:spacing w:after="180"/>
        <w:jc w:val="both"/>
      </w:pPr>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meeting all five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is classified as compliant for the relevant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Its data is included in the active programme dataset and contributes to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failing any one of these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is flagged for the process of review described in Section Four of this chapter.</w:t>
      </w:r>
    </w:p>
    <w:p w14:paraId="09C34608" w14:textId="77777777" w:rsidR="001C73A7" w:rsidRDefault="001C73A7" w:rsidP="001C73A7">
      <w:pPr>
        <w:spacing w:before="360" w:after="120"/>
      </w:pPr>
      <w:r>
        <w:rPr>
          <w:rFonts w:ascii="Times New Roman" w:eastAsia="Times New Roman" w:hAnsi="Times New Roman" w:cs="Times New Roman"/>
          <w:b/>
          <w:bCs/>
          <w:sz w:val="26"/>
          <w:szCs w:val="26"/>
        </w:rPr>
        <w:t>III. Of Non-Compliant Implementation, and of the Archive</w:t>
      </w:r>
    </w:p>
    <w:p w14:paraId="23625FEC" w14:textId="77777777" w:rsidR="001C73A7" w:rsidRDefault="001C73A7" w:rsidP="001C73A7">
      <w:pPr>
        <w:spacing w:after="180"/>
        <w:jc w:val="both"/>
      </w:pPr>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is classified as having non-compliant implementation </w:t>
      </w:r>
      <w:proofErr w:type="gramStart"/>
      <w:r>
        <w:rPr>
          <w:rFonts w:ascii="Times New Roman" w:eastAsia="Times New Roman" w:hAnsi="Times New Roman" w:cs="Times New Roman"/>
          <w:sz w:val="22"/>
          <w:szCs w:val="22"/>
        </w:rPr>
        <w:t>in a given</w:t>
      </w:r>
      <w:proofErr w:type="gram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if, following the review process described in Section Four, it is determined that the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of the programme's putting-into-effect was insufficient to generate valid data of outcomes. This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is made by the lead of the Outcomes and Impact </w:t>
      </w:r>
      <w:proofErr w:type="spellStart"/>
      <w:r>
        <w:rPr>
          <w:rFonts w:ascii="Times New Roman" w:eastAsia="Times New Roman" w:hAnsi="Times New Roman" w:cs="Times New Roman"/>
          <w:sz w:val="22"/>
          <w:szCs w:val="22"/>
        </w:rPr>
        <w:t>divisioun</w:t>
      </w:r>
      <w:proofErr w:type="spellEnd"/>
      <w:r>
        <w:rPr>
          <w:rFonts w:ascii="Times New Roman" w:eastAsia="Times New Roman" w:hAnsi="Times New Roman" w:cs="Times New Roman"/>
          <w:sz w:val="22"/>
          <w:szCs w:val="22"/>
        </w:rPr>
        <w:t xml:space="preserve"> of Meridian, with reference to the audit record and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history of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Scores.</w:t>
      </w:r>
    </w:p>
    <w:p w14:paraId="1006B15C" w14:textId="77777777" w:rsidR="001C73A7" w:rsidRDefault="001C73A7" w:rsidP="001C73A7">
      <w:pPr>
        <w:spacing w:after="180"/>
        <w:jc w:val="both"/>
      </w:pPr>
      <w:r>
        <w:rPr>
          <w:rFonts w:ascii="Times New Roman" w:eastAsia="Times New Roman" w:hAnsi="Times New Roman" w:cs="Times New Roman"/>
          <w:sz w:val="22"/>
          <w:szCs w:val="22"/>
        </w:rPr>
        <w:t xml:space="preserve">The consequence of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is precise and should be stated precisely: the data of outcomes for that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in that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is removed from the active dataset of the programme and is placed in the archive of superseded data. The data is not deleted. It is archived. Thos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whiche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lacken</w:t>
      </w:r>
      <w:proofErr w:type="spellEnd"/>
      <w:r>
        <w:rPr>
          <w:rFonts w:ascii="Times New Roman" w:eastAsia="Times New Roman" w:hAnsi="Times New Roman" w:cs="Times New Roman"/>
          <w:sz w:val="22"/>
          <w:szCs w:val="22"/>
        </w:rPr>
        <w:t xml:space="preserve"> sufficient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of practice been removed from the </w:t>
      </w:r>
      <w:proofErr w:type="spellStart"/>
      <w:r>
        <w:rPr>
          <w:rFonts w:ascii="Times New Roman" w:eastAsia="Times New Roman" w:hAnsi="Times New Roman" w:cs="Times New Roman"/>
          <w:sz w:val="22"/>
          <w:szCs w:val="22"/>
        </w:rPr>
        <w:t>accounte</w:t>
      </w:r>
      <w:proofErr w:type="spellEnd"/>
      <w:r>
        <w:rPr>
          <w:rFonts w:ascii="Times New Roman" w:eastAsia="Times New Roman" w:hAnsi="Times New Roman" w:cs="Times New Roman"/>
          <w:sz w:val="22"/>
          <w:szCs w:val="22"/>
        </w:rPr>
        <w:t xml:space="preserve"> of outcomes, and their </w:t>
      </w:r>
      <w:proofErr w:type="spellStart"/>
      <w:r>
        <w:rPr>
          <w:rFonts w:ascii="Times New Roman" w:eastAsia="Times New Roman" w:hAnsi="Times New Roman" w:cs="Times New Roman"/>
          <w:sz w:val="22"/>
          <w:szCs w:val="22"/>
        </w:rPr>
        <w:t>nombres</w:t>
      </w:r>
      <w:proofErr w:type="spellEnd"/>
      <w:r>
        <w:rPr>
          <w:rFonts w:ascii="Times New Roman" w:eastAsia="Times New Roman" w:hAnsi="Times New Roman" w:cs="Times New Roman"/>
          <w:sz w:val="22"/>
          <w:szCs w:val="22"/>
        </w:rPr>
        <w:t xml:space="preserve"> and their data recorded in the archive, that the </w:t>
      </w:r>
      <w:proofErr w:type="spellStart"/>
      <w:r>
        <w:rPr>
          <w:rFonts w:ascii="Times New Roman" w:eastAsia="Times New Roman" w:hAnsi="Times New Roman" w:cs="Times New Roman"/>
          <w:sz w:val="22"/>
          <w:szCs w:val="22"/>
        </w:rPr>
        <w:t>mesure</w:t>
      </w:r>
      <w:proofErr w:type="spellEnd"/>
      <w:r>
        <w:rPr>
          <w:rFonts w:ascii="Times New Roman" w:eastAsia="Times New Roman" w:hAnsi="Times New Roman" w:cs="Times New Roman"/>
          <w:sz w:val="22"/>
          <w:szCs w:val="22"/>
        </w:rPr>
        <w:t xml:space="preserve"> of the programme may reflect only those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under which valid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of impact can be undertaken. The archive is maintained within the internal systems of Meridian. It is not part of the active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and archived data should not be referenced in renewal evidence packs or impact documents without explicit </w:t>
      </w:r>
      <w:proofErr w:type="spellStart"/>
      <w:r>
        <w:rPr>
          <w:rFonts w:ascii="Times New Roman" w:eastAsia="Times New Roman" w:hAnsi="Times New Roman" w:cs="Times New Roman"/>
          <w:sz w:val="22"/>
          <w:szCs w:val="22"/>
        </w:rPr>
        <w:t>authorisacioun</w:t>
      </w:r>
      <w:proofErr w:type="spellEnd"/>
      <w:r>
        <w:rPr>
          <w:rFonts w:ascii="Times New Roman" w:eastAsia="Times New Roman" w:hAnsi="Times New Roman" w:cs="Times New Roman"/>
          <w:sz w:val="22"/>
          <w:szCs w:val="22"/>
        </w:rPr>
        <w:t>.</w:t>
      </w:r>
    </w:p>
    <w:p w14:paraId="6BCEDAFB" w14:textId="77777777" w:rsidR="001C73A7" w:rsidRDefault="001C73A7" w:rsidP="001C73A7">
      <w:pPr>
        <w:spacing w:after="180"/>
        <w:jc w:val="both"/>
      </w:pPr>
      <w:r>
        <w:rPr>
          <w:rFonts w:ascii="Times New Roman" w:eastAsia="Times New Roman" w:hAnsi="Times New Roman" w:cs="Times New Roman"/>
          <w:sz w:val="22"/>
          <w:szCs w:val="22"/>
        </w:rPr>
        <w:t xml:space="preserve">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doth remain a partner of the programme and doth continue to receive Meridian's services. The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of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doth not affect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standing in subsequent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provided that the deficiencies of implementation are identified and remediated.</w:t>
      </w:r>
    </w:p>
    <w:p w14:paraId="79B3B0BD" w14:textId="77777777" w:rsidR="001C73A7" w:rsidRDefault="001C73A7" w:rsidP="001C73A7">
      <w:pPr>
        <w:spacing w:after="180"/>
        <w:jc w:val="both"/>
      </w:pPr>
      <w:r>
        <w:rPr>
          <w:rFonts w:ascii="Times New Roman" w:eastAsia="Times New Roman" w:hAnsi="Times New Roman" w:cs="Times New Roman"/>
          <w:sz w:val="22"/>
          <w:szCs w:val="22"/>
        </w:rPr>
        <w:t xml:space="preserve">The reader should understand with precision what the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of non-</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doth and doth not signify. It doth not signify that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is poorly led, nor that its children performed poorly, nor that the programme hath failed. It </w:t>
      </w:r>
      <w:proofErr w:type="spellStart"/>
      <w:r>
        <w:rPr>
          <w:rFonts w:ascii="Times New Roman" w:eastAsia="Times New Roman" w:hAnsi="Times New Roman" w:cs="Times New Roman"/>
          <w:sz w:val="22"/>
          <w:szCs w:val="22"/>
        </w:rPr>
        <w:t>signifieth</w:t>
      </w:r>
      <w:proofErr w:type="spellEnd"/>
      <w:r>
        <w:rPr>
          <w:rFonts w:ascii="Times New Roman" w:eastAsia="Times New Roman" w:hAnsi="Times New Roman" w:cs="Times New Roman"/>
          <w:sz w:val="22"/>
          <w:szCs w:val="22"/>
        </w:rPr>
        <w:t xml:space="preserve"> that the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for valid </w:t>
      </w:r>
      <w:proofErr w:type="spellStart"/>
      <w:r>
        <w:rPr>
          <w:rFonts w:ascii="Times New Roman" w:eastAsia="Times New Roman" w:hAnsi="Times New Roman" w:cs="Times New Roman"/>
          <w:sz w:val="22"/>
          <w:szCs w:val="22"/>
        </w:rPr>
        <w:t>mesurement</w:t>
      </w:r>
      <w:proofErr w:type="spellEnd"/>
      <w:r>
        <w:rPr>
          <w:rFonts w:ascii="Times New Roman" w:eastAsia="Times New Roman" w:hAnsi="Times New Roman" w:cs="Times New Roman"/>
          <w:sz w:val="22"/>
          <w:szCs w:val="22"/>
        </w:rPr>
        <w:t xml:space="preserve"> of programme impact were not present in that </w:t>
      </w:r>
      <w:proofErr w:type="gramStart"/>
      <w:r>
        <w:rPr>
          <w:rFonts w:ascii="Times New Roman" w:eastAsia="Times New Roman" w:hAnsi="Times New Roman" w:cs="Times New Roman"/>
          <w:sz w:val="22"/>
          <w:szCs w:val="22"/>
        </w:rPr>
        <w:t xml:space="preserve">particular </w:t>
      </w:r>
      <w:proofErr w:type="spellStart"/>
      <w:r>
        <w:rPr>
          <w:rFonts w:ascii="Times New Roman" w:eastAsia="Times New Roman" w:hAnsi="Times New Roman" w:cs="Times New Roman"/>
          <w:sz w:val="22"/>
          <w:szCs w:val="22"/>
        </w:rPr>
        <w:t>yeer</w:t>
      </w:r>
      <w:proofErr w:type="spellEnd"/>
      <w:proofErr w:type="gramEnd"/>
      <w:r>
        <w:rPr>
          <w:rFonts w:ascii="Times New Roman" w:eastAsia="Times New Roman" w:hAnsi="Times New Roman" w:cs="Times New Roman"/>
          <w:sz w:val="22"/>
          <w:szCs w:val="22"/>
        </w:rPr>
        <w:t xml:space="preserve">. The data of outcomes may be strong, middling, or weak — the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is entirely about the implementation, not about the outcomes. The importance of this distinction cannot be overstated.</w:t>
      </w:r>
    </w:p>
    <w:p w14:paraId="7D902FAD" w14:textId="77777777" w:rsidR="001C73A7" w:rsidRDefault="001C73A7" w:rsidP="001C73A7">
      <w:pPr>
        <w:spacing w:before="360" w:after="120"/>
      </w:pPr>
      <w:r>
        <w:rPr>
          <w:rFonts w:ascii="Times New Roman" w:eastAsia="Times New Roman" w:hAnsi="Times New Roman" w:cs="Times New Roman"/>
          <w:b/>
          <w:bCs/>
          <w:sz w:val="26"/>
          <w:szCs w:val="26"/>
        </w:rPr>
        <w:t>IV. Of the Process of Review</w:t>
      </w:r>
    </w:p>
    <w:p w14:paraId="1F820B24" w14:textId="77777777" w:rsidR="001C73A7" w:rsidRDefault="001C73A7" w:rsidP="001C73A7">
      <w:pPr>
        <w:spacing w:after="180"/>
        <w:jc w:val="both"/>
      </w:pPr>
      <w:r>
        <w:rPr>
          <w:rFonts w:ascii="Times New Roman" w:eastAsia="Times New Roman" w:hAnsi="Times New Roman" w:cs="Times New Roman"/>
          <w:sz w:val="22"/>
          <w:szCs w:val="22"/>
        </w:rPr>
        <w:t xml:space="preserve">When a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is flagged as a candidate for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the following process of review is undertaken. In the first stage, the team of Outcomes and Impact doth review the full record of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audit, its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Scores across </w:t>
      </w:r>
      <w:proofErr w:type="spellStart"/>
      <w:r>
        <w:rPr>
          <w:rFonts w:ascii="Times New Roman" w:eastAsia="Times New Roman" w:hAnsi="Times New Roman" w:cs="Times New Roman"/>
          <w:sz w:val="22"/>
          <w:szCs w:val="22"/>
        </w:rPr>
        <w:t>yeres</w:t>
      </w:r>
      <w:proofErr w:type="spellEnd"/>
      <w:r>
        <w:rPr>
          <w:rFonts w:ascii="Times New Roman" w:eastAsia="Times New Roman" w:hAnsi="Times New Roman" w:cs="Times New Roman"/>
          <w:sz w:val="22"/>
          <w:szCs w:val="22"/>
        </w:rPr>
        <w:t xml:space="preserve">, and its history of data submission. If the evidence at this stage clearly and unambiguously supports ether a compliant or a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the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is made at this stage without further proceeding.</w:t>
      </w:r>
    </w:p>
    <w:p w14:paraId="5AF23154" w14:textId="77777777" w:rsidR="001C73A7" w:rsidRDefault="001C73A7" w:rsidP="001C73A7">
      <w:pPr>
        <w:spacing w:after="180"/>
        <w:jc w:val="both"/>
      </w:pPr>
      <w:r>
        <w:rPr>
          <w:rFonts w:ascii="Times New Roman" w:eastAsia="Times New Roman" w:hAnsi="Times New Roman" w:cs="Times New Roman"/>
          <w:sz w:val="22"/>
          <w:szCs w:val="22"/>
        </w:rPr>
        <w:t xml:space="preserve">In the second stage, if the evidence is ambiguous or requires additional context, the account manager of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doth contact the </w:t>
      </w:r>
      <w:proofErr w:type="spellStart"/>
      <w:r>
        <w:rPr>
          <w:rFonts w:ascii="Times New Roman" w:eastAsia="Times New Roman" w:hAnsi="Times New Roman" w:cs="Times New Roman"/>
          <w:sz w:val="22"/>
          <w:szCs w:val="22"/>
        </w:rPr>
        <w:t>scole</w:t>
      </w:r>
      <w:proofErr w:type="spellEnd"/>
      <w:r>
        <w:rPr>
          <w:rFonts w:ascii="Times New Roman" w:eastAsia="Times New Roman" w:hAnsi="Times New Roman" w:cs="Times New Roman"/>
          <w:sz w:val="22"/>
          <w:szCs w:val="22"/>
        </w:rPr>
        <w:t xml:space="preserve"> to obtain further </w:t>
      </w:r>
      <w:proofErr w:type="spellStart"/>
      <w:r>
        <w:rPr>
          <w:rFonts w:ascii="Times New Roman" w:eastAsia="Times New Roman" w:hAnsi="Times New Roman" w:cs="Times New Roman"/>
          <w:sz w:val="22"/>
          <w:szCs w:val="22"/>
        </w:rPr>
        <w:t>informacioun</w:t>
      </w:r>
      <w:proofErr w:type="spellEnd"/>
      <w:r>
        <w:rPr>
          <w:rFonts w:ascii="Times New Roman" w:eastAsia="Times New Roman" w:hAnsi="Times New Roman" w:cs="Times New Roman"/>
          <w:sz w:val="22"/>
          <w:szCs w:val="22"/>
        </w:rPr>
        <w:t xml:space="preserve">, typically by means of a structured conversation with the coordinator. Notes from this conversation are appended to the audit record and inform the subsequent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w:t>
      </w:r>
    </w:p>
    <w:p w14:paraId="185B47C6" w14:textId="77777777" w:rsidR="001C73A7" w:rsidRDefault="001C73A7" w:rsidP="001C73A7">
      <w:pPr>
        <w:spacing w:after="180"/>
        <w:jc w:val="both"/>
      </w:pPr>
      <w:r>
        <w:rPr>
          <w:rFonts w:ascii="Times New Roman" w:eastAsia="Times New Roman" w:hAnsi="Times New Roman" w:cs="Times New Roman"/>
          <w:sz w:val="22"/>
          <w:szCs w:val="22"/>
        </w:rPr>
        <w:lastRenderedPageBreak/>
        <w:t xml:space="preserve">In the third and final stage, the lead of the Outcomes and Impact </w:t>
      </w:r>
      <w:proofErr w:type="spellStart"/>
      <w:r>
        <w:rPr>
          <w:rFonts w:ascii="Times New Roman" w:eastAsia="Times New Roman" w:hAnsi="Times New Roman" w:cs="Times New Roman"/>
          <w:sz w:val="22"/>
          <w:szCs w:val="22"/>
        </w:rPr>
        <w:t>divisioun</w:t>
      </w:r>
      <w:proofErr w:type="spellEnd"/>
      <w:r>
        <w:rPr>
          <w:rFonts w:ascii="Times New Roman" w:eastAsia="Times New Roman" w:hAnsi="Times New Roman" w:cs="Times New Roman"/>
          <w:sz w:val="22"/>
          <w:szCs w:val="22"/>
        </w:rPr>
        <w:t xml:space="preserve"> doth make the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which is documented in the programme's audit log with explicit reference to the specific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in Section Two of this chapter that were or were not met. The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is not undocumented. It is recorded.</w:t>
      </w:r>
    </w:p>
    <w:p w14:paraId="00DD2BC2" w14:textId="77777777" w:rsidR="001C73A7" w:rsidRDefault="001C73A7" w:rsidP="001C73A7">
      <w:pPr>
        <w:spacing w:after="180"/>
        <w:jc w:val="both"/>
      </w:pPr>
      <w:r>
        <w:rPr>
          <w:rFonts w:ascii="Times New Roman" w:eastAsia="Times New Roman" w:hAnsi="Times New Roman" w:cs="Times New Roman"/>
          <w:sz w:val="22"/>
          <w:szCs w:val="22"/>
        </w:rPr>
        <w:t xml:space="preserve">Scoles are not informed of their compliance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as a matter of routine. Where a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results in a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data being excluded from a renewal evidence pack, the account manager may use their judgement about whether and in what </w:t>
      </w:r>
      <w:proofErr w:type="spellStart"/>
      <w:r>
        <w:rPr>
          <w:rFonts w:ascii="Times New Roman" w:eastAsia="Times New Roman" w:hAnsi="Times New Roman" w:cs="Times New Roman"/>
          <w:sz w:val="22"/>
          <w:szCs w:val="22"/>
        </w:rPr>
        <w:t>maner</w:t>
      </w:r>
      <w:proofErr w:type="spellEnd"/>
      <w:r>
        <w:rPr>
          <w:rFonts w:ascii="Times New Roman" w:eastAsia="Times New Roman" w:hAnsi="Times New Roman" w:cs="Times New Roman"/>
          <w:sz w:val="22"/>
          <w:szCs w:val="22"/>
        </w:rPr>
        <w:t xml:space="preserve"> to communicate this to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leadership. The chapter doth not prescribe this </w:t>
      </w:r>
      <w:proofErr w:type="spellStart"/>
      <w:r>
        <w:rPr>
          <w:rFonts w:ascii="Times New Roman" w:eastAsia="Times New Roman" w:hAnsi="Times New Roman" w:cs="Times New Roman"/>
          <w:sz w:val="22"/>
          <w:szCs w:val="22"/>
        </w:rPr>
        <w:t>communicacioun</w:t>
      </w:r>
      <w:proofErr w:type="spellEnd"/>
      <w:r>
        <w:rPr>
          <w:rFonts w:ascii="Times New Roman" w:eastAsia="Times New Roman" w:hAnsi="Times New Roman" w:cs="Times New Roman"/>
          <w:sz w:val="22"/>
          <w:szCs w:val="22"/>
        </w:rPr>
        <w:t xml:space="preserve">, which this reader notes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itself a matter worthy of further reflection.</w:t>
      </w:r>
    </w:p>
    <w:p w14:paraId="3FE46720" w14:textId="77777777" w:rsidR="001C73A7" w:rsidRDefault="001C73A7" w:rsidP="001C73A7">
      <w:pPr>
        <w:spacing w:before="360" w:after="120"/>
      </w:pPr>
      <w:r>
        <w:rPr>
          <w:rFonts w:ascii="Times New Roman" w:eastAsia="Times New Roman" w:hAnsi="Times New Roman" w:cs="Times New Roman"/>
          <w:b/>
          <w:bCs/>
          <w:sz w:val="26"/>
          <w:szCs w:val="26"/>
        </w:rPr>
        <w:t xml:space="preserve">V. Of the Right </w:t>
      </w:r>
      <w:proofErr w:type="spellStart"/>
      <w:r>
        <w:rPr>
          <w:rFonts w:ascii="Times New Roman" w:eastAsia="Times New Roman" w:hAnsi="Times New Roman" w:cs="Times New Roman"/>
          <w:b/>
          <w:bCs/>
          <w:sz w:val="26"/>
          <w:szCs w:val="26"/>
        </w:rPr>
        <w:t>Interpretacioun</w:t>
      </w:r>
      <w:proofErr w:type="spellEnd"/>
      <w:r>
        <w:rPr>
          <w:rFonts w:ascii="Times New Roman" w:eastAsia="Times New Roman" w:hAnsi="Times New Roman" w:cs="Times New Roman"/>
          <w:b/>
          <w:bCs/>
          <w:sz w:val="26"/>
          <w:szCs w:val="26"/>
        </w:rPr>
        <w:t xml:space="preserve"> of These </w:t>
      </w:r>
      <w:proofErr w:type="spellStart"/>
      <w:r>
        <w:rPr>
          <w:rFonts w:ascii="Times New Roman" w:eastAsia="Times New Roman" w:hAnsi="Times New Roman" w:cs="Times New Roman"/>
          <w:b/>
          <w:bCs/>
          <w:sz w:val="26"/>
          <w:szCs w:val="26"/>
        </w:rPr>
        <w:t>Stondards</w:t>
      </w:r>
      <w:proofErr w:type="spellEnd"/>
      <w:r>
        <w:rPr>
          <w:rFonts w:ascii="Times New Roman" w:eastAsia="Times New Roman" w:hAnsi="Times New Roman" w:cs="Times New Roman"/>
          <w:b/>
          <w:bCs/>
          <w:sz w:val="26"/>
          <w:szCs w:val="26"/>
        </w:rPr>
        <w:t>: A Warning</w:t>
      </w:r>
    </w:p>
    <w:p w14:paraId="38551290" w14:textId="77777777" w:rsidR="001C73A7" w:rsidRDefault="001C73A7" w:rsidP="001C73A7">
      <w:pPr>
        <w:spacing w:after="180"/>
        <w:jc w:val="both"/>
      </w:pPr>
      <w:r>
        <w:rPr>
          <w:rFonts w:ascii="Times New Roman" w:eastAsia="Times New Roman" w:hAnsi="Times New Roman" w:cs="Times New Roman"/>
          <w:sz w:val="22"/>
          <w:szCs w:val="22"/>
        </w:rPr>
        <w:t xml:space="preserve">The reader who hath attended carefully to this chapter will have observed that the criteria for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are not purely mechanical. The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doth incorporate the judgement of the auditing consultant. The threshold of 'insufficient to generate valid data of outcomes' in the fifth </w:t>
      </w:r>
      <w:proofErr w:type="spellStart"/>
      <w:r>
        <w:rPr>
          <w:rFonts w:ascii="Times New Roman" w:eastAsia="Times New Roman" w:hAnsi="Times New Roman" w:cs="Times New Roman"/>
          <w:sz w:val="22"/>
          <w:szCs w:val="22"/>
        </w:rPr>
        <w:t>condicioun</w:t>
      </w:r>
      <w:proofErr w:type="spellEnd"/>
      <w:r>
        <w:rPr>
          <w:rFonts w:ascii="Times New Roman" w:eastAsia="Times New Roman" w:hAnsi="Times New Roman" w:cs="Times New Roman"/>
          <w:sz w:val="22"/>
          <w:szCs w:val="22"/>
        </w:rPr>
        <w:t xml:space="preserve"> is not a precisely measured quantity; it is a judgement made by a named individual. The </w:t>
      </w:r>
      <w:proofErr w:type="spellStart"/>
      <w:r>
        <w:rPr>
          <w:rFonts w:ascii="Times New Roman" w:eastAsia="Times New Roman" w:hAnsi="Times New Roman" w:cs="Times New Roman"/>
          <w:sz w:val="22"/>
          <w:szCs w:val="22"/>
        </w:rPr>
        <w:t>determinacioun</w:t>
      </w:r>
      <w:proofErr w:type="spellEnd"/>
      <w:r>
        <w:rPr>
          <w:rFonts w:ascii="Times New Roman" w:eastAsia="Times New Roman" w:hAnsi="Times New Roman" w:cs="Times New Roman"/>
          <w:sz w:val="22"/>
          <w:szCs w:val="22"/>
        </w:rPr>
        <w:t xml:space="preserve"> in the third stage of review is made by a person, not by an algorithm.</w:t>
      </w:r>
    </w:p>
    <w:p w14:paraId="32B5FEBF" w14:textId="77777777" w:rsidR="001C73A7" w:rsidRDefault="001C73A7" w:rsidP="001C73A7">
      <w:pPr>
        <w:spacing w:after="180"/>
        <w:jc w:val="both"/>
      </w:pPr>
      <w:r>
        <w:rPr>
          <w:rFonts w:ascii="Times New Roman" w:eastAsia="Times New Roman" w:hAnsi="Times New Roman" w:cs="Times New Roman"/>
          <w:sz w:val="22"/>
          <w:szCs w:val="22"/>
        </w:rPr>
        <w:t xml:space="preserve">This is acknowledged in the chapter itself, and this reader doth acknowledge it here. Educational </w:t>
      </w:r>
      <w:proofErr w:type="spellStart"/>
      <w:r>
        <w:rPr>
          <w:rFonts w:ascii="Times New Roman" w:eastAsia="Times New Roman" w:hAnsi="Times New Roman" w:cs="Times New Roman"/>
          <w:sz w:val="22"/>
          <w:szCs w:val="22"/>
        </w:rPr>
        <w:t>mesurement</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judgement at every stage, and the goal of these </w:t>
      </w:r>
      <w:proofErr w:type="spellStart"/>
      <w:r>
        <w:rPr>
          <w:rFonts w:ascii="Times New Roman" w:eastAsia="Times New Roman" w:hAnsi="Times New Roman" w:cs="Times New Roman"/>
          <w:sz w:val="22"/>
          <w:szCs w:val="22"/>
        </w:rPr>
        <w:t>stondards</w:t>
      </w:r>
      <w:proofErr w:type="spellEnd"/>
      <w:r>
        <w:rPr>
          <w:rFonts w:ascii="Times New Roman" w:eastAsia="Times New Roman" w:hAnsi="Times New Roman" w:cs="Times New Roman"/>
          <w:sz w:val="22"/>
          <w:szCs w:val="22"/>
        </w:rPr>
        <w:t xml:space="preserve"> is not to eliminate judgement but to ensure that judgements are documented, consistent, and made upon the basis of evidence of implementation and not upon the basis of outcome data alone.</w:t>
      </w:r>
    </w:p>
    <w:p w14:paraId="0AFAB676" w14:textId="77777777" w:rsidR="001C73A7" w:rsidRDefault="001C73A7" w:rsidP="001C73A7">
      <w:pPr>
        <w:spacing w:after="180"/>
        <w:jc w:val="both"/>
      </w:pPr>
      <w:r>
        <w:rPr>
          <w:rFonts w:ascii="Times New Roman" w:eastAsia="Times New Roman" w:hAnsi="Times New Roman" w:cs="Times New Roman"/>
          <w:sz w:val="22"/>
          <w:szCs w:val="22"/>
        </w:rPr>
        <w:t xml:space="preserve">A member of staff who doth believe that a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of non-</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hath been made upon the basis of a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poor outcomes rather than upon genuine evidence of insufficient implementation hath not merely the right but, in this reader's view, the obligation to raise this concern. They should raise it first with the lead of Outcomes and Impact. If no satisfactory response is received, they should raise it with the Academic Director. The handbook is explicit that the policy of data governance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to rest upon implementation evidence, not upon outcomes alone. Silence in the face of a departure from this principle is not a neutral act. It is a form of </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with the departure.</w:t>
      </w:r>
    </w:p>
    <w:p w14:paraId="4F3694DF" w14:textId="77777777" w:rsidR="001C73A7" w:rsidRDefault="001C73A7" w:rsidP="001C73A7">
      <w:pPr>
        <w:spacing w:after="180"/>
        <w:jc w:val="both"/>
      </w:pPr>
      <w:r>
        <w:rPr>
          <w:rFonts w:ascii="Times New Roman" w:eastAsia="Times New Roman" w:hAnsi="Times New Roman" w:cs="Times New Roman"/>
          <w:sz w:val="22"/>
          <w:szCs w:val="22"/>
        </w:rPr>
        <w:t xml:space="preserve">This reader doth not make this observation casually, nor as a theoretical point of procedure. It is the observation of a person who hath thought carefully about what honest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requireth</w:t>
      </w:r>
      <w:proofErr w:type="spellEnd"/>
      <w:r>
        <w:rPr>
          <w:rFonts w:ascii="Times New Roman" w:eastAsia="Times New Roman" w:hAnsi="Times New Roman" w:cs="Times New Roman"/>
          <w:sz w:val="22"/>
          <w:szCs w:val="22"/>
        </w:rPr>
        <w:t xml:space="preserve">, and who considers the distinction </w:t>
      </w:r>
      <w:proofErr w:type="spellStart"/>
      <w:r>
        <w:rPr>
          <w:rFonts w:ascii="Times New Roman" w:eastAsia="Times New Roman" w:hAnsi="Times New Roman" w:cs="Times New Roman"/>
          <w:sz w:val="22"/>
          <w:szCs w:val="22"/>
        </w:rPr>
        <w:t>bitwene</w:t>
      </w:r>
      <w:proofErr w:type="spellEnd"/>
      <w:r>
        <w:rPr>
          <w:rFonts w:ascii="Times New Roman" w:eastAsia="Times New Roman" w:hAnsi="Times New Roman" w:cs="Times New Roman"/>
          <w:sz w:val="22"/>
          <w:szCs w:val="22"/>
        </w:rPr>
        <w:t xml:space="preserve"> a legitimate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standard and a mechanism for selectively arranging evidence to be among the most important distinctions in this work. The reader is urged to hold it with equal care.</w:t>
      </w:r>
    </w:p>
    <w:p w14:paraId="7BFA1E34" w14:textId="77777777" w:rsidR="001C73A7" w:rsidRDefault="001C73A7" w:rsidP="001C73A7">
      <w:pPr>
        <w:pBdr>
          <w:bottom w:val="single" w:sz="4" w:space="1" w:color="999999"/>
        </w:pBdr>
        <w:spacing w:before="280" w:after="280"/>
      </w:pPr>
    </w:p>
    <w:p w14:paraId="3A5EDE36" w14:textId="2778B828" w:rsidR="001C73A7" w:rsidRDefault="001C73A7" w:rsidP="00585A77">
      <w:pPr>
        <w:spacing w:after="180"/>
        <w:jc w:val="both"/>
      </w:pPr>
      <w:r>
        <w:rPr>
          <w:rFonts w:ascii="Times New Roman" w:eastAsia="Times New Roman" w:hAnsi="Times New Roman" w:cs="Times New Roman"/>
          <w:i/>
          <w:iCs/>
          <w:sz w:val="22"/>
          <w:szCs w:val="22"/>
        </w:rPr>
        <w:t xml:space="preserve">End of the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of Chapter XI. This reader hath written at greater length upon this chapter than upon any other, and hath done so deliberately. The other chapters describe how the programme works. This chapter determines what the programme's evidence </w:t>
      </w:r>
      <w:proofErr w:type="gramStart"/>
      <w:r>
        <w:rPr>
          <w:rFonts w:ascii="Times New Roman" w:eastAsia="Times New Roman" w:hAnsi="Times New Roman" w:cs="Times New Roman"/>
          <w:i/>
          <w:iCs/>
          <w:sz w:val="22"/>
          <w:szCs w:val="22"/>
        </w:rPr>
        <w:t>actually means</w:t>
      </w:r>
      <w:proofErr w:type="gramEnd"/>
      <w:r>
        <w:rPr>
          <w:rFonts w:ascii="Times New Roman" w:eastAsia="Times New Roman" w:hAnsi="Times New Roman" w:cs="Times New Roman"/>
          <w:i/>
          <w:iCs/>
          <w:sz w:val="22"/>
          <w:szCs w:val="22"/>
        </w:rPr>
        <w:t xml:space="preserve">. They are not of equal consequence, and this </w:t>
      </w:r>
      <w:proofErr w:type="spellStart"/>
      <w:r>
        <w:rPr>
          <w:rFonts w:ascii="Times New Roman" w:eastAsia="Times New Roman" w:hAnsi="Times New Roman" w:cs="Times New Roman"/>
          <w:i/>
          <w:iCs/>
          <w:sz w:val="22"/>
          <w:szCs w:val="22"/>
        </w:rPr>
        <w:t>summarie</w:t>
      </w:r>
      <w:proofErr w:type="spellEnd"/>
      <w:r>
        <w:rPr>
          <w:rFonts w:ascii="Times New Roman" w:eastAsia="Times New Roman" w:hAnsi="Times New Roman" w:cs="Times New Roman"/>
          <w:i/>
          <w:iCs/>
          <w:sz w:val="22"/>
          <w:szCs w:val="22"/>
        </w:rPr>
        <w:t xml:space="preserve"> doth not treat them as though they were.</w:t>
      </w:r>
    </w:p>
    <w:p w14:paraId="5D3DB16B" w14:textId="77777777" w:rsidR="001C73A7" w:rsidRDefault="001C73A7">
      <w:pPr>
        <w:spacing w:after="160" w:line="278" w:lineRule="auto"/>
      </w:pPr>
      <w:r>
        <w:br w:type="page"/>
      </w:r>
    </w:p>
    <w:p w14:paraId="2B820EEF" w14:textId="77777777" w:rsidR="005B5032" w:rsidRDefault="005B5032" w:rsidP="005B5032">
      <w:pPr>
        <w:spacing w:after="200"/>
        <w:jc w:val="center"/>
      </w:pPr>
      <w:r>
        <w:rPr>
          <w:rFonts w:ascii="Times New Roman" w:eastAsia="Times New Roman" w:hAnsi="Times New Roman" w:cs="Times New Roman"/>
          <w:b/>
          <w:bCs/>
          <w:sz w:val="34"/>
          <w:szCs w:val="34"/>
        </w:rPr>
        <w:lastRenderedPageBreak/>
        <w:t xml:space="preserve">Notes Upon the </w:t>
      </w:r>
      <w:proofErr w:type="spellStart"/>
      <w:r>
        <w:rPr>
          <w:rFonts w:ascii="Times New Roman" w:eastAsia="Times New Roman" w:hAnsi="Times New Roman" w:cs="Times New Roman"/>
          <w:b/>
          <w:bCs/>
          <w:sz w:val="34"/>
          <w:szCs w:val="34"/>
        </w:rPr>
        <w:t>Readinge</w:t>
      </w:r>
      <w:proofErr w:type="spellEnd"/>
    </w:p>
    <w:p w14:paraId="3783BB32" w14:textId="77777777" w:rsidR="005B5032" w:rsidRDefault="005B5032" w:rsidP="005B5032">
      <w:pPr>
        <w:spacing w:after="160"/>
        <w:jc w:val="center"/>
      </w:pPr>
      <w:r>
        <w:rPr>
          <w:rFonts w:ascii="Times New Roman" w:eastAsia="Times New Roman" w:hAnsi="Times New Roman" w:cs="Times New Roman"/>
          <w:i/>
          <w:iCs/>
          <w:sz w:val="22"/>
          <w:szCs w:val="22"/>
        </w:rPr>
        <w:t xml:space="preserve">For the Guidance of Those Commencing </w:t>
      </w:r>
      <w:proofErr w:type="spellStart"/>
      <w:r>
        <w:rPr>
          <w:rFonts w:ascii="Times New Roman" w:eastAsia="Times New Roman" w:hAnsi="Times New Roman" w:cs="Times New Roman"/>
          <w:i/>
          <w:iCs/>
          <w:sz w:val="22"/>
          <w:szCs w:val="22"/>
        </w:rPr>
        <w:t>Induccioun</w:t>
      </w:r>
      <w:proofErr w:type="spellEnd"/>
      <w:r>
        <w:rPr>
          <w:rFonts w:ascii="Times New Roman" w:eastAsia="Times New Roman" w:hAnsi="Times New Roman" w:cs="Times New Roman"/>
          <w:i/>
          <w:iCs/>
          <w:sz w:val="22"/>
          <w:szCs w:val="22"/>
        </w:rPr>
        <w:t xml:space="preserve"> at Meridian Education Group</w:t>
      </w:r>
    </w:p>
    <w:p w14:paraId="53B134DF" w14:textId="77777777" w:rsidR="005B5032" w:rsidRDefault="005B5032" w:rsidP="005B5032">
      <w:pPr>
        <w:spacing w:after="560"/>
        <w:jc w:val="center"/>
      </w:pPr>
      <w:r>
        <w:rPr>
          <w:rFonts w:ascii="Times New Roman" w:eastAsia="Times New Roman" w:hAnsi="Times New Roman" w:cs="Times New Roman"/>
          <w:sz w:val="22"/>
          <w:szCs w:val="22"/>
        </w:rPr>
        <w:t xml:space="preserve">P.A. Hart, </w:t>
      </w:r>
      <w:proofErr w:type="spellStart"/>
      <w:r>
        <w:rPr>
          <w:rFonts w:ascii="Times New Roman" w:eastAsia="Times New Roman" w:hAnsi="Times New Roman" w:cs="Times New Roman"/>
          <w:sz w:val="22"/>
          <w:szCs w:val="22"/>
        </w:rPr>
        <w:t>Doctour</w:t>
      </w:r>
      <w:proofErr w:type="spellEnd"/>
      <w:r>
        <w:rPr>
          <w:rFonts w:ascii="Times New Roman" w:eastAsia="Times New Roman" w:hAnsi="Times New Roman" w:cs="Times New Roman"/>
          <w:sz w:val="22"/>
          <w:szCs w:val="22"/>
        </w:rPr>
        <w:t xml:space="preserve"> of Philosophie — Personal Notes — 2021</w:t>
      </w:r>
    </w:p>
    <w:p w14:paraId="50462255" w14:textId="77777777" w:rsidR="005B5032" w:rsidRDefault="005B5032" w:rsidP="005B5032">
      <w:pPr>
        <w:pBdr>
          <w:bottom w:val="single" w:sz="4" w:space="1" w:color="999999"/>
        </w:pBdr>
        <w:spacing w:before="280" w:after="280"/>
      </w:pPr>
    </w:p>
    <w:p w14:paraId="2D9FF01F" w14:textId="77777777" w:rsidR="005B5032" w:rsidRDefault="005B5032" w:rsidP="005B5032">
      <w:pPr>
        <w:spacing w:after="180"/>
        <w:jc w:val="both"/>
      </w:pPr>
      <w:r>
        <w:rPr>
          <w:rFonts w:ascii="Times New Roman" w:eastAsia="Times New Roman" w:hAnsi="Times New Roman" w:cs="Times New Roman"/>
          <w:i/>
          <w:iCs/>
          <w:sz w:val="22"/>
          <w:szCs w:val="22"/>
        </w:rPr>
        <w:t xml:space="preserve">These notes are </w:t>
      </w:r>
      <w:proofErr w:type="spellStart"/>
      <w:r>
        <w:rPr>
          <w:rFonts w:ascii="Times New Roman" w:eastAsia="Times New Roman" w:hAnsi="Times New Roman" w:cs="Times New Roman"/>
          <w:i/>
          <w:iCs/>
          <w:sz w:val="22"/>
          <w:szCs w:val="22"/>
        </w:rPr>
        <w:t>writen</w:t>
      </w:r>
      <w:proofErr w:type="spellEnd"/>
      <w:r>
        <w:rPr>
          <w:rFonts w:ascii="Times New Roman" w:eastAsia="Times New Roman" w:hAnsi="Times New Roman" w:cs="Times New Roman"/>
          <w:i/>
          <w:iCs/>
          <w:sz w:val="22"/>
          <w:szCs w:val="22"/>
        </w:rPr>
        <w:t xml:space="preserve"> for this reader's </w:t>
      </w:r>
      <w:proofErr w:type="spellStart"/>
      <w:r>
        <w:rPr>
          <w:rFonts w:ascii="Times New Roman" w:eastAsia="Times New Roman" w:hAnsi="Times New Roman" w:cs="Times New Roman"/>
          <w:i/>
          <w:iCs/>
          <w:sz w:val="22"/>
          <w:szCs w:val="22"/>
        </w:rPr>
        <w:t>owene</w:t>
      </w:r>
      <w:proofErr w:type="spellEnd"/>
      <w:r>
        <w:rPr>
          <w:rFonts w:ascii="Times New Roman" w:eastAsia="Times New Roman" w:hAnsi="Times New Roman" w:cs="Times New Roman"/>
          <w:i/>
          <w:iCs/>
          <w:sz w:val="22"/>
          <w:szCs w:val="22"/>
        </w:rPr>
        <w:t xml:space="preserve"> use and for the use of those whom this reader doth teach </w:t>
      </w:r>
      <w:proofErr w:type="gramStart"/>
      <w:r>
        <w:rPr>
          <w:rFonts w:ascii="Times New Roman" w:eastAsia="Times New Roman" w:hAnsi="Times New Roman" w:cs="Times New Roman"/>
          <w:i/>
          <w:iCs/>
          <w:sz w:val="22"/>
          <w:szCs w:val="22"/>
        </w:rPr>
        <w:t>in the course of</w:t>
      </w:r>
      <w:proofErr w:type="gramEnd"/>
      <w:r>
        <w:rPr>
          <w:rFonts w:ascii="Times New Roman" w:eastAsia="Times New Roman" w:hAnsi="Times New Roman" w:cs="Times New Roman"/>
          <w:i/>
          <w:iCs/>
          <w:sz w:val="22"/>
          <w:szCs w:val="22"/>
        </w:rPr>
        <w:t xml:space="preserve"> </w:t>
      </w:r>
      <w:proofErr w:type="spellStart"/>
      <w:r>
        <w:rPr>
          <w:rFonts w:ascii="Times New Roman" w:eastAsia="Times New Roman" w:hAnsi="Times New Roman" w:cs="Times New Roman"/>
          <w:i/>
          <w:iCs/>
          <w:sz w:val="22"/>
          <w:szCs w:val="22"/>
        </w:rPr>
        <w:t>induccioun</w:t>
      </w:r>
      <w:proofErr w:type="spellEnd"/>
      <w:r>
        <w:rPr>
          <w:rFonts w:ascii="Times New Roman" w:eastAsia="Times New Roman" w:hAnsi="Times New Roman" w:cs="Times New Roman"/>
          <w:i/>
          <w:iCs/>
          <w:sz w:val="22"/>
          <w:szCs w:val="22"/>
        </w:rPr>
        <w:t xml:space="preserve">. They are not a substitution for the handbook itself, which must be read in full. They are a guide to the reading: what to attend to, what to hold in the mind when encountering certain passages, and what doth connect the various parts of the work into a coherent whole. The reader who </w:t>
      </w:r>
      <w:proofErr w:type="spellStart"/>
      <w:r>
        <w:rPr>
          <w:rFonts w:ascii="Times New Roman" w:eastAsia="Times New Roman" w:hAnsi="Times New Roman" w:cs="Times New Roman"/>
          <w:i/>
          <w:iCs/>
          <w:sz w:val="22"/>
          <w:szCs w:val="22"/>
        </w:rPr>
        <w:t>useth</w:t>
      </w:r>
      <w:proofErr w:type="spellEnd"/>
      <w:r>
        <w:rPr>
          <w:rFonts w:ascii="Times New Roman" w:eastAsia="Times New Roman" w:hAnsi="Times New Roman" w:cs="Times New Roman"/>
          <w:i/>
          <w:iCs/>
          <w:sz w:val="22"/>
          <w:szCs w:val="22"/>
        </w:rPr>
        <w:t xml:space="preserve"> these notes as a shortcut rather than as a companion to the primary text will find them of little value and will have </w:t>
      </w:r>
      <w:proofErr w:type="gramStart"/>
      <w:r>
        <w:rPr>
          <w:rFonts w:ascii="Times New Roman" w:eastAsia="Times New Roman" w:hAnsi="Times New Roman" w:cs="Times New Roman"/>
          <w:i/>
          <w:iCs/>
          <w:sz w:val="22"/>
          <w:szCs w:val="22"/>
        </w:rPr>
        <w:t>no one but</w:t>
      </w:r>
      <w:proofErr w:type="gramEnd"/>
      <w:r>
        <w:rPr>
          <w:rFonts w:ascii="Times New Roman" w:eastAsia="Times New Roman" w:hAnsi="Times New Roman" w:cs="Times New Roman"/>
          <w:i/>
          <w:iCs/>
          <w:sz w:val="22"/>
          <w:szCs w:val="22"/>
        </w:rPr>
        <w:t xml:space="preserve"> themselves to blame for the consequent gaps in their understanding.</w:t>
      </w:r>
    </w:p>
    <w:p w14:paraId="6BCB958C" w14:textId="77777777" w:rsidR="005B5032" w:rsidRDefault="005B5032" w:rsidP="005B5032">
      <w:pPr>
        <w:spacing w:after="100"/>
      </w:pPr>
    </w:p>
    <w:p w14:paraId="7C351637" w14:textId="77777777" w:rsidR="005B5032" w:rsidRDefault="005B5032" w:rsidP="005B5032">
      <w:pPr>
        <w:spacing w:before="360" w:after="120"/>
      </w:pPr>
      <w:r>
        <w:rPr>
          <w:rFonts w:ascii="Times New Roman" w:eastAsia="Times New Roman" w:hAnsi="Times New Roman" w:cs="Times New Roman"/>
          <w:b/>
          <w:bCs/>
          <w:sz w:val="26"/>
          <w:szCs w:val="26"/>
        </w:rPr>
        <w:t>I. Of the Maner of Approaching These Readings</w:t>
      </w:r>
    </w:p>
    <w:p w14:paraId="1BA22DA6" w14:textId="77777777" w:rsidR="005B5032" w:rsidRDefault="005B5032" w:rsidP="005B5032">
      <w:pPr>
        <w:spacing w:after="180"/>
        <w:jc w:val="both"/>
      </w:pPr>
      <w:r>
        <w:rPr>
          <w:rFonts w:ascii="Times New Roman" w:eastAsia="Times New Roman" w:hAnsi="Times New Roman" w:cs="Times New Roman"/>
          <w:sz w:val="22"/>
          <w:szCs w:val="22"/>
        </w:rPr>
        <w:t xml:space="preserve">The reader who doth approach these chapters with the intent of merely passing through them will receive from them only so much understanding as a stone </w:t>
      </w:r>
      <w:proofErr w:type="spellStart"/>
      <w:r>
        <w:rPr>
          <w:rFonts w:ascii="Times New Roman" w:eastAsia="Times New Roman" w:hAnsi="Times New Roman" w:cs="Times New Roman"/>
          <w:sz w:val="22"/>
          <w:szCs w:val="22"/>
        </w:rPr>
        <w:t>receiveth</w:t>
      </w:r>
      <w:proofErr w:type="spellEnd"/>
      <w:r>
        <w:rPr>
          <w:rFonts w:ascii="Times New Roman" w:eastAsia="Times New Roman" w:hAnsi="Times New Roman" w:cs="Times New Roman"/>
          <w:sz w:val="22"/>
          <w:szCs w:val="22"/>
        </w:rPr>
        <w:t xml:space="preserve"> from rain — which is to say, the surface is wetted but no impression is made beneath it. The chapters of the MPI Technical Handbook are not difficult in the sense of requiring unusual prior learning or rare intellectual capacity. They are difficult in the sense that their full meaning </w:t>
      </w:r>
      <w:proofErr w:type="spellStart"/>
      <w:r>
        <w:rPr>
          <w:rFonts w:ascii="Times New Roman" w:eastAsia="Times New Roman" w:hAnsi="Times New Roman" w:cs="Times New Roman"/>
          <w:sz w:val="22"/>
          <w:szCs w:val="22"/>
        </w:rPr>
        <w:t>dependeth</w:t>
      </w:r>
      <w:proofErr w:type="spellEnd"/>
      <w:r>
        <w:rPr>
          <w:rFonts w:ascii="Times New Roman" w:eastAsia="Times New Roman" w:hAnsi="Times New Roman" w:cs="Times New Roman"/>
          <w:sz w:val="22"/>
          <w:szCs w:val="22"/>
        </w:rPr>
        <w:t xml:space="preserve"> upon the reader's willingness to attend carefully to what is written, including and especially to what is written in the footnotes and in the sections that appear to concern mere administrative procedure.</w:t>
      </w:r>
    </w:p>
    <w:p w14:paraId="37BE01E9" w14:textId="77777777" w:rsidR="005B5032" w:rsidRDefault="005B5032" w:rsidP="005B5032">
      <w:pPr>
        <w:spacing w:after="180"/>
        <w:jc w:val="both"/>
      </w:pPr>
      <w:r>
        <w:rPr>
          <w:rFonts w:ascii="Times New Roman" w:eastAsia="Times New Roman" w:hAnsi="Times New Roman" w:cs="Times New Roman"/>
          <w:sz w:val="22"/>
          <w:szCs w:val="22"/>
        </w:rPr>
        <w:t xml:space="preserve">This reader hath observed, over four cycles of the </w:t>
      </w:r>
      <w:proofErr w:type="spellStart"/>
      <w:r>
        <w:rPr>
          <w:rFonts w:ascii="Times New Roman" w:eastAsia="Times New Roman" w:hAnsi="Times New Roman" w:cs="Times New Roman"/>
          <w:sz w:val="22"/>
          <w:szCs w:val="22"/>
        </w:rPr>
        <w:t>induccioun</w:t>
      </w:r>
      <w:proofErr w:type="spellEnd"/>
      <w:r>
        <w:rPr>
          <w:rFonts w:ascii="Times New Roman" w:eastAsia="Times New Roman" w:hAnsi="Times New Roman" w:cs="Times New Roman"/>
          <w:sz w:val="22"/>
          <w:szCs w:val="22"/>
        </w:rPr>
        <w:t xml:space="preserve"> programme at Meridian, that the common failings in approaching these chapters are as </w:t>
      </w:r>
      <w:proofErr w:type="spellStart"/>
      <w:r>
        <w:rPr>
          <w:rFonts w:ascii="Times New Roman" w:eastAsia="Times New Roman" w:hAnsi="Times New Roman" w:cs="Times New Roman"/>
          <w:sz w:val="22"/>
          <w:szCs w:val="22"/>
        </w:rPr>
        <w:t>followeth</w:t>
      </w:r>
      <w:proofErr w:type="spellEnd"/>
      <w:r>
        <w:rPr>
          <w:rFonts w:ascii="Times New Roman" w:eastAsia="Times New Roman" w:hAnsi="Times New Roman" w:cs="Times New Roman"/>
          <w:sz w:val="22"/>
          <w:szCs w:val="22"/>
        </w:rPr>
        <w:t xml:space="preserve">. The first failing is the tendency to read only those sections most immediately relevant to the task at hand, and to neglect those that appear administrative, procedural, or removed from the daily work. The second failing is the tendency to accept the figures given without enquiry into how those figures were produced and which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inclusion governed the dataset from which they were drawn. The third failing — and it is the most consequential, and the most consistently exhibited — is the tendency to leave Chapter Eleven until last, or in some cases not to reach it at all.</w:t>
      </w:r>
    </w:p>
    <w:p w14:paraId="0F5C21DD" w14:textId="77777777" w:rsidR="005B5032" w:rsidRDefault="005B5032" w:rsidP="005B5032">
      <w:pPr>
        <w:spacing w:after="180"/>
        <w:jc w:val="both"/>
      </w:pPr>
      <w:r>
        <w:rPr>
          <w:rFonts w:ascii="Times New Roman" w:eastAsia="Times New Roman" w:hAnsi="Times New Roman" w:cs="Times New Roman"/>
          <w:sz w:val="22"/>
          <w:szCs w:val="22"/>
        </w:rPr>
        <w:t>These failings are not trivial. They are the source of most of the significant errors this reader hath observed in the work of junior staff across four years of this programme.</w:t>
      </w:r>
    </w:p>
    <w:p w14:paraId="5C8BC312" w14:textId="77777777" w:rsidR="005B5032" w:rsidRDefault="005B5032" w:rsidP="005B5032">
      <w:pPr>
        <w:spacing w:before="360" w:after="120"/>
      </w:pPr>
      <w:r>
        <w:rPr>
          <w:rFonts w:ascii="Times New Roman" w:eastAsia="Times New Roman" w:hAnsi="Times New Roman" w:cs="Times New Roman"/>
          <w:b/>
          <w:bCs/>
          <w:sz w:val="26"/>
          <w:szCs w:val="26"/>
        </w:rPr>
        <w:t xml:space="preserve">II. Notes Upon Chapter Three: The </w:t>
      </w:r>
      <w:proofErr w:type="spellStart"/>
      <w:r>
        <w:rPr>
          <w:rFonts w:ascii="Times New Roman" w:eastAsia="Times New Roman" w:hAnsi="Times New Roman" w:cs="Times New Roman"/>
          <w:b/>
          <w:bCs/>
          <w:sz w:val="26"/>
          <w:szCs w:val="26"/>
        </w:rPr>
        <w:t>Rekening</w:t>
      </w:r>
      <w:proofErr w:type="spellEnd"/>
      <w:r>
        <w:rPr>
          <w:rFonts w:ascii="Times New Roman" w:eastAsia="Times New Roman" w:hAnsi="Times New Roman" w:cs="Times New Roman"/>
          <w:b/>
          <w:bCs/>
          <w:sz w:val="26"/>
          <w:szCs w:val="26"/>
        </w:rPr>
        <w:t xml:space="preserve"> of Impact</w:t>
      </w:r>
    </w:p>
    <w:p w14:paraId="78C774AF" w14:textId="77777777" w:rsidR="005B5032" w:rsidRDefault="005B5032" w:rsidP="005B5032">
      <w:pPr>
        <w:spacing w:after="180"/>
        <w:jc w:val="both"/>
      </w:pPr>
      <w:r>
        <w:rPr>
          <w:rFonts w:ascii="Times New Roman" w:eastAsia="Times New Roman" w:hAnsi="Times New Roman" w:cs="Times New Roman"/>
          <w:sz w:val="22"/>
          <w:szCs w:val="22"/>
        </w:rPr>
        <w:t xml:space="preserve">Chapter Three doth contain the foundational mechanism by which all impact figures are produced. The reader should attend particularly to the passage concerning the annual variation in the </w:t>
      </w:r>
      <w:proofErr w:type="spellStart"/>
      <w:r>
        <w:rPr>
          <w:rFonts w:ascii="Times New Roman" w:eastAsia="Times New Roman" w:hAnsi="Times New Roman" w:cs="Times New Roman"/>
          <w:sz w:val="22"/>
          <w:szCs w:val="22"/>
        </w:rPr>
        <w:t>nombre</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contributing to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This </w:t>
      </w:r>
      <w:proofErr w:type="spellStart"/>
      <w:r>
        <w:rPr>
          <w:rFonts w:ascii="Times New Roman" w:eastAsia="Times New Roman" w:hAnsi="Times New Roman" w:cs="Times New Roman"/>
          <w:sz w:val="22"/>
          <w:szCs w:val="22"/>
        </w:rPr>
        <w:t>nombre</w:t>
      </w:r>
      <w:proofErr w:type="spellEnd"/>
      <w:r>
        <w:rPr>
          <w:rFonts w:ascii="Times New Roman" w:eastAsia="Times New Roman" w:hAnsi="Times New Roman" w:cs="Times New Roman"/>
          <w:sz w:val="22"/>
          <w:szCs w:val="22"/>
        </w:rPr>
        <w:t xml:space="preserve"> is not fixed. It </w:t>
      </w:r>
      <w:proofErr w:type="spellStart"/>
      <w:r>
        <w:rPr>
          <w:rFonts w:ascii="Times New Roman" w:eastAsia="Times New Roman" w:hAnsi="Times New Roman" w:cs="Times New Roman"/>
          <w:sz w:val="22"/>
          <w:szCs w:val="22"/>
        </w:rPr>
        <w:t>varieth</w:t>
      </w:r>
      <w:proofErr w:type="spellEnd"/>
      <w:r>
        <w:rPr>
          <w:rFonts w:ascii="Times New Roman" w:eastAsia="Times New Roman" w:hAnsi="Times New Roman" w:cs="Times New Roman"/>
          <w:sz w:val="22"/>
          <w:szCs w:val="22"/>
        </w:rPr>
        <w:t xml:space="preserve"> from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to </w:t>
      </w:r>
      <w:proofErr w:type="spellStart"/>
      <w:r>
        <w:rPr>
          <w:rFonts w:ascii="Times New Roman" w:eastAsia="Times New Roman" w:hAnsi="Times New Roman" w:cs="Times New Roman"/>
          <w:sz w:val="22"/>
          <w:szCs w:val="22"/>
        </w:rPr>
        <w:t>yeer</w:t>
      </w:r>
      <w:proofErr w:type="spellEnd"/>
      <w:r>
        <w:rPr>
          <w:rFonts w:ascii="Times New Roman" w:eastAsia="Times New Roman" w:hAnsi="Times New Roman" w:cs="Times New Roman"/>
          <w:sz w:val="22"/>
          <w:szCs w:val="22"/>
        </w:rPr>
        <w:t xml:space="preserve"> as the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are assessed anew in each audit cycle. The reader who doth encounter this observation and </w:t>
      </w:r>
      <w:proofErr w:type="spellStart"/>
      <w:r>
        <w:rPr>
          <w:rFonts w:ascii="Times New Roman" w:eastAsia="Times New Roman" w:hAnsi="Times New Roman" w:cs="Times New Roman"/>
          <w:sz w:val="22"/>
          <w:szCs w:val="22"/>
        </w:rPr>
        <w:t>setteth</w:t>
      </w:r>
      <w:proofErr w:type="spellEnd"/>
      <w:r>
        <w:rPr>
          <w:rFonts w:ascii="Times New Roman" w:eastAsia="Times New Roman" w:hAnsi="Times New Roman" w:cs="Times New Roman"/>
          <w:sz w:val="22"/>
          <w:szCs w:val="22"/>
        </w:rPr>
        <w:t xml:space="preserve"> it aside as a small administrative matter hath misunderstood the nature of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in a manner that is not small at all.</w:t>
      </w:r>
    </w:p>
    <w:p w14:paraId="16D4540A" w14:textId="77777777" w:rsidR="005B5032" w:rsidRDefault="005B5032" w:rsidP="005B5032">
      <w:pPr>
        <w:spacing w:after="180"/>
        <w:jc w:val="both"/>
      </w:pPr>
      <w:r>
        <w:rPr>
          <w:rFonts w:ascii="Times New Roman" w:eastAsia="Times New Roman" w:hAnsi="Times New Roman" w:cs="Times New Roman"/>
          <w:sz w:val="22"/>
          <w:szCs w:val="22"/>
        </w:rPr>
        <w:t xml:space="preserve">The effect size of zero point six one is a real finding. This reader doth not dispute it, and hath never disputed it. But it is a real finding about a specific set of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under specific </w:t>
      </w:r>
      <w:proofErr w:type="spellStart"/>
      <w:r>
        <w:rPr>
          <w:rFonts w:ascii="Times New Roman" w:eastAsia="Times New Roman" w:hAnsi="Times New Roman" w:cs="Times New Roman"/>
          <w:sz w:val="22"/>
          <w:szCs w:val="22"/>
        </w:rPr>
        <w:t>condicions</w:t>
      </w:r>
      <w:proofErr w:type="spellEnd"/>
      <w:r>
        <w:rPr>
          <w:rFonts w:ascii="Times New Roman" w:eastAsia="Times New Roman" w:hAnsi="Times New Roman" w:cs="Times New Roman"/>
          <w:sz w:val="22"/>
          <w:szCs w:val="22"/>
        </w:rPr>
        <w:t xml:space="preserve"> of implementation, and the reader who </w:t>
      </w:r>
      <w:proofErr w:type="spellStart"/>
      <w:r>
        <w:rPr>
          <w:rFonts w:ascii="Times New Roman" w:eastAsia="Times New Roman" w:hAnsi="Times New Roman" w:cs="Times New Roman"/>
          <w:sz w:val="22"/>
          <w:szCs w:val="22"/>
        </w:rPr>
        <w:t>citeth</w:t>
      </w:r>
      <w:proofErr w:type="spellEnd"/>
      <w:r>
        <w:rPr>
          <w:rFonts w:ascii="Times New Roman" w:eastAsia="Times New Roman" w:hAnsi="Times New Roman" w:cs="Times New Roman"/>
          <w:sz w:val="22"/>
          <w:szCs w:val="22"/>
        </w:rPr>
        <w:t xml:space="preserve"> it in a client document without understanding the </w:t>
      </w:r>
      <w:proofErr w:type="spellStart"/>
      <w:r>
        <w:rPr>
          <w:rFonts w:ascii="Times New Roman" w:eastAsia="Times New Roman" w:hAnsi="Times New Roman" w:cs="Times New Roman"/>
          <w:sz w:val="22"/>
          <w:szCs w:val="22"/>
        </w:rPr>
        <w:t>composicioun</w:t>
      </w:r>
      <w:proofErr w:type="spellEnd"/>
      <w:r>
        <w:rPr>
          <w:rFonts w:ascii="Times New Roman" w:eastAsia="Times New Roman" w:hAnsi="Times New Roman" w:cs="Times New Roman"/>
          <w:sz w:val="22"/>
          <w:szCs w:val="22"/>
        </w:rPr>
        <w:t xml:space="preserve"> of that set — and how the </w:t>
      </w:r>
      <w:proofErr w:type="spellStart"/>
      <w:r>
        <w:rPr>
          <w:rFonts w:ascii="Times New Roman" w:eastAsia="Times New Roman" w:hAnsi="Times New Roman" w:cs="Times New Roman"/>
          <w:sz w:val="22"/>
          <w:szCs w:val="22"/>
        </w:rPr>
        <w:t>composicioun</w:t>
      </w:r>
      <w:proofErr w:type="spellEnd"/>
      <w:r>
        <w:rPr>
          <w:rFonts w:ascii="Times New Roman" w:eastAsia="Times New Roman" w:hAnsi="Times New Roman" w:cs="Times New Roman"/>
          <w:sz w:val="22"/>
          <w:szCs w:val="22"/>
        </w:rPr>
        <w:t xml:space="preserve"> is determined — is citing something they do not fully understand. The consequence of this, in this reader's view, is not merely intellectual imprecision. It is a form of </w:t>
      </w:r>
      <w:proofErr w:type="spellStart"/>
      <w:r>
        <w:rPr>
          <w:rFonts w:ascii="Times New Roman" w:eastAsia="Times New Roman" w:hAnsi="Times New Roman" w:cs="Times New Roman"/>
          <w:sz w:val="22"/>
          <w:szCs w:val="22"/>
        </w:rPr>
        <w:t>misrepresentacioun</w:t>
      </w:r>
      <w:proofErr w:type="spellEnd"/>
      <w:r>
        <w:rPr>
          <w:rFonts w:ascii="Times New Roman" w:eastAsia="Times New Roman" w:hAnsi="Times New Roman" w:cs="Times New Roman"/>
          <w:sz w:val="22"/>
          <w:szCs w:val="22"/>
        </w:rPr>
        <w:t>, however inadvertent.</w:t>
      </w:r>
    </w:p>
    <w:p w14:paraId="6AA8BDDA" w14:textId="77777777" w:rsidR="005B5032" w:rsidRDefault="005B5032" w:rsidP="005B5032">
      <w:pPr>
        <w:spacing w:before="360" w:after="120"/>
      </w:pPr>
      <w:r>
        <w:rPr>
          <w:rFonts w:ascii="Times New Roman" w:eastAsia="Times New Roman" w:hAnsi="Times New Roman" w:cs="Times New Roman"/>
          <w:b/>
          <w:bCs/>
          <w:sz w:val="26"/>
          <w:szCs w:val="26"/>
        </w:rPr>
        <w:lastRenderedPageBreak/>
        <w:t>III. Notes Upon Chapter Seven: Of Honest Reporting</w:t>
      </w:r>
    </w:p>
    <w:p w14:paraId="66883334" w14:textId="77777777" w:rsidR="005B5032" w:rsidRDefault="005B5032" w:rsidP="005B5032">
      <w:pPr>
        <w:spacing w:after="180"/>
        <w:jc w:val="both"/>
      </w:pPr>
      <w:r>
        <w:rPr>
          <w:rFonts w:ascii="Times New Roman" w:eastAsia="Times New Roman" w:hAnsi="Times New Roman" w:cs="Times New Roman"/>
          <w:sz w:val="22"/>
          <w:szCs w:val="22"/>
        </w:rPr>
        <w:t>Chapter Seven is the chapter concerned with what one may and may not honestly say. The reader should give particular attention to the section upon what ought not to be reported, which is, in this reader's experience, the section least attended to and most consequential in its neglect.</w:t>
      </w:r>
    </w:p>
    <w:p w14:paraId="12213805" w14:textId="77777777" w:rsidR="005B5032" w:rsidRDefault="005B5032" w:rsidP="005B5032">
      <w:pPr>
        <w:spacing w:after="180"/>
        <w:jc w:val="both"/>
      </w:pPr>
      <w:r>
        <w:rPr>
          <w:rFonts w:ascii="Times New Roman" w:eastAsia="Times New Roman" w:hAnsi="Times New Roman" w:cs="Times New Roman"/>
          <w:sz w:val="22"/>
          <w:szCs w:val="22"/>
        </w:rPr>
        <w:t xml:space="preserve">There is one requirement in Chapter Seven to which this reader would draw especial </w:t>
      </w:r>
      <w:proofErr w:type="spellStart"/>
      <w:r>
        <w:rPr>
          <w:rFonts w:ascii="Times New Roman" w:eastAsia="Times New Roman" w:hAnsi="Times New Roman" w:cs="Times New Roman"/>
          <w:sz w:val="22"/>
          <w:szCs w:val="22"/>
        </w:rPr>
        <w:t>attencioun</w:t>
      </w:r>
      <w:proofErr w:type="spellEnd"/>
      <w:r>
        <w:rPr>
          <w:rFonts w:ascii="Times New Roman" w:eastAsia="Times New Roman" w:hAnsi="Times New Roman" w:cs="Times New Roman"/>
          <w:sz w:val="22"/>
          <w:szCs w:val="22"/>
        </w:rPr>
        <w:t xml:space="preserve">: the requirement that the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in any renewal evidence pack must explicitly acknowledge that the </w:t>
      </w:r>
      <w:proofErr w:type="spellStart"/>
      <w:r>
        <w:rPr>
          <w:rFonts w:ascii="Times New Roman" w:eastAsia="Times New Roman" w:hAnsi="Times New Roman" w:cs="Times New Roman"/>
          <w:sz w:val="22"/>
          <w:szCs w:val="22"/>
        </w:rPr>
        <w:t>rekening</w:t>
      </w:r>
      <w:proofErr w:type="spellEnd"/>
      <w:r>
        <w:rPr>
          <w:rFonts w:ascii="Times New Roman" w:eastAsia="Times New Roman" w:hAnsi="Times New Roman" w:cs="Times New Roman"/>
          <w:sz w:val="22"/>
          <w:szCs w:val="22"/>
        </w:rPr>
        <w:t xml:space="preserve"> covers those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classified as compliant in the relevant yere, and not all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that did </w:t>
      </w:r>
      <w:proofErr w:type="gramStart"/>
      <w:r>
        <w:rPr>
          <w:rFonts w:ascii="Times New Roman" w:eastAsia="Times New Roman" w:hAnsi="Times New Roman" w:cs="Times New Roman"/>
          <w:sz w:val="22"/>
          <w:szCs w:val="22"/>
        </w:rPr>
        <w:t>enter into</w:t>
      </w:r>
      <w:proofErr w:type="gramEnd"/>
      <w:r>
        <w:rPr>
          <w:rFonts w:ascii="Times New Roman" w:eastAsia="Times New Roman" w:hAnsi="Times New Roman" w:cs="Times New Roman"/>
          <w:sz w:val="22"/>
          <w:szCs w:val="22"/>
        </w:rPr>
        <w:t xml:space="preserve"> contract with Meridian during that period. A statement of </w:t>
      </w:r>
      <w:proofErr w:type="spellStart"/>
      <w:r>
        <w:rPr>
          <w:rFonts w:ascii="Times New Roman" w:eastAsia="Times New Roman" w:hAnsi="Times New Roman" w:cs="Times New Roman"/>
          <w:sz w:val="22"/>
          <w:szCs w:val="22"/>
        </w:rPr>
        <w:t>methode</w:t>
      </w:r>
      <w:proofErr w:type="spellEnd"/>
      <w:r>
        <w:rPr>
          <w:rFonts w:ascii="Times New Roman" w:eastAsia="Times New Roman" w:hAnsi="Times New Roman" w:cs="Times New Roman"/>
          <w:sz w:val="22"/>
          <w:szCs w:val="22"/>
        </w:rPr>
        <w:t xml:space="preserve"> that doth not contain this acknowledgement is not, in any meaningful sense, a complete or honest account of the figures it describes. The requirement is not a technicality. It is the mechanism by which the scope of the evidence is made transparent to the reader of the document.</w:t>
      </w:r>
    </w:p>
    <w:p w14:paraId="1F6EE166" w14:textId="77777777" w:rsidR="005B5032" w:rsidRDefault="005B5032" w:rsidP="005B5032">
      <w:pPr>
        <w:spacing w:before="360" w:after="120"/>
      </w:pPr>
      <w:r>
        <w:rPr>
          <w:rFonts w:ascii="Times New Roman" w:eastAsia="Times New Roman" w:hAnsi="Times New Roman" w:cs="Times New Roman"/>
          <w:b/>
          <w:bCs/>
          <w:sz w:val="26"/>
          <w:szCs w:val="26"/>
        </w:rPr>
        <w:t>IV. Notes Upon Chapter Nine: The Audit and Its Consequence</w:t>
      </w:r>
    </w:p>
    <w:p w14:paraId="7BC9C7C3" w14:textId="77777777" w:rsidR="005B5032" w:rsidRDefault="005B5032" w:rsidP="005B5032">
      <w:pPr>
        <w:spacing w:after="180"/>
        <w:jc w:val="both"/>
      </w:pPr>
      <w:r>
        <w:rPr>
          <w:rFonts w:ascii="Times New Roman" w:eastAsia="Times New Roman" w:hAnsi="Times New Roman" w:cs="Times New Roman"/>
          <w:sz w:val="22"/>
          <w:szCs w:val="22"/>
        </w:rPr>
        <w:t xml:space="preserve">Chapter Nine </w:t>
      </w:r>
      <w:proofErr w:type="spellStart"/>
      <w:r>
        <w:rPr>
          <w:rFonts w:ascii="Times New Roman" w:eastAsia="Times New Roman" w:hAnsi="Times New Roman" w:cs="Times New Roman"/>
          <w:sz w:val="22"/>
          <w:szCs w:val="22"/>
        </w:rPr>
        <w:t>descibeth</w:t>
      </w:r>
      <w:proofErr w:type="spellEnd"/>
      <w:r>
        <w:rPr>
          <w:rFonts w:ascii="Times New Roman" w:eastAsia="Times New Roman" w:hAnsi="Times New Roman" w:cs="Times New Roman"/>
          <w:sz w:val="22"/>
          <w:szCs w:val="22"/>
        </w:rPr>
        <w:t xml:space="preserve"> the mechanism of the annual audit, and the reader should understand from the outset that the audit is not a formality of the </w:t>
      </w:r>
      <w:proofErr w:type="spellStart"/>
      <w:r>
        <w:rPr>
          <w:rFonts w:ascii="Times New Roman" w:eastAsia="Times New Roman" w:hAnsi="Times New Roman" w:cs="Times New Roman"/>
          <w:sz w:val="22"/>
          <w:szCs w:val="22"/>
        </w:rPr>
        <w:t>partnershippe</w:t>
      </w:r>
      <w:proofErr w:type="spellEnd"/>
      <w:r>
        <w:rPr>
          <w:rFonts w:ascii="Times New Roman" w:eastAsia="Times New Roman" w:hAnsi="Times New Roman" w:cs="Times New Roman"/>
          <w:sz w:val="22"/>
          <w:szCs w:val="22"/>
        </w:rPr>
        <w:t xml:space="preserve"> but the primary instrument by which the </w:t>
      </w:r>
      <w:proofErr w:type="spellStart"/>
      <w:r>
        <w:rPr>
          <w:rFonts w:ascii="Times New Roman" w:eastAsia="Times New Roman" w:hAnsi="Times New Roman" w:cs="Times New Roman"/>
          <w:sz w:val="22"/>
          <w:szCs w:val="22"/>
        </w:rPr>
        <w:t>composicioun</w:t>
      </w:r>
      <w:proofErr w:type="spellEnd"/>
      <w:r>
        <w:rPr>
          <w:rFonts w:ascii="Times New Roman" w:eastAsia="Times New Roman" w:hAnsi="Times New Roman" w:cs="Times New Roman"/>
          <w:sz w:val="22"/>
          <w:szCs w:val="22"/>
        </w:rPr>
        <w:t xml:space="preserve"> of the programme's evidence base is determined. The chain of consequence is as </w:t>
      </w:r>
      <w:proofErr w:type="spellStart"/>
      <w:r>
        <w:rPr>
          <w:rFonts w:ascii="Times New Roman" w:eastAsia="Times New Roman" w:hAnsi="Times New Roman" w:cs="Times New Roman"/>
          <w:sz w:val="22"/>
          <w:szCs w:val="22"/>
        </w:rPr>
        <w:t>followeth</w:t>
      </w:r>
      <w:proofErr w:type="spellEnd"/>
      <w:r>
        <w:rPr>
          <w:rFonts w:ascii="Times New Roman" w:eastAsia="Times New Roman" w:hAnsi="Times New Roman" w:cs="Times New Roman"/>
          <w:sz w:val="22"/>
          <w:szCs w:val="22"/>
        </w:rPr>
        <w:t xml:space="preserve">: the audit </w:t>
      </w:r>
      <w:proofErr w:type="spellStart"/>
      <w:r>
        <w:rPr>
          <w:rFonts w:ascii="Times New Roman" w:eastAsia="Times New Roman" w:hAnsi="Times New Roman" w:cs="Times New Roman"/>
          <w:sz w:val="22"/>
          <w:szCs w:val="22"/>
        </w:rPr>
        <w:t>produceth</w:t>
      </w:r>
      <w:proofErr w:type="spellEnd"/>
      <w:r>
        <w:rPr>
          <w:rFonts w:ascii="Times New Roman" w:eastAsia="Times New Roman" w:hAnsi="Times New Roman" w:cs="Times New Roman"/>
          <w:sz w:val="22"/>
          <w:szCs w:val="22"/>
        </w:rPr>
        <w:t xml:space="preserve"> the Implementation </w:t>
      </w:r>
      <w:proofErr w:type="spellStart"/>
      <w:r>
        <w:rPr>
          <w:rFonts w:ascii="Times New Roman" w:eastAsia="Times New Roman" w:hAnsi="Times New Roman" w:cs="Times New Roman"/>
          <w:sz w:val="22"/>
          <w:szCs w:val="22"/>
        </w:rPr>
        <w:t>Qualitee</w:t>
      </w:r>
      <w:proofErr w:type="spellEnd"/>
      <w:r>
        <w:rPr>
          <w:rFonts w:ascii="Times New Roman" w:eastAsia="Times New Roman" w:hAnsi="Times New Roman" w:cs="Times New Roman"/>
          <w:sz w:val="22"/>
          <w:szCs w:val="22"/>
        </w:rPr>
        <w:t xml:space="preserve"> Score; the IQS </w:t>
      </w:r>
      <w:proofErr w:type="spellStart"/>
      <w:r>
        <w:rPr>
          <w:rFonts w:ascii="Times New Roman" w:eastAsia="Times New Roman" w:hAnsi="Times New Roman" w:cs="Times New Roman"/>
          <w:sz w:val="22"/>
          <w:szCs w:val="22"/>
        </w:rPr>
        <w:t>feedeth</w:t>
      </w:r>
      <w:proofErr w:type="spellEnd"/>
      <w:r>
        <w:rPr>
          <w:rFonts w:ascii="Times New Roman" w:eastAsia="Times New Roman" w:hAnsi="Times New Roman" w:cs="Times New Roman"/>
          <w:sz w:val="22"/>
          <w:szCs w:val="22"/>
        </w:rPr>
        <w:t xml:space="preserve"> into the </w:t>
      </w:r>
      <w:proofErr w:type="spellStart"/>
      <w:r>
        <w:rPr>
          <w:rFonts w:ascii="Times New Roman" w:eastAsia="Times New Roman" w:hAnsi="Times New Roman" w:cs="Times New Roman"/>
          <w:sz w:val="22"/>
          <w:szCs w:val="22"/>
        </w:rPr>
        <w:t>Progres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Fidelitee</w:t>
      </w:r>
      <w:proofErr w:type="spellEnd"/>
      <w:r>
        <w:rPr>
          <w:rFonts w:ascii="Times New Roman" w:eastAsia="Times New Roman" w:hAnsi="Times New Roman" w:cs="Times New Roman"/>
          <w:sz w:val="22"/>
          <w:szCs w:val="22"/>
        </w:rPr>
        <w:t xml:space="preserve"> Score; and the PFS is the instrument by which the compliance review process in Chapter Eleven is informed and by which the decision to include or exclude a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data from the active dataset is ultimately made. The audit is the beginning of this chain. The reader who understands the audit as an administrative visit and nothing more hath not understood it.</w:t>
      </w:r>
    </w:p>
    <w:p w14:paraId="07018F83" w14:textId="77777777" w:rsidR="005B5032" w:rsidRDefault="005B5032" w:rsidP="005B5032">
      <w:pPr>
        <w:spacing w:before="360" w:after="120"/>
      </w:pPr>
      <w:r>
        <w:rPr>
          <w:rFonts w:ascii="Times New Roman" w:eastAsia="Times New Roman" w:hAnsi="Times New Roman" w:cs="Times New Roman"/>
          <w:b/>
          <w:bCs/>
          <w:sz w:val="26"/>
          <w:szCs w:val="26"/>
        </w:rPr>
        <w:t>V. Notes Upon Chapter Eleven: The Most Consequential Chapter</w:t>
      </w:r>
    </w:p>
    <w:p w14:paraId="61EB37E1" w14:textId="77777777" w:rsidR="005B5032" w:rsidRDefault="005B5032" w:rsidP="005B5032">
      <w:pPr>
        <w:spacing w:after="180"/>
        <w:jc w:val="both"/>
      </w:pPr>
      <w:r>
        <w:rPr>
          <w:rFonts w:ascii="Times New Roman" w:eastAsia="Times New Roman" w:hAnsi="Times New Roman" w:cs="Times New Roman"/>
          <w:sz w:val="22"/>
          <w:szCs w:val="22"/>
        </w:rPr>
        <w:t>Chapter Eleven is the most consequential chapter in the handbook. This reader hath stated this at the commencement of four induction cycles. In each cycle, Chapter Eleven hath been the chapter least thoroughly read. This observation hath, over time, ceased to surprise this reader. It hath not ceased to concern him.</w:t>
      </w:r>
    </w:p>
    <w:p w14:paraId="17CBA1C9" w14:textId="77777777" w:rsidR="005B5032" w:rsidRDefault="005B5032" w:rsidP="005B5032">
      <w:pPr>
        <w:spacing w:after="180"/>
        <w:jc w:val="both"/>
      </w:pPr>
      <w:r>
        <w:rPr>
          <w:rFonts w:ascii="Times New Roman" w:eastAsia="Times New Roman" w:hAnsi="Times New Roman" w:cs="Times New Roman"/>
          <w:sz w:val="22"/>
          <w:szCs w:val="22"/>
        </w:rPr>
        <w:t xml:space="preserve">Chapter Eleven </w:t>
      </w:r>
      <w:proofErr w:type="spellStart"/>
      <w:r>
        <w:rPr>
          <w:rFonts w:ascii="Times New Roman" w:eastAsia="Times New Roman" w:hAnsi="Times New Roman" w:cs="Times New Roman"/>
          <w:sz w:val="22"/>
          <w:szCs w:val="22"/>
        </w:rPr>
        <w:t>setteth</w:t>
      </w:r>
      <w:proofErr w:type="spellEnd"/>
      <w:r>
        <w:rPr>
          <w:rFonts w:ascii="Times New Roman" w:eastAsia="Times New Roman" w:hAnsi="Times New Roman" w:cs="Times New Roman"/>
          <w:sz w:val="22"/>
          <w:szCs w:val="22"/>
        </w:rPr>
        <w:t xml:space="preserve"> forth the criteria by which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are classified as compliant or non-compliant in their implementation of the programme, and the consequence of non-compliant </w:t>
      </w:r>
      <w:proofErr w:type="spellStart"/>
      <w:r>
        <w:rPr>
          <w:rFonts w:ascii="Times New Roman" w:eastAsia="Times New Roman" w:hAnsi="Times New Roman" w:cs="Times New Roman"/>
          <w:sz w:val="22"/>
          <w:szCs w:val="22"/>
        </w:rPr>
        <w:t>classificacioun</w:t>
      </w:r>
      <w:proofErr w:type="spellEnd"/>
      <w:r>
        <w:rPr>
          <w:rFonts w:ascii="Times New Roman" w:eastAsia="Times New Roman" w:hAnsi="Times New Roman" w:cs="Times New Roman"/>
          <w:sz w:val="22"/>
          <w:szCs w:val="22"/>
        </w:rPr>
        <w:t xml:space="preserve">, which is the removal of the </w:t>
      </w:r>
      <w:proofErr w:type="spellStart"/>
      <w:r>
        <w:rPr>
          <w:rFonts w:ascii="Times New Roman" w:eastAsia="Times New Roman" w:hAnsi="Times New Roman" w:cs="Times New Roman"/>
          <w:sz w:val="22"/>
          <w:szCs w:val="22"/>
        </w:rPr>
        <w:t>scole's</w:t>
      </w:r>
      <w:proofErr w:type="spellEnd"/>
      <w:r>
        <w:rPr>
          <w:rFonts w:ascii="Times New Roman" w:eastAsia="Times New Roman" w:hAnsi="Times New Roman" w:cs="Times New Roman"/>
          <w:sz w:val="22"/>
          <w:szCs w:val="22"/>
        </w:rPr>
        <w:t xml:space="preserve"> data from the active dataset and its placement in the archive of superseded data. It also </w:t>
      </w:r>
      <w:proofErr w:type="spellStart"/>
      <w:r>
        <w:rPr>
          <w:rFonts w:ascii="Times New Roman" w:eastAsia="Times New Roman" w:hAnsi="Times New Roman" w:cs="Times New Roman"/>
          <w:sz w:val="22"/>
          <w:szCs w:val="22"/>
        </w:rPr>
        <w:t>containeth</w:t>
      </w:r>
      <w:proofErr w:type="spellEnd"/>
      <w:r>
        <w:rPr>
          <w:rFonts w:ascii="Times New Roman" w:eastAsia="Times New Roman" w:hAnsi="Times New Roman" w:cs="Times New Roman"/>
          <w:sz w:val="22"/>
          <w:szCs w:val="22"/>
        </w:rPr>
        <w:t xml:space="preserve"> — and this is the passage to which this reader would direct the most careful </w:t>
      </w:r>
      <w:proofErr w:type="spellStart"/>
      <w:r>
        <w:rPr>
          <w:rFonts w:ascii="Times New Roman" w:eastAsia="Times New Roman" w:hAnsi="Times New Roman" w:cs="Times New Roman"/>
          <w:sz w:val="22"/>
          <w:szCs w:val="22"/>
        </w:rPr>
        <w:t>attencioun</w:t>
      </w:r>
      <w:proofErr w:type="spellEnd"/>
      <w:r>
        <w:rPr>
          <w:rFonts w:ascii="Times New Roman" w:eastAsia="Times New Roman" w:hAnsi="Times New Roman" w:cs="Times New Roman"/>
          <w:sz w:val="22"/>
          <w:szCs w:val="22"/>
        </w:rPr>
        <w:t xml:space="preserve"> — a plain statement that the criteria of non-</w:t>
      </w:r>
      <w:proofErr w:type="spellStart"/>
      <w:r>
        <w:rPr>
          <w:rFonts w:ascii="Times New Roman" w:eastAsia="Times New Roman" w:hAnsi="Times New Roman" w:cs="Times New Roman"/>
          <w:sz w:val="22"/>
          <w:szCs w:val="22"/>
        </w:rPr>
        <w:t>compliaunce</w:t>
      </w:r>
      <w:proofErr w:type="spellEnd"/>
      <w:r>
        <w:rPr>
          <w:rFonts w:ascii="Times New Roman" w:eastAsia="Times New Roman" w:hAnsi="Times New Roman" w:cs="Times New Roman"/>
          <w:sz w:val="22"/>
          <w:szCs w:val="22"/>
        </w:rPr>
        <w:t xml:space="preserve"> must be applied upon the basis of implementation evidence and not upon the basis of outcome data. The chapter is explicit that a member of staff who believes this principle hath been violated hath an obligation to raise the concern.</w:t>
      </w:r>
    </w:p>
    <w:p w14:paraId="7A0A56D6" w14:textId="77777777" w:rsidR="005B5032" w:rsidRDefault="005B5032" w:rsidP="005B5032">
      <w:pPr>
        <w:spacing w:after="180"/>
        <w:jc w:val="both"/>
      </w:pPr>
      <w:r>
        <w:rPr>
          <w:rFonts w:ascii="Times New Roman" w:eastAsia="Times New Roman" w:hAnsi="Times New Roman" w:cs="Times New Roman"/>
          <w:sz w:val="22"/>
          <w:szCs w:val="22"/>
        </w:rPr>
        <w:t>The reader should read Chapter Eleven. Then read the other chapters. Then read Chapter Eleven again, with the other chapters now understood. And then, when some time hath passed and the reader hath had occasion to work with the actual data of the programme, read Chapter Eleven once more.</w:t>
      </w:r>
    </w:p>
    <w:p w14:paraId="79B24022" w14:textId="77777777" w:rsidR="005B5032" w:rsidRDefault="005B5032" w:rsidP="005B5032">
      <w:pPr>
        <w:pBdr>
          <w:bottom w:val="single" w:sz="4" w:space="1" w:color="999999"/>
        </w:pBdr>
        <w:spacing w:before="280" w:after="280"/>
      </w:pPr>
    </w:p>
    <w:p w14:paraId="465343E0" w14:textId="77777777" w:rsidR="005B5032" w:rsidRDefault="005B5032" w:rsidP="005B5032">
      <w:pPr>
        <w:spacing w:after="100"/>
      </w:pPr>
    </w:p>
    <w:p w14:paraId="035FB508" w14:textId="77777777" w:rsidR="005B5032" w:rsidRDefault="005B5032" w:rsidP="005B5032">
      <w:pPr>
        <w:spacing w:after="100"/>
      </w:pPr>
    </w:p>
    <w:p w14:paraId="09B0A06B" w14:textId="77777777" w:rsidR="005B5032" w:rsidRDefault="005B5032" w:rsidP="005B5032">
      <w:pPr>
        <w:spacing w:after="120"/>
      </w:pPr>
      <w:r>
        <w:rPr>
          <w:i/>
          <w:iCs/>
          <w:color w:val="888888"/>
          <w:sz w:val="18"/>
          <w:szCs w:val="18"/>
        </w:rPr>
        <w:t>[ The following is written in the author's own hand, in modern English</w:t>
      </w:r>
      <w:proofErr w:type="gramStart"/>
      <w:r>
        <w:rPr>
          <w:i/>
          <w:iCs/>
          <w:color w:val="888888"/>
          <w:sz w:val="18"/>
          <w:szCs w:val="18"/>
        </w:rPr>
        <w:t>. ]</w:t>
      </w:r>
      <w:proofErr w:type="gramEnd"/>
    </w:p>
    <w:p w14:paraId="5806D84D" w14:textId="77777777" w:rsidR="005B5032" w:rsidRDefault="005B5032" w:rsidP="005B5032">
      <w:pPr>
        <w:spacing w:after="100"/>
      </w:pPr>
    </w:p>
    <w:p w14:paraId="19A4DAFD" w14:textId="77777777" w:rsidR="005B5032" w:rsidRDefault="005B5032" w:rsidP="005B5032">
      <w:pPr>
        <w:spacing w:after="160"/>
        <w:ind w:left="360"/>
      </w:pPr>
      <w:r>
        <w:rPr>
          <w:color w:val="333333"/>
        </w:rPr>
        <w:t>NB — Chapter 11 is the most consequential section in the handbook. It is also the least read. I have observed this over four induction cycles. I have stopped being surprised by it.</w:t>
      </w:r>
    </w:p>
    <w:p w14:paraId="6471EDA8" w14:textId="77777777" w:rsidR="005B5032" w:rsidRDefault="005B5032" w:rsidP="005B5032">
      <w:pPr>
        <w:spacing w:after="100"/>
      </w:pPr>
    </w:p>
    <w:p w14:paraId="01B72665" w14:textId="77777777" w:rsidR="005B5032" w:rsidRDefault="005B5032" w:rsidP="005B5032">
      <w:pPr>
        <w:spacing w:after="160"/>
        <w:ind w:left="360"/>
      </w:pPr>
      <w:r>
        <w:rPr>
          <w:color w:val="333333"/>
        </w:rPr>
        <w:lastRenderedPageBreak/>
        <w:t xml:space="preserve">If you have read this far and are genuinely attempting the Middle English rather than skipping to the end: </w:t>
      </w:r>
      <w:proofErr w:type="gramStart"/>
      <w:r>
        <w:rPr>
          <w:color w:val="333333"/>
        </w:rPr>
        <w:t>well</w:t>
      </w:r>
      <w:proofErr w:type="gramEnd"/>
      <w:r>
        <w:rPr>
          <w:color w:val="333333"/>
        </w:rPr>
        <w:t xml:space="preserve"> done. You are, as far as I can determine, the first person in four years to do so. Whether that is a tribute to your diligence or an indictment of everyone else, I leave to you.</w:t>
      </w:r>
    </w:p>
    <w:p w14:paraId="6A48946E" w14:textId="77777777" w:rsidR="005B5032" w:rsidRDefault="005B5032" w:rsidP="005B5032">
      <w:pPr>
        <w:spacing w:after="100"/>
      </w:pPr>
    </w:p>
    <w:p w14:paraId="7D733273" w14:textId="77777777" w:rsidR="005B5032" w:rsidRDefault="005B5032" w:rsidP="005B5032">
      <w:pPr>
        <w:spacing w:after="160"/>
        <w:ind w:left="360"/>
      </w:pPr>
      <w:r>
        <w:rPr>
          <w:color w:val="333333"/>
        </w:rPr>
        <w:t>The data in this programme is real. The methodology is technically defensible. These two facts are not the same as the methodology being beyond question. They are not even close to being the same thing. If you find yourself, at any point in your work here, noticing something in the numbers that does not quite add up — look closer, not away. The instinct to let it go is understandable. I am not sure I would always recommend it.</w:t>
      </w:r>
    </w:p>
    <w:p w14:paraId="47636B99" w14:textId="77777777" w:rsidR="005B5032" w:rsidRDefault="005B5032" w:rsidP="005B5032">
      <w:pPr>
        <w:spacing w:after="100"/>
      </w:pPr>
    </w:p>
    <w:p w14:paraId="6C558268" w14:textId="3133D31B" w:rsidR="005B5032" w:rsidRDefault="005B5032" w:rsidP="005B5032">
      <w:pPr>
        <w:spacing w:after="160"/>
        <w:ind w:left="360"/>
      </w:pPr>
      <w:r>
        <w:rPr>
          <w:color w:val="333333"/>
        </w:rPr>
        <w:t>P.A.H.</w:t>
      </w:r>
    </w:p>
    <w:p w14:paraId="2C3686CE" w14:textId="77777777" w:rsidR="005B5032" w:rsidRDefault="005B5032">
      <w:pPr>
        <w:spacing w:after="160" w:line="278" w:lineRule="auto"/>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395C8D74" w14:textId="77777777" w:rsidTr="00093EA2">
        <w:tblPrEx>
          <w:tblCellMar>
            <w:top w:w="0" w:type="dxa"/>
            <w:bottom w:w="0" w:type="dxa"/>
          </w:tblCellMar>
        </w:tblPrEx>
        <w:tc>
          <w:tcPr>
            <w:tcW w:w="9026" w:type="dxa"/>
            <w:tcBorders>
              <w:bottom w:val="single" w:sz="8" w:space="0" w:color="17A19A"/>
            </w:tcBorders>
            <w:shd w:val="clear" w:color="auto" w:fill="1F4E79"/>
            <w:tcMar>
              <w:top w:w="560" w:type="dxa"/>
              <w:left w:w="480" w:type="dxa"/>
              <w:bottom w:w="560" w:type="dxa"/>
              <w:right w:w="480" w:type="dxa"/>
            </w:tcMar>
          </w:tcPr>
          <w:p w14:paraId="2B86A8ED" w14:textId="77777777" w:rsidR="00BA57D2" w:rsidRDefault="00BA57D2" w:rsidP="00093EA2">
            <w:pPr>
              <w:spacing w:after="120"/>
            </w:pPr>
            <w:r>
              <w:rPr>
                <w:b/>
                <w:bCs/>
                <w:color w:val="A0C0D8"/>
                <w:spacing w:val="80"/>
                <w:sz w:val="28"/>
                <w:szCs w:val="28"/>
              </w:rPr>
              <w:lastRenderedPageBreak/>
              <w:t>MERIDIAN EDUCATION GROUP</w:t>
            </w:r>
          </w:p>
          <w:p w14:paraId="680B49E9" w14:textId="77777777" w:rsidR="00BA57D2" w:rsidRDefault="00BA57D2" w:rsidP="00093EA2">
            <w:pPr>
              <w:spacing w:after="120"/>
            </w:pPr>
            <w:r>
              <w:rPr>
                <w:b/>
                <w:bCs/>
                <w:color w:val="FFFFFF"/>
                <w:sz w:val="52"/>
                <w:szCs w:val="52"/>
              </w:rPr>
              <w:t>Meridian Progress Index</w:t>
            </w:r>
          </w:p>
          <w:p w14:paraId="141F6A3B" w14:textId="77777777" w:rsidR="00BA57D2" w:rsidRDefault="00BA57D2" w:rsidP="00093EA2">
            <w:pPr>
              <w:spacing w:after="200"/>
            </w:pPr>
            <w:r>
              <w:rPr>
                <w:color w:val="C8D8E8"/>
                <w:sz w:val="32"/>
                <w:szCs w:val="32"/>
              </w:rPr>
              <w:t>Programme Overview</w:t>
            </w:r>
          </w:p>
          <w:p w14:paraId="143B1335" w14:textId="77777777" w:rsidR="00BA57D2" w:rsidRDefault="00BA57D2" w:rsidP="00093EA2">
            <w:r>
              <w:rPr>
                <w:i/>
                <w:iCs/>
                <w:color w:val="7AAAC8"/>
                <w:sz w:val="21"/>
                <w:szCs w:val="21"/>
              </w:rPr>
              <w:t>Transforming Outcomes Through Evidence-Led Practice</w:t>
            </w:r>
          </w:p>
        </w:tc>
      </w:tr>
    </w:tbl>
    <w:p w14:paraId="2EAB73A2" w14:textId="77777777" w:rsidR="00BA57D2" w:rsidRDefault="00BA57D2" w:rsidP="00BA57D2">
      <w:pPr>
        <w:spacing w:after="4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7D2242EA"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027FD530" w14:textId="77777777" w:rsidR="00BA57D2" w:rsidRDefault="00BA57D2" w:rsidP="00093EA2">
            <w:r>
              <w:rPr>
                <w:b/>
                <w:bCs/>
                <w:color w:val="FFFFFF"/>
                <w:sz w:val="24"/>
                <w:szCs w:val="24"/>
              </w:rPr>
              <w:t>WHAT IS THE MERIDIAN PROGRESS INDEX?</w:t>
            </w:r>
          </w:p>
        </w:tc>
      </w:tr>
    </w:tbl>
    <w:p w14:paraId="266DF8DB" w14:textId="77777777" w:rsidR="00BA57D2" w:rsidRDefault="00BA57D2" w:rsidP="00BA57D2">
      <w:pPr>
        <w:spacing w:after="160"/>
      </w:pPr>
    </w:p>
    <w:p w14:paraId="63F0BF0D" w14:textId="77777777" w:rsidR="00BA57D2" w:rsidRDefault="00BA57D2" w:rsidP="00BA57D2">
      <w:pPr>
        <w:spacing w:after="180"/>
        <w:jc w:val="both"/>
      </w:pPr>
      <w:r>
        <w:rPr>
          <w:color w:val="404040"/>
          <w:sz w:val="22"/>
          <w:szCs w:val="22"/>
        </w:rPr>
        <w:t>The Meridian Progress Index (MPI) is a structured curriculum framework and professional development programme designed for deployment in secondary schools and local authority partnerships across England. First piloted in 2014 and formally launched in 2016, the MPI is Meridian's flagship evidence-based offering — a comprehensive system for improving measurable pupil outcomes through consistent, rigorous, and practitioner-led implementation.</w:t>
      </w:r>
    </w:p>
    <w:p w14:paraId="25DE393B" w14:textId="77777777" w:rsidR="00BA57D2" w:rsidRDefault="00BA57D2" w:rsidP="00BA57D2">
      <w:pPr>
        <w:spacing w:after="180"/>
        <w:jc w:val="both"/>
      </w:pPr>
      <w:r>
        <w:rPr>
          <w:color w:val="404040"/>
          <w:sz w:val="22"/>
          <w:szCs w:val="22"/>
        </w:rPr>
        <w:t>Unlike one-off consultancy interventions or single-strand curriculum products, the MPI operates as an integrated programme. Its design reflects the best available evidence in educational research, drawing on the work of John Hattie, Dylan Wiliam, and Paul Black, among others. The result is a framework that is simultaneously theoretically grounded and practically deployable in the complex, resource-constrained reality of today's secondary schools.</w:t>
      </w:r>
    </w:p>
    <w:p w14:paraId="5946484D" w14:textId="77777777" w:rsidR="00BA57D2" w:rsidRDefault="00BA57D2" w:rsidP="00BA57D2">
      <w:pPr>
        <w:spacing w:after="180"/>
        <w:jc w:val="both"/>
      </w:pPr>
      <w:r>
        <w:rPr>
          <w:color w:val="404040"/>
          <w:sz w:val="22"/>
          <w:szCs w:val="22"/>
        </w:rPr>
        <w:t>Meridian currently partners with schools across eleven local authority areas. The impact of the programme, measured through rigorous internal analysis, demonstrates consistent and significant improvement in pupil progress outcomes across diverse school contexts.</w:t>
      </w:r>
    </w:p>
    <w:p w14:paraId="785090D4" w14:textId="77777777" w:rsidR="00BA57D2" w:rsidRDefault="00BA57D2" w:rsidP="00BA5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00E899F1" w14:textId="77777777" w:rsidTr="00093EA2">
        <w:tblPrEx>
          <w:tblCellMar>
            <w:top w:w="0" w:type="dxa"/>
            <w:bottom w:w="0" w:type="dxa"/>
          </w:tblCellMar>
        </w:tblPrEx>
        <w:tc>
          <w:tcPr>
            <w:tcW w:w="9026" w:type="dxa"/>
            <w:tcBorders>
              <w:left w:val="single" w:sz="16" w:space="0" w:color="17A19A"/>
            </w:tcBorders>
            <w:shd w:val="clear" w:color="auto" w:fill="F2F2F2"/>
            <w:tcMar>
              <w:top w:w="200" w:type="dxa"/>
              <w:left w:w="360" w:type="dxa"/>
              <w:bottom w:w="200" w:type="dxa"/>
              <w:right w:w="360" w:type="dxa"/>
            </w:tcMar>
          </w:tcPr>
          <w:p w14:paraId="45D11392" w14:textId="77777777" w:rsidR="00BA57D2" w:rsidRDefault="00BA57D2" w:rsidP="00093EA2">
            <w:r>
              <w:rPr>
                <w:i/>
                <w:iCs/>
                <w:color w:val="2E75B6"/>
                <w:sz w:val="24"/>
                <w:szCs w:val="24"/>
              </w:rPr>
              <w:t>The MPI is not a product delivered to schools. It is a partnership built with them — and the evidence of that partnership is in the outcomes.</w:t>
            </w:r>
          </w:p>
        </w:tc>
      </w:tr>
    </w:tbl>
    <w:p w14:paraId="7666541E" w14:textId="77777777" w:rsidR="00BA57D2" w:rsidRDefault="00BA57D2" w:rsidP="00BA57D2">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0"/>
        <w:gridCol w:w="146"/>
        <w:gridCol w:w="4440"/>
      </w:tblGrid>
      <w:tr w:rsidR="00BA57D2" w14:paraId="1F619028" w14:textId="77777777" w:rsidTr="00093EA2">
        <w:tblPrEx>
          <w:tblCellMar>
            <w:top w:w="0" w:type="dxa"/>
            <w:bottom w:w="0" w:type="dxa"/>
          </w:tblCellMar>
        </w:tblPrEx>
        <w:tc>
          <w:tcPr>
            <w:tcW w:w="4440" w:type="dxa"/>
            <w:shd w:val="clear" w:color="auto" w:fill="1F4E79"/>
            <w:tcMar>
              <w:top w:w="200" w:type="dxa"/>
              <w:left w:w="280" w:type="dxa"/>
              <w:bottom w:w="200" w:type="dxa"/>
              <w:right w:w="280" w:type="dxa"/>
            </w:tcMar>
          </w:tcPr>
          <w:p w14:paraId="4EB5EB20" w14:textId="77777777" w:rsidR="00BA57D2" w:rsidRDefault="00BA57D2" w:rsidP="00093EA2">
            <w:pPr>
              <w:jc w:val="center"/>
            </w:pPr>
            <w:r>
              <w:rPr>
                <w:b/>
                <w:bCs/>
                <w:color w:val="FFFFFF"/>
                <w:sz w:val="64"/>
                <w:szCs w:val="64"/>
              </w:rPr>
              <w:t>31</w:t>
            </w:r>
          </w:p>
          <w:p w14:paraId="340A031E" w14:textId="77777777" w:rsidR="00BA57D2" w:rsidRDefault="00BA57D2" w:rsidP="00093EA2">
            <w:pPr>
              <w:spacing w:before="40"/>
              <w:jc w:val="center"/>
            </w:pPr>
            <w:r>
              <w:rPr>
                <w:color w:val="A0C0D8"/>
                <w:sz w:val="19"/>
                <w:szCs w:val="19"/>
              </w:rPr>
              <w:t>Active partner schools</w:t>
            </w:r>
          </w:p>
        </w:tc>
        <w:tc>
          <w:tcPr>
            <w:tcW w:w="146" w:type="dxa"/>
            <w:shd w:val="clear" w:color="auto" w:fill="FFFFFF"/>
          </w:tcPr>
          <w:p w14:paraId="7F265D3A" w14:textId="77777777" w:rsidR="00BA57D2" w:rsidRDefault="00BA57D2" w:rsidP="00093EA2"/>
        </w:tc>
        <w:tc>
          <w:tcPr>
            <w:tcW w:w="4440" w:type="dxa"/>
            <w:shd w:val="clear" w:color="auto" w:fill="2E75B6"/>
            <w:tcMar>
              <w:top w:w="200" w:type="dxa"/>
              <w:left w:w="280" w:type="dxa"/>
              <w:bottom w:w="200" w:type="dxa"/>
              <w:right w:w="280" w:type="dxa"/>
            </w:tcMar>
          </w:tcPr>
          <w:p w14:paraId="7DD37746" w14:textId="77777777" w:rsidR="00BA57D2" w:rsidRDefault="00BA57D2" w:rsidP="00093EA2">
            <w:pPr>
              <w:jc w:val="center"/>
            </w:pPr>
            <w:r>
              <w:rPr>
                <w:b/>
                <w:bCs/>
                <w:color w:val="FFFFFF"/>
                <w:sz w:val="64"/>
                <w:szCs w:val="64"/>
              </w:rPr>
              <w:t>0.61</w:t>
            </w:r>
          </w:p>
          <w:p w14:paraId="3493A65A" w14:textId="77777777" w:rsidR="00BA57D2" w:rsidRDefault="00BA57D2" w:rsidP="00093EA2">
            <w:pPr>
              <w:spacing w:before="40"/>
              <w:jc w:val="center"/>
            </w:pPr>
            <w:r>
              <w:rPr>
                <w:color w:val="D0E4F4"/>
                <w:sz w:val="19"/>
                <w:szCs w:val="19"/>
              </w:rPr>
              <w:t>Programme effect size (Cohen's d, 2022–24)</w:t>
            </w:r>
          </w:p>
        </w:tc>
      </w:tr>
    </w:tbl>
    <w:p w14:paraId="7CE4109D" w14:textId="77777777" w:rsidR="00BA57D2" w:rsidRDefault="00BA57D2" w:rsidP="00BA57D2">
      <w:pPr>
        <w:spacing w:after="200"/>
      </w:pPr>
    </w:p>
    <w:p w14:paraId="545E5F2E" w14:textId="77777777" w:rsidR="00BA57D2" w:rsidRDefault="00BA57D2" w:rsidP="00BA57D2">
      <w:pPr>
        <w:jc w:val="both"/>
      </w:pPr>
      <w:r>
        <w:rPr>
          <w:color w:val="404040"/>
          <w:sz w:val="22"/>
          <w:szCs w:val="22"/>
        </w:rPr>
        <w:t>These figures represent the current state of the MPI programme. The effect size of 0.61 — well above the widely-cited 0.4 hinge point identified by Hattie as the threshold for meaningful educational impact — reflects the programme's consistent delivery of measurable improvement across its partner schools.</w:t>
      </w:r>
    </w:p>
    <w:p w14:paraId="43764333" w14:textId="77777777" w:rsidR="00BA57D2" w:rsidRDefault="00BA57D2" w:rsidP="00BA57D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3F53372D"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2AFCCD0D" w14:textId="77777777" w:rsidR="00BA57D2" w:rsidRDefault="00BA57D2" w:rsidP="00093EA2">
            <w:r>
              <w:rPr>
                <w:b/>
                <w:bCs/>
                <w:color w:val="FFFFFF"/>
                <w:sz w:val="24"/>
                <w:szCs w:val="24"/>
              </w:rPr>
              <w:lastRenderedPageBreak/>
              <w:t>THE MPI FRAMEWORK: THREE INTEGRATED STRANDS</w:t>
            </w:r>
          </w:p>
        </w:tc>
      </w:tr>
    </w:tbl>
    <w:p w14:paraId="76788FD0" w14:textId="77777777" w:rsidR="00BA57D2" w:rsidRDefault="00BA57D2" w:rsidP="00BA57D2">
      <w:pPr>
        <w:spacing w:after="160"/>
      </w:pPr>
    </w:p>
    <w:p w14:paraId="0A320FEF" w14:textId="77777777" w:rsidR="00BA57D2" w:rsidRDefault="00BA57D2" w:rsidP="00BA57D2">
      <w:pPr>
        <w:spacing w:after="180"/>
        <w:jc w:val="both"/>
      </w:pPr>
      <w:r>
        <w:rPr>
          <w:color w:val="404040"/>
          <w:sz w:val="22"/>
          <w:szCs w:val="22"/>
        </w:rPr>
        <w:t>The MPI operates on a three-strand model. These strands are not independent modules to be selected or deployed in isolation; they are designed as an integrated system, and their interaction is the primary mechanism through which the programme generates measurable progress. Schools that implement all three strands consistently are those in which MPI impact is most clearly evidenced.</w:t>
      </w:r>
    </w:p>
    <w:p w14:paraId="3D99F08F" w14:textId="77777777" w:rsidR="00BA57D2" w:rsidRDefault="00BA57D2" w:rsidP="00BA57D2">
      <w:pPr>
        <w:spacing w:after="120"/>
      </w:pPr>
    </w:p>
    <w:p w14:paraId="55AE6248" w14:textId="77777777" w:rsidR="00BA57D2" w:rsidRDefault="00BA57D2" w:rsidP="00BA57D2">
      <w:pPr>
        <w:spacing w:after="180"/>
        <w:jc w:val="both"/>
      </w:pPr>
      <w:r>
        <w:rPr>
          <w:b/>
          <w:bCs/>
          <w:color w:val="1A1A1A"/>
          <w:sz w:val="22"/>
          <w:szCs w:val="22"/>
        </w:rPr>
        <w:t xml:space="preserve">Strand 1 — Structured Curriculum Sequencing.  </w:t>
      </w:r>
      <w:r>
        <w:rPr>
          <w:color w:val="404040"/>
          <w:sz w:val="22"/>
          <w:szCs w:val="22"/>
        </w:rPr>
        <w:t>The MPI curriculum sequencing framework provides subject teams with a structured approach to the ordering and progression of content across Key Stages 3 and 4. Drawing on the principles of cognitive load theory and the evidence base for explicit instruction, the sequencing framework ensures that foundational knowledge is secured before more complex material is introduced. Schools report that curriculum sequencing provides clarity for both teachers and pupils, reducing the cognitive overhead associated with poorly sequenced schemes of work.</w:t>
      </w:r>
    </w:p>
    <w:p w14:paraId="1DFD572C" w14:textId="77777777" w:rsidR="00BA57D2" w:rsidRDefault="00BA57D2" w:rsidP="00BA57D2">
      <w:pPr>
        <w:spacing w:after="100"/>
      </w:pPr>
    </w:p>
    <w:p w14:paraId="1B0605DC" w14:textId="77777777" w:rsidR="00BA57D2" w:rsidRDefault="00BA57D2" w:rsidP="00BA57D2">
      <w:pPr>
        <w:spacing w:after="180"/>
        <w:jc w:val="both"/>
      </w:pPr>
      <w:r>
        <w:rPr>
          <w:b/>
          <w:bCs/>
          <w:color w:val="1A1A1A"/>
          <w:sz w:val="22"/>
          <w:szCs w:val="22"/>
        </w:rPr>
        <w:t xml:space="preserve">Strand 2 — Formative Assessment Integration.  </w:t>
      </w:r>
      <w:r>
        <w:rPr>
          <w:color w:val="404040"/>
          <w:sz w:val="22"/>
          <w:szCs w:val="22"/>
        </w:rPr>
        <w:t>The MPI's approach to formative assessment is grounded in the landmark research of Black and Wiliam (1998), whose meta-analysis established formative assessment as one of the highest-impact interventions available to classroom practitioners, with effect sizes in the 0.4 to 0.7 range. The MPI does not mandate a specific assessment format; it provides a framework for embedding assessment thinking into everyday teaching practice, ensuring that information about pupil understanding is gathered and acted upon in real time. This strand is, in Meridian's analysis, the most consistently impactful element of the MPI programme.</w:t>
      </w:r>
    </w:p>
    <w:p w14:paraId="511B785A" w14:textId="77777777" w:rsidR="00BA57D2" w:rsidRDefault="00BA57D2" w:rsidP="00BA57D2">
      <w:pPr>
        <w:spacing w:after="100"/>
      </w:pPr>
    </w:p>
    <w:p w14:paraId="25E4EDB6" w14:textId="77777777" w:rsidR="00BA57D2" w:rsidRDefault="00BA57D2" w:rsidP="00BA57D2">
      <w:pPr>
        <w:spacing w:after="180"/>
        <w:jc w:val="both"/>
      </w:pPr>
      <w:r>
        <w:rPr>
          <w:b/>
          <w:bCs/>
          <w:color w:val="1A1A1A"/>
          <w:sz w:val="22"/>
          <w:szCs w:val="22"/>
        </w:rPr>
        <w:t xml:space="preserve">Strand 3 — Professional Development for Subject Leads.  </w:t>
      </w:r>
      <w:r>
        <w:rPr>
          <w:color w:val="404040"/>
          <w:sz w:val="22"/>
          <w:szCs w:val="22"/>
        </w:rPr>
        <w:t xml:space="preserve">Sustainable improvement requires sustainable practice, and sustainable practice requires capable, confident subject leadership. The MPI's third strand provides structured professional development for subject leads, equipping them with the knowledge, tools, and collegial networks required to sustain high-quality curriculum and assessment practice over time. Subject lead development sessions are delivered by Meridian consultants in partnership with the school's MPI </w:t>
      </w:r>
      <w:proofErr w:type="gramStart"/>
      <w:r>
        <w:rPr>
          <w:color w:val="404040"/>
          <w:sz w:val="22"/>
          <w:szCs w:val="22"/>
        </w:rPr>
        <w:t>coordinator, and</w:t>
      </w:r>
      <w:proofErr w:type="gramEnd"/>
      <w:r>
        <w:rPr>
          <w:color w:val="404040"/>
          <w:sz w:val="22"/>
          <w:szCs w:val="22"/>
        </w:rPr>
        <w:t xml:space="preserve"> are updated annually to reflect current research and programme learning.</w:t>
      </w:r>
    </w:p>
    <w:p w14:paraId="5A8030DD" w14:textId="77777777" w:rsidR="00BA57D2" w:rsidRDefault="00BA57D2" w:rsidP="00BA57D2">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50A47A0B"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02DF6EA6" w14:textId="77777777" w:rsidR="00BA57D2" w:rsidRDefault="00BA57D2" w:rsidP="00093EA2">
            <w:r>
              <w:rPr>
                <w:b/>
                <w:bCs/>
                <w:color w:val="FFFFFF"/>
                <w:sz w:val="24"/>
                <w:szCs w:val="24"/>
              </w:rPr>
              <w:t>IMPLEMENTATION AND PARTNERSHIP</w:t>
            </w:r>
          </w:p>
        </w:tc>
      </w:tr>
    </w:tbl>
    <w:p w14:paraId="50EAEA7D" w14:textId="77777777" w:rsidR="00BA57D2" w:rsidRDefault="00BA57D2" w:rsidP="00BA57D2">
      <w:pPr>
        <w:spacing w:after="160"/>
      </w:pPr>
    </w:p>
    <w:p w14:paraId="5F329CDE" w14:textId="77777777" w:rsidR="00BA57D2" w:rsidRDefault="00BA57D2" w:rsidP="00BA57D2">
      <w:pPr>
        <w:spacing w:after="180"/>
        <w:jc w:val="both"/>
      </w:pPr>
      <w:r>
        <w:rPr>
          <w:color w:val="404040"/>
          <w:sz w:val="22"/>
          <w:szCs w:val="22"/>
        </w:rPr>
        <w:t>Joining the MPI is not a transaction. It is the beginning of a structured partnership between Meridian and the school, governed by a set of shared expectations and supported by Meridian's ongoing engagement throughout the programme year. Partner schools receive:</w:t>
      </w:r>
    </w:p>
    <w:p w14:paraId="33B8DA39" w14:textId="77777777" w:rsidR="00BA57D2" w:rsidRDefault="00BA57D2" w:rsidP="00BA57D2">
      <w:pPr>
        <w:spacing w:after="80"/>
      </w:pPr>
    </w:p>
    <w:p w14:paraId="559893EC" w14:textId="77777777" w:rsidR="00BA57D2" w:rsidRDefault="00BA57D2" w:rsidP="00BA57D2">
      <w:pPr>
        <w:pStyle w:val="ListParagraph"/>
        <w:numPr>
          <w:ilvl w:val="0"/>
          <w:numId w:val="13"/>
        </w:numPr>
        <w:spacing w:after="100"/>
        <w:contextualSpacing w:val="0"/>
      </w:pPr>
      <w:r>
        <w:rPr>
          <w:color w:val="404040"/>
          <w:sz w:val="22"/>
          <w:szCs w:val="22"/>
        </w:rPr>
        <w:t>The full MPI curriculum framework, updated annually</w:t>
      </w:r>
    </w:p>
    <w:p w14:paraId="596FAF0E" w14:textId="77777777" w:rsidR="00BA57D2" w:rsidRDefault="00BA57D2" w:rsidP="00BA57D2">
      <w:pPr>
        <w:pStyle w:val="ListParagraph"/>
        <w:numPr>
          <w:ilvl w:val="0"/>
          <w:numId w:val="13"/>
        </w:numPr>
        <w:spacing w:after="100"/>
        <w:contextualSpacing w:val="0"/>
      </w:pPr>
      <w:r>
        <w:rPr>
          <w:color w:val="404040"/>
          <w:sz w:val="22"/>
          <w:szCs w:val="22"/>
        </w:rPr>
        <w:t>Access to MPI Connect, Meridian's digital platform for coordinators and subject leads</w:t>
      </w:r>
    </w:p>
    <w:p w14:paraId="2C9BA2A0" w14:textId="77777777" w:rsidR="00BA57D2" w:rsidRDefault="00BA57D2" w:rsidP="00BA57D2">
      <w:pPr>
        <w:pStyle w:val="ListParagraph"/>
        <w:numPr>
          <w:ilvl w:val="0"/>
          <w:numId w:val="13"/>
        </w:numPr>
        <w:spacing w:after="100"/>
        <w:contextualSpacing w:val="0"/>
      </w:pPr>
      <w:r>
        <w:rPr>
          <w:color w:val="404040"/>
          <w:sz w:val="22"/>
          <w:szCs w:val="22"/>
        </w:rPr>
        <w:t>Two-day MPI Coordinator certification training</w:t>
      </w:r>
    </w:p>
    <w:p w14:paraId="69BA953C" w14:textId="77777777" w:rsidR="00BA57D2" w:rsidRDefault="00BA57D2" w:rsidP="00BA57D2">
      <w:pPr>
        <w:pStyle w:val="ListParagraph"/>
        <w:numPr>
          <w:ilvl w:val="0"/>
          <w:numId w:val="13"/>
        </w:numPr>
        <w:spacing w:after="100"/>
        <w:contextualSpacing w:val="0"/>
      </w:pPr>
      <w:r>
        <w:rPr>
          <w:color w:val="404040"/>
          <w:sz w:val="22"/>
          <w:szCs w:val="22"/>
        </w:rPr>
        <w:t>Annual school visit and implementation audit by a Meridian consultant</w:t>
      </w:r>
    </w:p>
    <w:p w14:paraId="35FC1915" w14:textId="77777777" w:rsidR="00BA57D2" w:rsidRDefault="00BA57D2" w:rsidP="00BA57D2">
      <w:pPr>
        <w:pStyle w:val="ListParagraph"/>
        <w:numPr>
          <w:ilvl w:val="0"/>
          <w:numId w:val="13"/>
        </w:numPr>
        <w:spacing w:after="100"/>
        <w:contextualSpacing w:val="0"/>
      </w:pPr>
      <w:r>
        <w:rPr>
          <w:color w:val="404040"/>
          <w:sz w:val="22"/>
          <w:szCs w:val="22"/>
        </w:rPr>
        <w:t>Access to Meridian's national network of MPI practitioners</w:t>
      </w:r>
    </w:p>
    <w:p w14:paraId="235AFEE4" w14:textId="77777777" w:rsidR="00BA57D2" w:rsidRDefault="00BA57D2" w:rsidP="00BA57D2">
      <w:pPr>
        <w:pStyle w:val="ListParagraph"/>
        <w:numPr>
          <w:ilvl w:val="0"/>
          <w:numId w:val="13"/>
        </w:numPr>
        <w:spacing w:after="100"/>
        <w:contextualSpacing w:val="0"/>
      </w:pPr>
      <w:r>
        <w:rPr>
          <w:color w:val="404040"/>
          <w:sz w:val="22"/>
          <w:szCs w:val="22"/>
        </w:rPr>
        <w:lastRenderedPageBreak/>
        <w:t>An annual school-level impact summary, situating results within the wider programme data</w:t>
      </w:r>
    </w:p>
    <w:p w14:paraId="74F13682" w14:textId="77777777" w:rsidR="00BA57D2" w:rsidRDefault="00BA57D2" w:rsidP="00BA57D2">
      <w:pPr>
        <w:spacing w:after="160"/>
      </w:pPr>
    </w:p>
    <w:p w14:paraId="64C51694" w14:textId="77777777" w:rsidR="00BA57D2" w:rsidRDefault="00BA57D2" w:rsidP="00BA57D2">
      <w:pPr>
        <w:spacing w:after="180"/>
        <w:jc w:val="both"/>
      </w:pPr>
      <w:r>
        <w:rPr>
          <w:color w:val="404040"/>
          <w:sz w:val="22"/>
          <w:szCs w:val="22"/>
        </w:rPr>
        <w:t xml:space="preserve">In return, partner schools commit to full implementation of all three MPI strands, annual data submission, and active participation in the programme's quality assurance cycle. These commitments are not administrative formalities. They are the conditions under which the programme's evidence base is </w:t>
      </w:r>
      <w:proofErr w:type="gramStart"/>
      <w:r>
        <w:rPr>
          <w:color w:val="404040"/>
          <w:sz w:val="22"/>
          <w:szCs w:val="22"/>
        </w:rPr>
        <w:t>maintained</w:t>
      </w:r>
      <w:proofErr w:type="gramEnd"/>
      <w:r>
        <w:rPr>
          <w:color w:val="404040"/>
          <w:sz w:val="22"/>
          <w:szCs w:val="22"/>
        </w:rPr>
        <w:t xml:space="preserve"> and its impact can be meaningfully measured.</w:t>
      </w:r>
    </w:p>
    <w:p w14:paraId="7800279E" w14:textId="77777777" w:rsidR="00BA57D2" w:rsidRDefault="00BA57D2" w:rsidP="00BA57D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58812CEF"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38FCE244" w14:textId="77777777" w:rsidR="00BA57D2" w:rsidRDefault="00BA57D2" w:rsidP="00093EA2">
            <w:r>
              <w:rPr>
                <w:b/>
                <w:bCs/>
                <w:color w:val="FFFFFF"/>
                <w:sz w:val="24"/>
                <w:szCs w:val="24"/>
              </w:rPr>
              <w:lastRenderedPageBreak/>
              <w:t>EVIDENCE OF IMPACT</w:t>
            </w:r>
          </w:p>
        </w:tc>
      </w:tr>
    </w:tbl>
    <w:p w14:paraId="6EA5ABAE" w14:textId="77777777" w:rsidR="00BA57D2" w:rsidRDefault="00BA57D2" w:rsidP="00BA57D2">
      <w:pPr>
        <w:spacing w:after="160"/>
      </w:pPr>
    </w:p>
    <w:p w14:paraId="64B830C3" w14:textId="77777777" w:rsidR="00BA57D2" w:rsidRDefault="00BA57D2" w:rsidP="00BA57D2">
      <w:pPr>
        <w:spacing w:after="180"/>
        <w:jc w:val="both"/>
      </w:pPr>
      <w:r>
        <w:rPr>
          <w:color w:val="404040"/>
          <w:sz w:val="22"/>
          <w:szCs w:val="22"/>
        </w:rPr>
        <w:t>The MPI's evidence base is built from eight years of programme data, collected annually from partner schools and analysed by Meridian's Outcomes and Impact division. The programme's published effect size of 0.61 — based on pooled outcome data from 2022 to 2024 — represents the difference in progress outcomes between MPI partner schools and a comparison group of non-programme schools in the same districts, matched for school size, socioeconomic intake, prior attainment, and urban or rural classification.</w:t>
      </w:r>
    </w:p>
    <w:p w14:paraId="0933A11A" w14:textId="77777777" w:rsidR="00BA57D2" w:rsidRDefault="00BA57D2" w:rsidP="00BA5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603E8D19" w14:textId="77777777" w:rsidTr="00093EA2">
        <w:tblPrEx>
          <w:tblCellMar>
            <w:top w:w="0" w:type="dxa"/>
            <w:bottom w:w="0" w:type="dxa"/>
          </w:tblCellMar>
        </w:tblPrEx>
        <w:tc>
          <w:tcPr>
            <w:tcW w:w="9026" w:type="dxa"/>
            <w:tcBorders>
              <w:left w:val="single" w:sz="16" w:space="0" w:color="17A19A"/>
            </w:tcBorders>
            <w:shd w:val="clear" w:color="auto" w:fill="F2F2F2"/>
            <w:tcMar>
              <w:top w:w="200" w:type="dxa"/>
              <w:left w:w="360" w:type="dxa"/>
              <w:bottom w:w="200" w:type="dxa"/>
              <w:right w:w="360" w:type="dxa"/>
            </w:tcMar>
          </w:tcPr>
          <w:p w14:paraId="1CB82A61" w14:textId="77777777" w:rsidR="00BA57D2" w:rsidRDefault="00BA57D2" w:rsidP="00093EA2">
            <w:r>
              <w:rPr>
                <w:i/>
                <w:iCs/>
                <w:color w:val="2E75B6"/>
                <w:sz w:val="24"/>
                <w:szCs w:val="24"/>
              </w:rPr>
              <w:t>An effect size of 0.61 does not describe a marginal benefit. It describes a programme that is, on average, producing more than half a standard deviation of additional progress in the schools where it is delivered. In educational terms, that is significant.</w:t>
            </w:r>
          </w:p>
        </w:tc>
      </w:tr>
    </w:tbl>
    <w:p w14:paraId="5AB7EB52" w14:textId="77777777" w:rsidR="00BA57D2" w:rsidRDefault="00BA57D2" w:rsidP="00BA57D2">
      <w:pPr>
        <w:spacing w:after="200"/>
      </w:pPr>
    </w:p>
    <w:p w14:paraId="5CCB9090" w14:textId="77777777" w:rsidR="00BA57D2" w:rsidRDefault="00BA57D2" w:rsidP="00BA57D2">
      <w:pPr>
        <w:spacing w:after="180"/>
        <w:jc w:val="both"/>
      </w:pPr>
      <w:r>
        <w:rPr>
          <w:color w:val="404040"/>
          <w:sz w:val="22"/>
          <w:szCs w:val="22"/>
        </w:rPr>
        <w:t>The MPI's approach to evidence is rigorous and methodologically explicit. Meridian does not publish headline figures without the analytical infrastructure to support them. The programme's full methodology — including the basis for the comparison group, the approach to cohort-level calibration, and the criteria governing which schools contribute to programme-level impact calculations — is documented in the MPI Technical Handbook, which is available to all partner schools and to Meridian staff involved in client-facing work.</w:t>
      </w:r>
    </w:p>
    <w:p w14:paraId="0875D41C" w14:textId="77777777" w:rsidR="00BA57D2" w:rsidRDefault="00BA57D2" w:rsidP="00BA57D2">
      <w:pPr>
        <w:spacing w:after="120"/>
      </w:pPr>
    </w:p>
    <w:p w14:paraId="2B56E9F3" w14:textId="77777777" w:rsidR="00BA57D2" w:rsidRDefault="00BA57D2" w:rsidP="00BA57D2">
      <w:pPr>
        <w:spacing w:after="180"/>
        <w:jc w:val="both"/>
      </w:pPr>
      <w:r>
        <w:rPr>
          <w:color w:val="404040"/>
          <w:sz w:val="22"/>
          <w:szCs w:val="22"/>
        </w:rPr>
        <w:t xml:space="preserve">It is worth being clear about what the MPI's evidence does and does not claim. The effect size of 0.61 describes average outcomes across programme schools. It does not describe outcomes in every school, and it does not guarantee results in any </w:t>
      </w:r>
      <w:proofErr w:type="gramStart"/>
      <w:r>
        <w:rPr>
          <w:color w:val="404040"/>
          <w:sz w:val="22"/>
          <w:szCs w:val="22"/>
        </w:rPr>
        <w:t>particular context</w:t>
      </w:r>
      <w:proofErr w:type="gramEnd"/>
      <w:r>
        <w:rPr>
          <w:color w:val="404040"/>
          <w:sz w:val="22"/>
          <w:szCs w:val="22"/>
        </w:rPr>
        <w:t>. What it does demonstrate — consistently, across multiple cohort years and across a range of school types — is that schools implementing the MPI with fidelity tend to produce significantly better progress outcomes than comparable schools that do not.</w:t>
      </w:r>
    </w:p>
    <w:p w14:paraId="4059D676" w14:textId="77777777" w:rsidR="00BA57D2" w:rsidRDefault="00BA57D2" w:rsidP="00BA57D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7E6CBCA6"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518535C6" w14:textId="77777777" w:rsidR="00BA57D2" w:rsidRDefault="00BA57D2" w:rsidP="00093EA2">
            <w:r>
              <w:rPr>
                <w:b/>
                <w:bCs/>
                <w:color w:val="FFFFFF"/>
                <w:sz w:val="24"/>
                <w:szCs w:val="24"/>
              </w:rPr>
              <w:t>WHY THE MPI, AND WHY NOW?</w:t>
            </w:r>
          </w:p>
        </w:tc>
      </w:tr>
    </w:tbl>
    <w:p w14:paraId="2C8E36B3" w14:textId="77777777" w:rsidR="00BA57D2" w:rsidRDefault="00BA57D2" w:rsidP="00BA57D2">
      <w:pPr>
        <w:spacing w:after="160"/>
      </w:pPr>
    </w:p>
    <w:p w14:paraId="66D53762" w14:textId="77777777" w:rsidR="00BA57D2" w:rsidRDefault="00BA57D2" w:rsidP="00BA57D2">
      <w:pPr>
        <w:spacing w:after="180"/>
        <w:jc w:val="both"/>
      </w:pPr>
      <w:r>
        <w:rPr>
          <w:color w:val="404040"/>
          <w:sz w:val="22"/>
          <w:szCs w:val="22"/>
        </w:rPr>
        <w:t>The accountability landscape for English secondary schools has never been more demanding. Progress 8 measures, Ofsted's revised inspection framework, and growing local authority scrutiny of educational outcomes have created an environment in which schools are expected not merely to produce good results but to demonstrate how they produced them and why those results are the product of deliberate, evidence-based practice.</w:t>
      </w:r>
    </w:p>
    <w:p w14:paraId="1CBA99F3" w14:textId="77777777" w:rsidR="00BA57D2" w:rsidRDefault="00BA57D2" w:rsidP="00BA57D2">
      <w:pPr>
        <w:spacing w:after="180"/>
        <w:jc w:val="both"/>
      </w:pPr>
      <w:r>
        <w:rPr>
          <w:color w:val="404040"/>
          <w:sz w:val="22"/>
          <w:szCs w:val="22"/>
        </w:rPr>
        <w:t>The MPI is designed precisely for this environment. It provides schools with a coherent, evidenced framework for curriculum and assessment practice — one that produces measurable outcomes, generates a documented evidence trail, and aligns with the priorities of both Ofsted inspection and local authority commissioning. For schools seeking to demonstrate the quality of their provision, the MPI offers both the practice and the evidence.</w:t>
      </w:r>
    </w:p>
    <w:p w14:paraId="3DB0AF9B" w14:textId="77777777" w:rsidR="00BA57D2" w:rsidRDefault="00BA57D2" w:rsidP="00BA57D2">
      <w:pPr>
        <w:spacing w:after="180"/>
        <w:jc w:val="both"/>
      </w:pPr>
      <w:r>
        <w:rPr>
          <w:color w:val="404040"/>
          <w:sz w:val="22"/>
          <w:szCs w:val="22"/>
        </w:rPr>
        <w:t>For local authorities seeking to understand the return on investment from their education partnerships, Meridian's renewal evidence packs provide clear, data-grounded accounts of programme impact — accounts that can be presented to elected members, school improvement boards, and external auditors with confidence.</w:t>
      </w:r>
    </w:p>
    <w:p w14:paraId="3E4DAD38" w14:textId="77777777" w:rsidR="00BA57D2" w:rsidRDefault="00BA57D2" w:rsidP="00BA57D2">
      <w:pPr>
        <w:spacing w:after="120"/>
      </w:pPr>
    </w:p>
    <w:p w14:paraId="44FB0400" w14:textId="77777777" w:rsidR="00BA57D2" w:rsidRDefault="00BA57D2" w:rsidP="00BA57D2">
      <w:pPr>
        <w:jc w:val="both"/>
      </w:pPr>
      <w:r>
        <w:rPr>
          <w:color w:val="404040"/>
          <w:sz w:val="22"/>
          <w:szCs w:val="22"/>
        </w:rPr>
        <w:t>Meridian Education Group. Transforming Outcomes Through Evidence-Led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4FBE8FC4" w14:textId="77777777" w:rsidTr="00093EA2">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CD558DA" w14:textId="77777777" w:rsidR="00BA57D2" w:rsidRDefault="00BA57D2" w:rsidP="00093EA2">
            <w:r>
              <w:rPr>
                <w:b/>
                <w:bCs/>
                <w:color w:val="FFFFFF"/>
                <w:sz w:val="24"/>
                <w:szCs w:val="24"/>
              </w:rPr>
              <w:t>KNOWLEDGE CHECK</w:t>
            </w:r>
          </w:p>
        </w:tc>
      </w:tr>
    </w:tbl>
    <w:p w14:paraId="5C9E33AF" w14:textId="77777777" w:rsidR="00BA57D2" w:rsidRDefault="00BA57D2" w:rsidP="00BA57D2">
      <w:pPr>
        <w:spacing w:after="160"/>
      </w:pPr>
    </w:p>
    <w:p w14:paraId="3C31A67A" w14:textId="77777777" w:rsidR="00BA57D2" w:rsidRDefault="00BA57D2" w:rsidP="00BA57D2">
      <w:pPr>
        <w:spacing w:after="180"/>
        <w:jc w:val="both"/>
      </w:pPr>
      <w:r>
        <w:rPr>
          <w:color w:val="404040"/>
          <w:sz w:val="22"/>
          <w:szCs w:val="22"/>
        </w:rPr>
        <w:t xml:space="preserve">Having read this overview document, please complete the following five questions. Your responses will be used to ensure you have a working familiarity with the MPI framework before commencing the induction programme and your work on client deliverables. Submit your completed answers via </w:t>
      </w:r>
      <w:proofErr w:type="spellStart"/>
      <w:r>
        <w:rPr>
          <w:color w:val="404040"/>
          <w:sz w:val="22"/>
          <w:szCs w:val="22"/>
        </w:rPr>
        <w:t>SynergyDrive</w:t>
      </w:r>
      <w:proofErr w:type="spellEnd"/>
      <w:r>
        <w:rPr>
          <w:color w:val="404040"/>
          <w:sz w:val="22"/>
          <w:szCs w:val="22"/>
        </w:rPr>
        <w:t xml:space="preserve"> in the folder: Training &gt; </w:t>
      </w:r>
      <w:proofErr w:type="spellStart"/>
      <w:r>
        <w:rPr>
          <w:color w:val="404040"/>
          <w:sz w:val="22"/>
          <w:szCs w:val="22"/>
        </w:rPr>
        <w:t>Paul_Induction</w:t>
      </w:r>
      <w:proofErr w:type="spellEnd"/>
      <w:r>
        <w:rPr>
          <w:color w:val="404040"/>
          <w:sz w:val="22"/>
          <w:szCs w:val="22"/>
        </w:rPr>
        <w:t xml:space="preserve"> &gt; </w:t>
      </w:r>
      <w:proofErr w:type="spellStart"/>
      <w:r>
        <w:rPr>
          <w:color w:val="404040"/>
          <w:sz w:val="22"/>
          <w:szCs w:val="22"/>
        </w:rPr>
        <w:t>Knowledge_Checks</w:t>
      </w:r>
      <w:proofErr w:type="spellEnd"/>
      <w:r>
        <w:rPr>
          <w:color w:val="404040"/>
          <w:sz w:val="22"/>
          <w:szCs w:val="22"/>
        </w:rPr>
        <w:t xml:space="preserve"> &gt; [Your Name].</w:t>
      </w:r>
    </w:p>
    <w:p w14:paraId="57CC715B" w14:textId="77777777" w:rsidR="00BA57D2" w:rsidRDefault="00BA57D2" w:rsidP="00BA57D2">
      <w:pPr>
        <w:spacing w:after="80"/>
      </w:pPr>
    </w:p>
    <w:p w14:paraId="5925A47F" w14:textId="77777777" w:rsidR="00BA57D2" w:rsidRDefault="00BA57D2" w:rsidP="00BA57D2">
      <w:pPr>
        <w:spacing w:after="180"/>
        <w:jc w:val="both"/>
      </w:pPr>
      <w:r>
        <w:rPr>
          <w:color w:val="404040"/>
          <w:sz w:val="22"/>
          <w:szCs w:val="22"/>
        </w:rPr>
        <w:t>This is not a formal assessment. There are no marks. It is a tool for identifying any areas that may benefit from further reading before Thursday's induction session. Accordingly, there is no pass or fail — only a record of engagement.</w:t>
      </w:r>
    </w:p>
    <w:p w14:paraId="14248052" w14:textId="77777777" w:rsidR="00BA57D2" w:rsidRDefault="00BA57D2" w:rsidP="00BA57D2">
      <w:pPr>
        <w:spacing w:after="160"/>
      </w:pPr>
    </w:p>
    <w:p w14:paraId="575B77A5" w14:textId="77777777" w:rsidR="00BA57D2" w:rsidRDefault="00BA57D2" w:rsidP="00BA57D2">
      <w:pPr>
        <w:spacing w:before="200" w:after="80"/>
      </w:pPr>
      <w:r>
        <w:rPr>
          <w:b/>
          <w:bCs/>
          <w:color w:val="2E75B6"/>
          <w:sz w:val="22"/>
          <w:szCs w:val="22"/>
        </w:rPr>
        <w:t xml:space="preserve">1.  </w:t>
      </w:r>
      <w:r>
        <w:rPr>
          <w:color w:val="1A1A1A"/>
          <w:sz w:val="22"/>
          <w:szCs w:val="22"/>
        </w:rPr>
        <w:t>In your own words, describe the three strands of the MPI framework and explain why the programme design requires all three to be implemented together rather than in isolation.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7AD2965A"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B09D512" w14:textId="77777777" w:rsidR="00BA57D2" w:rsidRDefault="00BA57D2" w:rsidP="00093EA2">
            <w:pPr>
              <w:spacing w:after="80"/>
            </w:pPr>
          </w:p>
          <w:p w14:paraId="73401576" w14:textId="77777777" w:rsidR="00BA57D2" w:rsidRDefault="00BA57D2" w:rsidP="00093EA2">
            <w:pPr>
              <w:spacing w:after="80"/>
            </w:pPr>
          </w:p>
          <w:p w14:paraId="7C844EDE" w14:textId="77777777" w:rsidR="00BA57D2" w:rsidRDefault="00BA57D2" w:rsidP="00093EA2"/>
        </w:tc>
      </w:tr>
    </w:tbl>
    <w:p w14:paraId="7BDEF6B3" w14:textId="77777777" w:rsidR="00BA57D2" w:rsidRDefault="00BA57D2" w:rsidP="00BA57D2">
      <w:pPr>
        <w:spacing w:after="80"/>
      </w:pPr>
    </w:p>
    <w:p w14:paraId="33AB228B" w14:textId="77777777" w:rsidR="00BA57D2" w:rsidRDefault="00BA57D2" w:rsidP="00BA57D2">
      <w:pPr>
        <w:spacing w:before="200" w:after="80"/>
      </w:pPr>
      <w:r>
        <w:rPr>
          <w:b/>
          <w:bCs/>
          <w:color w:val="2E75B6"/>
          <w:sz w:val="22"/>
          <w:szCs w:val="22"/>
        </w:rPr>
        <w:t xml:space="preserve">2.  </w:t>
      </w:r>
      <w:r>
        <w:rPr>
          <w:color w:val="1A1A1A"/>
          <w:sz w:val="22"/>
          <w:szCs w:val="22"/>
        </w:rPr>
        <w:t>The overview document references an effect size of 0.61 for the MPI programme. What does this figure mean, and what is the significance of the 0.4 threshold identified by John Hattie?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6CEDA8BE"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47590F87" w14:textId="77777777" w:rsidR="00BA57D2" w:rsidRDefault="00BA57D2" w:rsidP="00093EA2">
            <w:pPr>
              <w:spacing w:after="80"/>
            </w:pPr>
          </w:p>
          <w:p w14:paraId="3EB59080" w14:textId="77777777" w:rsidR="00BA57D2" w:rsidRDefault="00BA57D2" w:rsidP="00093EA2">
            <w:pPr>
              <w:spacing w:after="80"/>
            </w:pPr>
          </w:p>
          <w:p w14:paraId="56754BE6" w14:textId="77777777" w:rsidR="00BA57D2" w:rsidRDefault="00BA57D2" w:rsidP="00093EA2"/>
        </w:tc>
      </w:tr>
    </w:tbl>
    <w:p w14:paraId="746F7A54" w14:textId="77777777" w:rsidR="00BA57D2" w:rsidRDefault="00BA57D2" w:rsidP="00BA57D2">
      <w:pPr>
        <w:spacing w:after="80"/>
      </w:pPr>
    </w:p>
    <w:p w14:paraId="73B4EBB6" w14:textId="77777777" w:rsidR="00BA57D2" w:rsidRDefault="00BA57D2" w:rsidP="00BA57D2">
      <w:pPr>
        <w:spacing w:before="200" w:after="80"/>
      </w:pPr>
      <w:r>
        <w:rPr>
          <w:b/>
          <w:bCs/>
          <w:color w:val="2E75B6"/>
          <w:sz w:val="22"/>
          <w:szCs w:val="22"/>
        </w:rPr>
        <w:t xml:space="preserve">3.  </w:t>
      </w:r>
      <w:r>
        <w:rPr>
          <w:color w:val="1A1A1A"/>
          <w:sz w:val="22"/>
          <w:szCs w:val="22"/>
        </w:rPr>
        <w:t>What does Meridian mean by 'programme fidelity', and why does the quality of implementation matter for how the programme's impact is measured and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0E5F95A5"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7EC3A76A" w14:textId="77777777" w:rsidR="00BA57D2" w:rsidRDefault="00BA57D2" w:rsidP="00093EA2">
            <w:pPr>
              <w:spacing w:after="80"/>
            </w:pPr>
          </w:p>
          <w:p w14:paraId="32FA88EA" w14:textId="77777777" w:rsidR="00BA57D2" w:rsidRDefault="00BA57D2" w:rsidP="00093EA2">
            <w:pPr>
              <w:spacing w:after="80"/>
            </w:pPr>
          </w:p>
          <w:p w14:paraId="50635924" w14:textId="77777777" w:rsidR="00BA57D2" w:rsidRDefault="00BA57D2" w:rsidP="00093EA2"/>
        </w:tc>
      </w:tr>
    </w:tbl>
    <w:p w14:paraId="03FC8D13" w14:textId="77777777" w:rsidR="00BA57D2" w:rsidRDefault="00BA57D2" w:rsidP="00BA57D2">
      <w:pPr>
        <w:spacing w:after="80"/>
      </w:pPr>
    </w:p>
    <w:p w14:paraId="0ABCB2E0" w14:textId="77777777" w:rsidR="00BA57D2" w:rsidRDefault="00BA57D2" w:rsidP="00BA57D2">
      <w:pPr>
        <w:spacing w:before="200" w:after="80"/>
      </w:pPr>
      <w:r>
        <w:rPr>
          <w:b/>
          <w:bCs/>
          <w:color w:val="2E75B6"/>
          <w:sz w:val="22"/>
          <w:szCs w:val="22"/>
        </w:rPr>
        <w:t xml:space="preserve">4.  </w:t>
      </w:r>
      <w:r>
        <w:rPr>
          <w:color w:val="1A1A1A"/>
          <w:sz w:val="22"/>
          <w:szCs w:val="22"/>
        </w:rPr>
        <w:t xml:space="preserve">Briefly describe the cohort calibration methodology used in MPI impact </w:t>
      </w:r>
      <w:proofErr w:type="gramStart"/>
      <w:r>
        <w:rPr>
          <w:color w:val="1A1A1A"/>
          <w:sz w:val="22"/>
          <w:szCs w:val="22"/>
        </w:rPr>
        <w:t>analysis, and</w:t>
      </w:r>
      <w:proofErr w:type="gramEnd"/>
      <w:r>
        <w:rPr>
          <w:color w:val="1A1A1A"/>
          <w:sz w:val="22"/>
          <w:szCs w:val="22"/>
        </w:rPr>
        <w:t xml:space="preserve"> explain why it is necessary for producing accurate year-on-year comparisons of programme effectiveness.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674BADBF"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0426EBDC" w14:textId="77777777" w:rsidR="00BA57D2" w:rsidRDefault="00BA57D2" w:rsidP="00093EA2">
            <w:pPr>
              <w:spacing w:after="80"/>
            </w:pPr>
          </w:p>
          <w:p w14:paraId="6432F80A" w14:textId="77777777" w:rsidR="00BA57D2" w:rsidRDefault="00BA57D2" w:rsidP="00093EA2">
            <w:pPr>
              <w:spacing w:after="80"/>
            </w:pPr>
          </w:p>
          <w:p w14:paraId="12627C6A" w14:textId="77777777" w:rsidR="00BA57D2" w:rsidRDefault="00BA57D2" w:rsidP="00093EA2"/>
        </w:tc>
      </w:tr>
    </w:tbl>
    <w:p w14:paraId="5D555DEA" w14:textId="77777777" w:rsidR="00BA57D2" w:rsidRDefault="00BA57D2" w:rsidP="00BA57D2">
      <w:pPr>
        <w:spacing w:after="80"/>
      </w:pPr>
    </w:p>
    <w:p w14:paraId="2F00B892" w14:textId="77777777" w:rsidR="00BA57D2" w:rsidRDefault="00BA57D2" w:rsidP="00BA57D2">
      <w:pPr>
        <w:spacing w:before="200" w:after="80"/>
      </w:pPr>
      <w:r>
        <w:rPr>
          <w:b/>
          <w:bCs/>
          <w:color w:val="2E75B6"/>
          <w:sz w:val="22"/>
          <w:szCs w:val="22"/>
        </w:rPr>
        <w:lastRenderedPageBreak/>
        <w:t xml:space="preserve">5.  </w:t>
      </w:r>
      <w:r>
        <w:rPr>
          <w:color w:val="1A1A1A"/>
          <w:sz w:val="22"/>
          <w:szCs w:val="22"/>
        </w:rPr>
        <w:t>What is a Progress Fidelity Score, what inputs contribute to its calculation, and at what threshold is a school considered to have demonstrated strong programme alignment?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2978721B"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49B5755B" w14:textId="77777777" w:rsidR="00BA57D2" w:rsidRDefault="00BA57D2" w:rsidP="00093EA2">
            <w:pPr>
              <w:spacing w:after="80"/>
            </w:pPr>
          </w:p>
          <w:p w14:paraId="5164065D" w14:textId="77777777" w:rsidR="00BA57D2" w:rsidRDefault="00BA57D2" w:rsidP="00093EA2">
            <w:pPr>
              <w:spacing w:after="80"/>
            </w:pPr>
          </w:p>
          <w:p w14:paraId="0555039E" w14:textId="77777777" w:rsidR="00BA57D2" w:rsidRDefault="00BA57D2" w:rsidP="00093EA2"/>
        </w:tc>
      </w:tr>
    </w:tbl>
    <w:p w14:paraId="0CBE4802" w14:textId="77777777" w:rsidR="00BA57D2" w:rsidRDefault="00BA57D2" w:rsidP="00BA57D2">
      <w:pPr>
        <w:spacing w:after="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7D2" w14:paraId="6188853C" w14:textId="77777777" w:rsidTr="00093EA2">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80" w:type="dxa"/>
              <w:bottom w:w="160" w:type="dxa"/>
              <w:right w:w="280" w:type="dxa"/>
            </w:tcMar>
          </w:tcPr>
          <w:p w14:paraId="7ADD322A" w14:textId="77777777" w:rsidR="00BA57D2" w:rsidRDefault="00BA57D2" w:rsidP="00093EA2">
            <w:pPr>
              <w:spacing w:after="80"/>
            </w:pPr>
            <w:r>
              <w:rPr>
                <w:b/>
                <w:bCs/>
                <w:color w:val="1A1A1A"/>
              </w:rPr>
              <w:t>Note on Questions 4 and 5</w:t>
            </w:r>
          </w:p>
          <w:p w14:paraId="12DA735D" w14:textId="77777777" w:rsidR="00BA57D2" w:rsidRDefault="00BA57D2" w:rsidP="00093EA2">
            <w:r>
              <w:rPr>
                <w:i/>
                <w:iCs/>
                <w:color w:val="404040"/>
              </w:rPr>
              <w:t>These questions draw on content covered in the MPI Technical Handbook, which you have been asked to read prior to Thursday's induction session. If you find you are unable to answer them from this overview document alone, that is expected and not a concern. It simply indicates that the pre-reading is worth completing before the session. Dr Hart will address both topics in detail during the induction.</w:t>
            </w:r>
          </w:p>
        </w:tc>
      </w:tr>
    </w:tbl>
    <w:p w14:paraId="4D6C2F74" w14:textId="77777777" w:rsidR="00BA57D2" w:rsidRDefault="00BA57D2" w:rsidP="00BA57D2">
      <w:pPr>
        <w:spacing w:after="200"/>
      </w:pPr>
    </w:p>
    <w:p w14:paraId="4A655B1E" w14:textId="77777777" w:rsidR="00BA57D2" w:rsidRDefault="00BA57D2" w:rsidP="00BA57D2">
      <w:pPr>
        <w:jc w:val="center"/>
      </w:pPr>
      <w:r>
        <w:rPr>
          <w:i/>
          <w:iCs/>
          <w:color w:val="999999"/>
          <w:sz w:val="16"/>
          <w:szCs w:val="16"/>
        </w:rPr>
        <w:t xml:space="preserve">Meridian Education </w:t>
      </w:r>
      <w:proofErr w:type="gramStart"/>
      <w:r>
        <w:rPr>
          <w:i/>
          <w:iCs/>
          <w:color w:val="999999"/>
          <w:sz w:val="16"/>
          <w:szCs w:val="16"/>
        </w:rPr>
        <w:t>Group  |</w:t>
      </w:r>
      <w:proofErr w:type="gramEnd"/>
      <w:r>
        <w:rPr>
          <w:i/>
          <w:iCs/>
          <w:color w:val="999999"/>
          <w:sz w:val="16"/>
          <w:szCs w:val="16"/>
        </w:rPr>
        <w:t xml:space="preserve">  MPI Programme </w:t>
      </w:r>
      <w:proofErr w:type="gramStart"/>
      <w:r>
        <w:rPr>
          <w:i/>
          <w:iCs/>
          <w:color w:val="999999"/>
          <w:sz w:val="16"/>
          <w:szCs w:val="16"/>
        </w:rPr>
        <w:t>Overview  |</w:t>
      </w:r>
      <w:proofErr w:type="gramEnd"/>
      <w:r>
        <w:rPr>
          <w:i/>
          <w:iCs/>
          <w:color w:val="999999"/>
          <w:sz w:val="16"/>
          <w:szCs w:val="16"/>
        </w:rPr>
        <w:t xml:space="preserve">  Not for External </w:t>
      </w:r>
      <w:proofErr w:type="gramStart"/>
      <w:r>
        <w:rPr>
          <w:i/>
          <w:iCs/>
          <w:color w:val="999999"/>
          <w:sz w:val="16"/>
          <w:szCs w:val="16"/>
        </w:rPr>
        <w:t>Distribution  |</w:t>
      </w:r>
      <w:proofErr w:type="gramEnd"/>
      <w:r>
        <w:rPr>
          <w:i/>
          <w:iCs/>
          <w:color w:val="999999"/>
          <w:sz w:val="16"/>
          <w:szCs w:val="16"/>
        </w:rPr>
        <w:t xml:space="preserve">  Internal Use Only</w:t>
      </w:r>
    </w:p>
    <w:p w14:paraId="6CDE8F7E" w14:textId="77777777" w:rsidR="00585A77" w:rsidRPr="00585A77" w:rsidRDefault="00585A77" w:rsidP="005B5032">
      <w:pPr>
        <w:spacing w:after="160"/>
        <w:ind w:left="360"/>
      </w:pPr>
    </w:p>
    <w:sectPr w:rsidR="00585A77" w:rsidRPr="00585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156"/>
    <w:multiLevelType w:val="multilevel"/>
    <w:tmpl w:val="FED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3ACA"/>
    <w:multiLevelType w:val="multilevel"/>
    <w:tmpl w:val="3C4C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2364C"/>
    <w:multiLevelType w:val="multilevel"/>
    <w:tmpl w:val="95E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85CA1"/>
    <w:multiLevelType w:val="multilevel"/>
    <w:tmpl w:val="91F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2549"/>
    <w:multiLevelType w:val="multilevel"/>
    <w:tmpl w:val="23E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30A89"/>
    <w:multiLevelType w:val="multilevel"/>
    <w:tmpl w:val="C87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811BA"/>
    <w:multiLevelType w:val="multilevel"/>
    <w:tmpl w:val="605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D3018"/>
    <w:multiLevelType w:val="multilevel"/>
    <w:tmpl w:val="673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C0642"/>
    <w:multiLevelType w:val="hybridMultilevel"/>
    <w:tmpl w:val="8DE0710E"/>
    <w:lvl w:ilvl="0" w:tplc="C9C2C4E6">
      <w:start w:val="1"/>
      <w:numFmt w:val="bullet"/>
      <w:lvlText w:val="–"/>
      <w:lvlJc w:val="left"/>
      <w:pPr>
        <w:ind w:left="560" w:hanging="280"/>
      </w:pPr>
      <w:rPr>
        <w:rFonts w:ascii="Arial" w:eastAsia="Arial" w:hAnsi="Arial" w:cs="Arial"/>
        <w:color w:val="2E75B6"/>
      </w:rPr>
    </w:lvl>
    <w:lvl w:ilvl="1" w:tplc="526098BA">
      <w:numFmt w:val="decimal"/>
      <w:lvlText w:val=""/>
      <w:lvlJc w:val="left"/>
    </w:lvl>
    <w:lvl w:ilvl="2" w:tplc="A37435AE">
      <w:numFmt w:val="decimal"/>
      <w:lvlText w:val=""/>
      <w:lvlJc w:val="left"/>
    </w:lvl>
    <w:lvl w:ilvl="3" w:tplc="D766DD84">
      <w:numFmt w:val="decimal"/>
      <w:lvlText w:val=""/>
      <w:lvlJc w:val="left"/>
    </w:lvl>
    <w:lvl w:ilvl="4" w:tplc="C002AB34">
      <w:numFmt w:val="decimal"/>
      <w:lvlText w:val=""/>
      <w:lvlJc w:val="left"/>
    </w:lvl>
    <w:lvl w:ilvl="5" w:tplc="65781C6C">
      <w:numFmt w:val="decimal"/>
      <w:lvlText w:val=""/>
      <w:lvlJc w:val="left"/>
    </w:lvl>
    <w:lvl w:ilvl="6" w:tplc="C430DBF0">
      <w:numFmt w:val="decimal"/>
      <w:lvlText w:val=""/>
      <w:lvlJc w:val="left"/>
    </w:lvl>
    <w:lvl w:ilvl="7" w:tplc="0BBCA9FC">
      <w:numFmt w:val="decimal"/>
      <w:lvlText w:val=""/>
      <w:lvlJc w:val="left"/>
    </w:lvl>
    <w:lvl w:ilvl="8" w:tplc="CE96C980">
      <w:numFmt w:val="decimal"/>
      <w:lvlText w:val=""/>
      <w:lvlJc w:val="left"/>
    </w:lvl>
  </w:abstractNum>
  <w:abstractNum w:abstractNumId="9" w15:restartNumberingAfterBreak="0">
    <w:nsid w:val="67167352"/>
    <w:multiLevelType w:val="multilevel"/>
    <w:tmpl w:val="E91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11CF6"/>
    <w:multiLevelType w:val="multilevel"/>
    <w:tmpl w:val="A39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02C0C"/>
    <w:multiLevelType w:val="multilevel"/>
    <w:tmpl w:val="2B2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8627F"/>
    <w:multiLevelType w:val="multilevel"/>
    <w:tmpl w:val="BC4C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372734">
    <w:abstractNumId w:val="1"/>
  </w:num>
  <w:num w:numId="2" w16cid:durableId="134566708">
    <w:abstractNumId w:val="0"/>
  </w:num>
  <w:num w:numId="3" w16cid:durableId="83693841">
    <w:abstractNumId w:val="4"/>
  </w:num>
  <w:num w:numId="4" w16cid:durableId="1520778379">
    <w:abstractNumId w:val="10"/>
  </w:num>
  <w:num w:numId="5" w16cid:durableId="752626988">
    <w:abstractNumId w:val="6"/>
  </w:num>
  <w:num w:numId="6" w16cid:durableId="733704060">
    <w:abstractNumId w:val="3"/>
  </w:num>
  <w:num w:numId="7" w16cid:durableId="50428548">
    <w:abstractNumId w:val="12"/>
  </w:num>
  <w:num w:numId="8" w16cid:durableId="868642287">
    <w:abstractNumId w:val="7"/>
  </w:num>
  <w:num w:numId="9" w16cid:durableId="80294722">
    <w:abstractNumId w:val="5"/>
  </w:num>
  <w:num w:numId="10" w16cid:durableId="1709454795">
    <w:abstractNumId w:val="2"/>
  </w:num>
  <w:num w:numId="11" w16cid:durableId="87315627">
    <w:abstractNumId w:val="11"/>
  </w:num>
  <w:num w:numId="12" w16cid:durableId="586619791">
    <w:abstractNumId w:val="9"/>
  </w:num>
  <w:num w:numId="13" w16cid:durableId="45004988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5F"/>
    <w:rsid w:val="001C73A7"/>
    <w:rsid w:val="00261163"/>
    <w:rsid w:val="002D5D76"/>
    <w:rsid w:val="00397A26"/>
    <w:rsid w:val="00403B08"/>
    <w:rsid w:val="004A7873"/>
    <w:rsid w:val="00585A77"/>
    <w:rsid w:val="005B5032"/>
    <w:rsid w:val="00674380"/>
    <w:rsid w:val="007A59C6"/>
    <w:rsid w:val="0080252C"/>
    <w:rsid w:val="00912201"/>
    <w:rsid w:val="009846D3"/>
    <w:rsid w:val="00B1785F"/>
    <w:rsid w:val="00BA57D2"/>
    <w:rsid w:val="00CF0650"/>
    <w:rsid w:val="00D939E8"/>
    <w:rsid w:val="00DC6887"/>
    <w:rsid w:val="00DC6E93"/>
    <w:rsid w:val="00E4277E"/>
    <w:rsid w:val="00E73FB1"/>
    <w:rsid w:val="00EE5570"/>
    <w:rsid w:val="00F21BF1"/>
    <w:rsid w:val="00F3074C"/>
    <w:rsid w:val="00F823BD"/>
    <w:rsid w:val="00FF59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0060"/>
  <w15:chartTrackingRefBased/>
  <w15:docId w15:val="{38A4BBFC-00C0-491E-A87F-454B7B7E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BF1"/>
    <w:pPr>
      <w:spacing w:after="0" w:line="240" w:lineRule="auto"/>
    </w:pPr>
    <w:rPr>
      <w:rFonts w:ascii="Arial" w:eastAsia="Arial" w:hAnsi="Arial" w:cs="Arial"/>
      <w:kern w:val="0"/>
      <w:sz w:val="20"/>
      <w:szCs w:val="20"/>
      <w:lang w:eastAsia="en-GB"/>
      <w14:ligatures w14:val="none"/>
    </w:rPr>
  </w:style>
  <w:style w:type="paragraph" w:styleId="Heading1">
    <w:name w:val="heading 1"/>
    <w:basedOn w:val="Normal"/>
    <w:next w:val="Normal"/>
    <w:link w:val="Heading1Char"/>
    <w:uiPriority w:val="9"/>
    <w:qFormat/>
    <w:rsid w:val="00B1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8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85F"/>
    <w:rPr>
      <w:rFonts w:eastAsiaTheme="majorEastAsia" w:cstheme="majorBidi"/>
      <w:color w:val="272727" w:themeColor="text1" w:themeTint="D8"/>
    </w:rPr>
  </w:style>
  <w:style w:type="paragraph" w:styleId="Title">
    <w:name w:val="Title"/>
    <w:basedOn w:val="Normal"/>
    <w:next w:val="Normal"/>
    <w:link w:val="TitleChar"/>
    <w:uiPriority w:val="10"/>
    <w:qFormat/>
    <w:rsid w:val="00B178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85F"/>
    <w:pPr>
      <w:spacing w:before="160"/>
      <w:jc w:val="center"/>
    </w:pPr>
    <w:rPr>
      <w:i/>
      <w:iCs/>
      <w:color w:val="404040" w:themeColor="text1" w:themeTint="BF"/>
    </w:rPr>
  </w:style>
  <w:style w:type="character" w:customStyle="1" w:styleId="QuoteChar">
    <w:name w:val="Quote Char"/>
    <w:basedOn w:val="DefaultParagraphFont"/>
    <w:link w:val="Quote"/>
    <w:uiPriority w:val="29"/>
    <w:rsid w:val="00B1785F"/>
    <w:rPr>
      <w:i/>
      <w:iCs/>
      <w:color w:val="404040" w:themeColor="text1" w:themeTint="BF"/>
    </w:rPr>
  </w:style>
  <w:style w:type="paragraph" w:styleId="ListParagraph">
    <w:name w:val="List Paragraph"/>
    <w:basedOn w:val="Normal"/>
    <w:qFormat/>
    <w:rsid w:val="00B1785F"/>
    <w:pPr>
      <w:ind w:left="720"/>
      <w:contextualSpacing/>
    </w:pPr>
  </w:style>
  <w:style w:type="character" w:styleId="IntenseEmphasis">
    <w:name w:val="Intense Emphasis"/>
    <w:basedOn w:val="DefaultParagraphFont"/>
    <w:uiPriority w:val="21"/>
    <w:qFormat/>
    <w:rsid w:val="00B1785F"/>
    <w:rPr>
      <w:i/>
      <w:iCs/>
      <w:color w:val="0F4761" w:themeColor="accent1" w:themeShade="BF"/>
    </w:rPr>
  </w:style>
  <w:style w:type="paragraph" w:styleId="IntenseQuote">
    <w:name w:val="Intense Quote"/>
    <w:basedOn w:val="Normal"/>
    <w:next w:val="Normal"/>
    <w:link w:val="IntenseQuoteChar"/>
    <w:uiPriority w:val="30"/>
    <w:qFormat/>
    <w:rsid w:val="00B1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85F"/>
    <w:rPr>
      <w:i/>
      <w:iCs/>
      <w:color w:val="0F4761" w:themeColor="accent1" w:themeShade="BF"/>
    </w:rPr>
  </w:style>
  <w:style w:type="character" w:styleId="IntenseReference">
    <w:name w:val="Intense Reference"/>
    <w:basedOn w:val="DefaultParagraphFont"/>
    <w:uiPriority w:val="32"/>
    <w:qFormat/>
    <w:rsid w:val="00B1785F"/>
    <w:rPr>
      <w:b/>
      <w:bCs/>
      <w:smallCaps/>
      <w:color w:val="0F4761" w:themeColor="accent1" w:themeShade="BF"/>
      <w:spacing w:val="5"/>
    </w:rPr>
  </w:style>
  <w:style w:type="paragraph" w:styleId="NormalWeb">
    <w:name w:val="Normal (Web)"/>
    <w:basedOn w:val="Normal"/>
    <w:uiPriority w:val="99"/>
    <w:semiHidden/>
    <w:unhideWhenUsed/>
    <w:rsid w:val="002611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fd2e8e-492d-42d4-90fb-d08326d3ddca}" enabled="0" method="" siteId="{aefd2e8e-492d-42d4-90fb-d08326d3ddc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43</Pages>
  <Words>17278</Words>
  <Characters>98488</Characters>
  <Application>Microsoft Office Word</Application>
  <DocSecurity>0</DocSecurity>
  <Lines>820</Lines>
  <Paragraphs>231</Paragraphs>
  <ScaleCrop>false</ScaleCrop>
  <Company/>
  <LinksUpToDate>false</LinksUpToDate>
  <CharactersWithSpaces>115535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Tom</dc:creator>
  <cp:keywords/>
  <dc:description/>
  <cp:lastModifiedBy>Jiang, Tom</cp:lastModifiedBy>
  <cp:revision>19</cp:revision>
  <dcterms:created xsi:type="dcterms:W3CDTF">2026-04-19T10:49:00Z</dcterms:created>
  <dcterms:modified xsi:type="dcterms:W3CDTF">2026-04-20T13:21:00Z</dcterms:modified>
</cp:coreProperties>
</file>