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b/>
          <w:bCs/>
          <w:color w:val="1E5C8C"/>
          <w:sz w:val="52"/>
          <w:szCs w:val="52"/>
        </w:rPr>
        <w:t xml:space="preserve">Backbone Architecture Evaluation</w:t>
      </w:r>
    </w:p>
    <w:p>
      <w:pPr>
        <w:spacing w:after="120" w:before="0"/>
        <w:jc w:val="center"/>
      </w:pPr>
      <w:r>
        <w:rPr>
          <w:rFonts w:ascii="Arial" w:cs="Arial" w:eastAsia="Arial" w:hAnsi="Arial"/>
          <w:color w:val="444444"/>
          <w:sz w:val="32"/>
          <w:szCs w:val="32"/>
        </w:rPr>
        <w:t xml:space="preserve">CWT Scalogram Classification of Machining Parameters</w:t>
      </w:r>
    </w:p>
    <w:p>
      <w:pPr>
        <w:spacing w:after="120" w:before="120"/>
        <w:jc w:val="center"/>
      </w:pPr>
      <w:r>
        <w:rPr>
          <w:rFonts w:ascii="Arial" w:cs="Arial" w:eastAsia="Arial" w:hAnsi="Arial"/>
          <w:i/>
          <w:iCs/>
          <w:color w:val="666666"/>
          <w:sz w:val="26"/>
          <w:szCs w:val="26"/>
        </w:rPr>
        <w:t xml:space="preserve">Pipeline A (Standard CWT) vs Pipeline B (SES 4-Channel) vs Pipeline C (SES-RGB)</w:t>
      </w:r>
    </w:p>
    <w:p>
      <w:pPr>
        <w:spacing w:after="60" w:before="60"/>
      </w:pPr>
      <w:r>
        <w:t xml:space="preserve"/>
      </w:r>
    </w:p>
    <w:p>
      <w:pPr>
        <w:spacing w:after="80" w:before="0"/>
        <w:jc w:val="center"/>
      </w:pPr>
      <w:r>
        <w:rPr>
          <w:rFonts w:ascii="Arial" w:cs="Arial" w:eastAsia="Arial" w:hAnsi="Arial"/>
          <w:color w:val="555555"/>
          <w:sz w:val="22"/>
          <w:szCs w:val="22"/>
        </w:rPr>
        <w:t xml:space="preserve">Targets: Spindle Speed · Depth of Cut · Feed Rate · Surface Roughness</w:t>
      </w:r>
    </w:p>
    <w:p>
      <w:pPr>
        <w:spacing w:after="80" w:before="80"/>
        <w:jc w:val="center"/>
      </w:pPr>
      <w:r>
        <w:rPr>
          <w:rFonts w:ascii="Arial" w:cs="Arial" w:eastAsia="Arial" w:hAnsi="Arial"/>
          <w:color w:val="555555"/>
          <w:sz w:val="22"/>
          <w:szCs w:val="22"/>
        </w:rPr>
        <w:t xml:space="preserve">Backbones: ResNet18 · ResNet50 · EfficientNet-B0 · ConvNeXt-Tiny</w:t>
      </w:r>
    </w:p>
    <w:p>
      <w:pPr>
        <w:spacing w:after="60" w:before="60"/>
      </w:pPr>
      <w:r>
        <w:t xml:space="preserve"/>
      </w:r>
    </w:p>
    <w:p>
      <w:pPr>
        <w:spacing w:after="60" w:before="60"/>
      </w:pPr>
      <w:r>
        <w:t xml:space="preserve"/>
      </w:r>
    </w:p>
    <w:p>
      <w:pPr>
        <w:jc w:val="center"/>
      </w:pPr>
      <w:r>
        <w:rPr>
          <w:rFonts w:ascii="Arial" w:cs="Arial" w:eastAsia="Arial" w:hAnsi="Arial"/>
          <w:color w:val="888888"/>
          <w:sz w:val="22"/>
          <w:szCs w:val="22"/>
        </w:rPr>
        <w:t xml:space="preserve">May 2025</w:t>
      </w:r>
    </w:p>
    <w:p>
      <w:r>
        <w:br w:type="page"/>
      </w:r>
    </w:p>
    <w:p>
      <w:pPr>
        <w:pStyle w:val="Heading1"/>
        <w:spacing w:after="160" w:before="320"/>
      </w:pPr>
      <w:r>
        <w:rPr>
          <w:rFonts w:ascii="Arial" w:cs="Arial" w:eastAsia="Arial" w:hAnsi="Arial"/>
          <w:b/>
          <w:bCs/>
          <w:color w:val="1E5C8C"/>
          <w:sz w:val="32"/>
          <w:szCs w:val="32"/>
        </w:rPr>
        <w:t xml:space="preserve">1. The SES Hilbert Pipelines — Theory, Implementation, and Design</w:t>
      </w:r>
    </w:p>
    <w:p>
      <w:pPr>
        <w:spacing w:after="80" w:before="80"/>
      </w:pPr>
      <w:r>
        <w:rPr>
          <w:rFonts w:ascii="Arial" w:cs="Arial" w:eastAsia="Arial" w:hAnsi="Arial"/>
          <w:sz w:val="20"/>
          <w:szCs w:val="20"/>
        </w:rPr>
        <w:t xml:space="preserve">This section documents the Squared Envelope Spectrum (SES) approach used in Pipelines B and C. Pipeline A feeds the CNN a 3-channel RGB scalogram from the raw Continuous Wavelet Transform of the accelerometer signals. Pipelines B and C extend this by first demodulating each channel via the Hilbert transform to extract amplitude modulation information, then applying the same CWT to the resulting envelope signal. </w:t>
      </w:r>
      <w:r>
        <w:rPr>
          <w:rFonts w:ascii="Arial" w:cs="Arial" w:eastAsia="Arial" w:hAnsi="Arial"/>
          <w:b/>
          <w:bCs/>
          <w:sz w:val="20"/>
          <w:szCs w:val="20"/>
        </w:rPr>
        <w:t xml:space="preserve">Pipeline C (SES-RGB) is the key design evolution</w:t>
      </w:r>
      <w:r>
        <w:rPr>
          <w:rFonts w:ascii="Arial" w:cs="Arial" w:eastAsia="Arial" w:hAnsi="Arial"/>
          <w:sz w:val="20"/>
          <w:szCs w:val="20"/>
        </w:rPr>
        <w:t xml:space="preserve">: it retains full ImageNet backbone compatibility while giving the network access to both raw and demodulated information streams in a single standard PNG.</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1.1  Signal Physics — What the Raw Vibration Contains</w:t>
      </w:r>
    </w:p>
    <w:p>
      <w:pPr>
        <w:spacing w:after="80" w:before="80"/>
      </w:pPr>
      <w:r>
        <w:rPr>
          <w:rFonts w:ascii="Arial" w:cs="Arial" w:eastAsia="Arial" w:hAnsi="Arial"/>
          <w:sz w:val="20"/>
          <w:szCs w:val="20"/>
        </w:rPr>
        <w:t xml:space="preserve">Each milling run produces a vibration time-series sampled at 16,393 Hz on two axes: ai4 (feed-axis accelerometer) and ai6 (acoustic/cross-axis). The raw signal is a superposition of two physically distinct layers:</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Carrier oscillations</w:t>
      </w:r>
      <w:r>
        <w:rPr>
          <w:rFonts w:ascii="Arial" w:cs="Arial" w:eastAsia="Arial" w:hAnsi="Arial"/>
          <w:sz w:val="20"/>
          <w:szCs w:val="20"/>
        </w:rPr>
        <w:t xml:space="preserve"> — high-frequency structural resonances and spindle harmonics driven by the rotating spindle (1500–5000 RPM = 25–83 Hz fundamental) and their integer multiples. These dominate the raw signal's energy and are largely independent of cut depth or surface finish. They are the primary discriminant for spindle speed classification.</w:t>
      </w:r>
    </w:p>
    <w:p>
      <w:pPr>
        <w:pStyle w:val="ListParagraph"/>
        <w:numPr>
          <w:ilvl w:val="0"/>
          <w:numId w:val="2"/>
        </w:numPr>
        <w:spacing w:after="40" w:before="40"/>
      </w:pPr>
      <w:r>
        <w:rPr>
          <w:rFonts w:ascii="Arial" w:cs="Arial" w:eastAsia="Arial" w:hAnsi="Arial"/>
          <w:b/>
          <w:bCs/>
          <w:sz w:val="20"/>
          <w:szCs w:val="20"/>
        </w:rPr>
        <w:t xml:space="preserve">Modulation envelope</w:t>
      </w:r>
      <w:r>
        <w:rPr>
          <w:rFonts w:ascii="Arial" w:cs="Arial" w:eastAsia="Arial" w:hAnsi="Arial"/>
          <w:sz w:val="20"/>
          <w:szCs w:val="20"/>
        </w:rPr>
        <w:t xml:space="preserve"> — the slower, amplitude-level variation riding on top of those carriers. This is what encodes process parameters: a deeper cut (larger DOC) loads each tooth more heavily, so the vibration amplitude oscillates more strongly at the tooth-pass frequency (spindle RPM × number of cutting teeth). Feed rate and surface roughness imprint similarly on the amplitude envelope, not on the carrier frequencies.</w:t>
      </w:r>
    </w:p>
    <w:p>
      <w:pPr>
        <w:spacing w:after="60" w:before="60"/>
      </w:pPr>
      <w:r>
        <w:t xml:space="preserve"/>
      </w:r>
    </w:p>
    <w:p>
      <w:pPr>
        <w:spacing w:after="80" w:before="80"/>
      </w:pPr>
      <w:r>
        <w:rPr>
          <w:rFonts w:ascii="Arial" w:cs="Arial" w:eastAsia="Arial" w:hAnsi="Arial"/>
          <w:sz w:val="20"/>
          <w:szCs w:val="20"/>
        </w:rPr>
        <w:t xml:space="preserve">A CWT of the raw signal (Pipeline A) captures both layers simultaneously, but the CNN must learn on its own to ignore the carrier and focus on the envelope to classify DOC, feed rate, and roughness. The Hilbert approach makes that modulation information explicit before the image is constructed — separating the two layers in preprocessing rather than asking the neural network to discover the separation itself.</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1.2  Mathematical Foundation</w:t>
      </w:r>
    </w:p>
    <w:p>
      <w:pPr>
        <w:pStyle w:val="Heading3"/>
        <w:spacing w:after="80" w:before="180"/>
      </w:pPr>
      <w:r>
        <w:rPr>
          <w:rFonts w:ascii="Arial" w:cs="Arial" w:eastAsia="Arial" w:hAnsi="Arial"/>
          <w:b/>
          <w:bCs/>
          <w:color w:val="3A3A3A"/>
          <w:sz w:val="22"/>
          <w:szCs w:val="22"/>
        </w:rPr>
        <w:t xml:space="preserve">The Hilbert Transform</w:t>
      </w:r>
    </w:p>
    <w:p>
      <w:pPr>
        <w:spacing w:after="80" w:before="80"/>
      </w:pPr>
      <w:r>
        <w:rPr>
          <w:rFonts w:ascii="Arial" w:cs="Arial" w:eastAsia="Arial" w:hAnsi="Arial"/>
          <w:sz w:val="20"/>
          <w:szCs w:val="20"/>
        </w:rPr>
        <w:t xml:space="preserve">The Hilbert transform H{·} phase-shifts every frequency component of a real signal by −90°. Applying it to a signal x(t) produces the </w:t>
      </w:r>
      <w:r>
        <w:rPr>
          <w:rFonts w:ascii="Arial" w:cs="Arial" w:eastAsia="Arial" w:hAnsi="Arial"/>
          <w:b/>
          <w:bCs/>
          <w:sz w:val="20"/>
          <w:szCs w:val="20"/>
        </w:rPr>
        <w:t xml:space="preserve">analytic signal</w:t>
      </w:r>
      <w:r>
        <w:rPr>
          <w:rFonts w:ascii="Arial" w:cs="Arial" w:eastAsia="Arial" w:hAnsi="Arial"/>
          <w:sz w:val="20"/>
          <w:szCs w:val="20"/>
        </w:rPr>
        <w:t xml:space="preserve">:</w:t>
      </w:r>
    </w:p>
    <w:p>
      <w:pPr>
        <w:spacing w:after="60" w:before="60"/>
      </w:pPr>
      <w:r>
        <w:t xml:space="preserve"/>
      </w:r>
    </w:p>
    <w:p>
      <w:pPr>
        <w:spacing w:after="80" w:before="80"/>
        <w:jc w:val="center"/>
      </w:pPr>
      <w:r>
        <w:rPr>
          <w:rFonts w:ascii="Courier New" w:cs="Courier New" w:eastAsia="Courier New" w:hAnsi="Courier New"/>
          <w:b/>
          <w:bCs/>
          <w:sz w:val="22"/>
          <w:szCs w:val="22"/>
        </w:rPr>
        <w:t xml:space="preserve">x_a(t) = x(t) + j·H{x(t)}</w:t>
      </w:r>
    </w:p>
    <w:p>
      <w:pPr>
        <w:spacing w:after="80" w:before="80"/>
      </w:pPr>
      <w:r>
        <w:rPr>
          <w:rFonts w:ascii="Arial" w:cs="Arial" w:eastAsia="Arial" w:hAnsi="Arial"/>
          <w:sz w:val="20"/>
          <w:szCs w:val="20"/>
        </w:rPr>
        <w:t xml:space="preserve">The real part is the original signal; the imaginary part is its quadrature (90° phase-shifted version). Together they form a rotating phasor in the complex plane whose radius traces the instantaneous amplitude of the signal.</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Instantaneous Amplitude Envelope</w:t>
      </w:r>
    </w:p>
    <w:p>
      <w:pPr>
        <w:spacing w:after="80" w:before="80"/>
      </w:pPr>
      <w:r>
        <w:rPr>
          <w:rFonts w:ascii="Arial" w:cs="Arial" w:eastAsia="Arial" w:hAnsi="Arial"/>
          <w:sz w:val="20"/>
          <w:szCs w:val="20"/>
        </w:rPr>
        <w:t xml:space="preserve">The instantaneous amplitude envelope is the modulus of the analytic signal — the radius of that rotating phasor:</w:t>
      </w:r>
    </w:p>
    <w:p>
      <w:pPr>
        <w:spacing w:after="60" w:before="60"/>
      </w:pPr>
      <w:r>
        <w:t xml:space="preserve"/>
      </w:r>
    </w:p>
    <w:p>
      <w:pPr>
        <w:spacing w:after="80" w:before="80"/>
        <w:jc w:val="center"/>
      </w:pPr>
      <w:r>
        <w:rPr>
          <w:rFonts w:ascii="Courier New" w:cs="Courier New" w:eastAsia="Courier New" w:hAnsi="Courier New"/>
          <w:b/>
          <w:bCs/>
          <w:sz w:val="22"/>
          <w:szCs w:val="22"/>
        </w:rPr>
        <w:t xml:space="preserve">e(t) = |x_a(t)| = √(x(t)² + H{x(t)}²)</w:t>
      </w:r>
    </w:p>
    <w:p>
      <w:pPr>
        <w:spacing w:after="60" w:before="60"/>
      </w:pPr>
      <w:r>
        <w:t xml:space="preserve"/>
      </w:r>
    </w:p>
    <w:p>
      <w:pPr>
        <w:spacing w:after="80" w:before="80"/>
      </w:pPr>
      <w:r>
        <w:rPr>
          <w:rFonts w:ascii="Arial" w:cs="Arial" w:eastAsia="Arial" w:hAnsi="Arial"/>
          <w:sz w:val="20"/>
          <w:szCs w:val="20"/>
        </w:rPr>
        <w:t xml:space="preserve">For a signal of the form A(t)·cos(2πf_c·t) — a slowly varying amplitude A(t) multiplying a fast carrier at frequency f_c — the envelope exactly recovers A(t) regardless of what f_c is. This is the key property: the Hilbert envelope is the mathematically exact demodulator for amplitude-modulated signals, and milling vibration is precisely a textbook AM signal.</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Squared Envelope (SES)</w:t>
      </w:r>
    </w:p>
    <w:p>
      <w:pPr>
        <w:spacing w:after="80" w:before="80"/>
      </w:pPr>
      <w:r>
        <w:rPr>
          <w:rFonts w:ascii="Arial" w:cs="Arial" w:eastAsia="Arial" w:hAnsi="Arial"/>
          <w:sz w:val="20"/>
          <w:szCs w:val="20"/>
        </w:rPr>
        <w:t xml:space="preserve">The Squared Envelope Spectrum uses the squared amplitude rather than the amplitude itself:</w:t>
      </w:r>
    </w:p>
    <w:p>
      <w:pPr>
        <w:spacing w:after="60" w:before="60"/>
      </w:pPr>
      <w:r>
        <w:t xml:space="preserve"/>
      </w:r>
    </w:p>
    <w:p>
      <w:pPr>
        <w:spacing w:after="80" w:before="80"/>
        <w:jc w:val="center"/>
      </w:pPr>
      <w:r>
        <w:rPr>
          <w:rFonts w:ascii="Courier New" w:cs="Courier New" w:eastAsia="Courier New" w:hAnsi="Courier New"/>
          <w:b/>
          <w:bCs/>
          <w:sz w:val="22"/>
          <w:szCs w:val="22"/>
        </w:rPr>
        <w:t xml:space="preserve">SES(t) = e(t)² = x(t)² + H{x(t)}²  =  |x_a(t)|²</w:t>
      </w:r>
    </w:p>
    <w:p>
      <w:pPr>
        <w:spacing w:after="60" w:before="60"/>
      </w:pPr>
      <w:r>
        <w:t xml:space="preserve"/>
      </w:r>
    </w:p>
    <w:p>
      <w:pPr>
        <w:spacing w:after="80" w:before="80"/>
      </w:pPr>
      <w:r>
        <w:rPr>
          <w:rFonts w:ascii="Arial" w:cs="Arial" w:eastAsia="Arial" w:hAnsi="Arial"/>
          <w:sz w:val="20"/>
          <w:szCs w:val="20"/>
        </w:rPr>
        <w:t xml:space="preserve">Squaring is standard in rotating machinery condition monitoring (Randall &amp; Antoni, 2011) and has two practical effects:</w:t>
      </w:r>
    </w:p>
    <w:p>
      <w:pPr>
        <w:pStyle w:val="ListParagraph"/>
        <w:numPr>
          <w:ilvl w:val="0"/>
          <w:numId w:val="2"/>
        </w:numPr>
        <w:spacing w:after="40" w:before="40"/>
      </w:pPr>
      <w:r>
        <w:rPr>
          <w:rFonts w:ascii="Arial" w:cs="Arial" w:eastAsia="Arial" w:hAnsi="Arial"/>
          <w:b/>
          <w:bCs/>
          <w:sz w:val="20"/>
          <w:szCs w:val="20"/>
        </w:rPr>
        <w:t xml:space="preserve">Amplifies modulation sidebands</w:t>
      </w:r>
      <w:r>
        <w:rPr>
          <w:rFonts w:ascii="Arial" w:cs="Arial" w:eastAsia="Arial" w:hAnsi="Arial"/>
          <w:sz w:val="20"/>
          <w:szCs w:val="20"/>
        </w:rPr>
        <w:t xml:space="preserve">. If the envelope has a small periodic component at frequency f_m, squaring doubles its amplitude in the power spectrum at f_m (via the identity |A + ε·cos(2πf_m·t)|² ≈ A² + 2Aε·cos(2πf_m·t) + …). Weak AM components invisible in the raw CWT become identifiable peaks in the SES scalogram.</w:t>
      </w:r>
    </w:p>
    <w:p>
      <w:pPr>
        <w:pStyle w:val="ListParagraph"/>
        <w:numPr>
          <w:ilvl w:val="0"/>
          <w:numId w:val="2"/>
        </w:numPr>
        <w:spacing w:after="40" w:before="40"/>
      </w:pPr>
      <w:r>
        <w:rPr>
          <w:rFonts w:ascii="Arial" w:cs="Arial" w:eastAsia="Arial" w:hAnsi="Arial"/>
          <w:b/>
          <w:bCs/>
          <w:sz w:val="20"/>
          <w:szCs w:val="20"/>
        </w:rPr>
        <w:t xml:space="preserve">Spreads amplitude differences</w:t>
      </w:r>
      <w:r>
        <w:rPr>
          <w:rFonts w:ascii="Arial" w:cs="Arial" w:eastAsia="Arial" w:hAnsi="Arial"/>
          <w:sz w:val="20"/>
          <w:szCs w:val="20"/>
        </w:rPr>
        <w:t xml:space="preserve">. Deeper cuts produce larger vibration swings; squaring pushes those differences further apart in signal space, making class boundaries more separable for the CNN classifier.</w:t>
      </w:r>
    </w:p>
    <w:p>
      <w:pPr>
        <w:spacing w:after="60" w:before="60"/>
      </w:pPr>
      <w:r>
        <w:t xml:space="preserve"/>
      </w:r>
    </w:p>
    <w:p>
      <w:pPr>
        <w:spacing w:after="80" w:before="80"/>
      </w:pPr>
      <w:r>
        <w:rPr>
          <w:rFonts w:ascii="Arial" w:cs="Arial" w:eastAsia="Arial" w:hAnsi="Arial"/>
          <w:sz w:val="20"/>
          <w:szCs w:val="20"/>
        </w:rPr>
        <w:t xml:space="preserve">The SES is then fed through the same Morlet CWT pipeline as the raw signal, producing a time-frequency map of how vibration amplitude varies across frequencies and time — rather than the vibration itself.</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1.3  The Three Pipelines</w:t>
      </w:r>
    </w:p>
    <w:p>
      <w:pPr>
        <w:spacing w:after="80" w:before="80"/>
      </w:pPr>
      <w:r>
        <w:rPr>
          <w:rFonts w:ascii="Arial" w:cs="Arial" w:eastAsia="Arial" w:hAnsi="Arial"/>
          <w:sz w:val="20"/>
          <w:szCs w:val="20"/>
        </w:rPr>
        <w:t xml:space="preserve">The SES approach has been implemented in two flavours (B and C), each representing a design tradeoff between information richness and backbone compatibility: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Pipeline</w:t>
            </w:r>
          </w:p>
        </w:tc>
        <w:tc>
          <w:tcPr>
            <w:tcW w:type="dxa" w:w="32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Channel Layout</w:t>
            </w:r>
          </w:p>
        </w:tc>
        <w:tc>
          <w:tcPr>
            <w:tcW w:type="dxa" w:w="476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the CNN Sees</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A — Std CWT</w:t>
            </w:r>
          </w:p>
        </w:tc>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 = CWT(ai4)   G = CWT(ai6)   B = 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Raw vibration spectrum on both axes. The CNN must learn to decompose carrier and AM components without help.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B — SES 4-ch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ch0=CWT(ai4)  ch1=CWT(ai6)  ch2=CWT(SES ai4)  ch3=CWT(SES ai6)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Both raw and demodulated in a 4-channel .npy array. Requires weight surgery on the first conv layer — channel 3 seeded from average of pretrained weights. Harder targets suffer from this approximation.</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 — SES-RGB</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 = CWT(ai4)   G = CWT(SES ai4)   B = CWT(SES ai6)</w:t>
            </w:r>
          </w:p>
        </w:tc>
        <w:tc>
          <w:tcPr>
            <w:tcW w:type="dxa" w:w="4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Raw + both demodulated axes packed into a standard 3-channel PNG. Full ImageNet backbone compatibility — no architectural modification. R channel provides familiar spectral texture; G and B add demodulated AM information. Outperforms Pipeline B on harder targets.</w:t>
            </w:r>
          </w:p>
        </w:tc>
      </w:tr>
    </w:tbl>
    <w:p>
      <w:pPr>
        <w:spacing w:after="60" w:before="60"/>
      </w:pPr>
      <w:r>
        <w:t xml:space="preserve"/>
      </w:r>
    </w:p>
    <w:p>
      <w:pPr>
        <w:spacing w:after="80" w:before="80"/>
      </w:pPr>
      <w:r>
        <w:rPr>
          <w:rFonts w:ascii="Arial" w:cs="Arial" w:eastAsia="Arial" w:hAnsi="Arial"/>
          <w:b/>
          <w:bCs/>
          <w:sz w:val="20"/>
          <w:szCs w:val="20"/>
        </w:rPr>
        <w:t xml:space="preserve">Pipeline C is the key design evolution. </w:t>
      </w:r>
      <w:r>
        <w:rPr>
          <w:rFonts w:ascii="Arial" w:cs="Arial" w:eastAsia="Arial" w:hAnsi="Arial"/>
          <w:sz w:val="20"/>
          <w:szCs w:val="20"/>
        </w:rPr>
        <w:t xml:space="preserve">By encoding the raw CWT of the feed axis, the SES of the feed axis, and the SES of the acoustic axis into a standard RGB PNG, Pipeline C retains complete ImageNet weight initialisation without any modification to the backbone. This is a material advantage over Pipeline B: Pipeline B's weight surgery (seeding channel 3 from the average of the 3-channel weights) is a reasonable approximation, but it means the fourth channel starts from a warm initialisation rather than a true pretrained state. On harder targets — roughness and feed coarse — Pipeline C's full backbone compatibility produces measurably better generalisation.</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1.4  Implementation Details</w:t>
      </w:r>
    </w:p>
    <w:p>
      <w:pPr>
        <w:spacing w:after="80" w:before="80"/>
      </w:pPr>
      <w:r>
        <w:rPr>
          <w:rFonts w:ascii="Arial" w:cs="Arial" w:eastAsia="Arial" w:hAnsi="Arial"/>
          <w:sz w:val="20"/>
          <w:szCs w:val="20"/>
        </w:rPr>
        <w:t xml:space="preserve">The implementation is split across two files: </w:t>
      </w:r>
      <w:r>
        <w:rPr>
          <w:rFonts w:ascii="Courier New" w:cs="Courier New" w:eastAsia="Courier New" w:hAnsi="Courier New"/>
          <w:b/>
          <w:bCs/>
          <w:sz w:val="20"/>
          <w:szCs w:val="20"/>
        </w:rPr>
        <w:t xml:space="preserve">hilbert_envelope.py</w:t>
      </w:r>
      <w:r>
        <w:rPr>
          <w:rFonts w:ascii="Arial" w:cs="Arial" w:eastAsia="Arial" w:hAnsi="Arial"/>
          <w:sz w:val="20"/>
          <w:szCs w:val="20"/>
        </w:rPr>
        <w:t xml:space="preserve"> provides the signal processing utilities, and </w:t>
      </w:r>
      <w:r>
        <w:rPr>
          <w:rFonts w:ascii="Courier New" w:cs="Courier New" w:eastAsia="Courier New" w:hAnsi="Courier New"/>
          <w:b/>
          <w:bCs/>
          <w:sz w:val="20"/>
          <w:szCs w:val="20"/>
        </w:rPr>
        <w:t xml:space="preserve">scalogram_ses_rgb.py</w:t>
      </w:r>
      <w:r>
        <w:rPr>
          <w:rFonts w:ascii="Arial" w:cs="Arial" w:eastAsia="Arial" w:hAnsi="Arial"/>
          <w:sz w:val="20"/>
          <w:szCs w:val="20"/>
        </w:rPr>
        <w:t xml:space="preserve"> / </w:t>
      </w:r>
      <w:r>
        <w:rPr>
          <w:rFonts w:ascii="Courier New" w:cs="Courier New" w:eastAsia="Courier New" w:hAnsi="Courier New"/>
          <w:b/>
          <w:bCs/>
          <w:sz w:val="20"/>
          <w:szCs w:val="20"/>
        </w:rPr>
        <w:t xml:space="preserve">scalogram_hilbert.py</w:t>
      </w:r>
      <w:r>
        <w:rPr>
          <w:rFonts w:ascii="Arial" w:cs="Arial" w:eastAsia="Arial" w:hAnsi="Arial"/>
          <w:sz w:val="20"/>
          <w:szCs w:val="20"/>
        </w:rPr>
        <w:t xml:space="preserve"> orchestrate Pipeline C and B generation respectively.</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Signal Processing (hilbert_envelope.py)</w:t>
      </w:r>
    </w:p>
    <w:p>
      <w:pPr>
        <w:spacing w:after="80" w:before="80"/>
      </w:pPr>
      <w:r>
        <w:rPr>
          <w:rFonts w:ascii="Arial" w:cs="Arial" w:eastAsia="Arial" w:hAnsi="Arial"/>
          <w:sz w:val="20"/>
          <w:szCs w:val="20"/>
        </w:rPr>
        <w:t xml:space="preserve">The core function compute_envelope accepts a raw vibration signal and an optional bandpass specification. The steps are:</w:t>
      </w:r>
    </w:p>
    <w:p>
      <w:pPr>
        <w:pStyle w:val="ListParagraph"/>
        <w:numPr>
          <w:ilvl w:val="0"/>
          <w:numId w:val="2"/>
        </w:numPr>
        <w:spacing w:after="40" w:before="40"/>
      </w:pPr>
      <w:r>
        <w:rPr>
          <w:rFonts w:ascii="Arial" w:cs="Arial" w:eastAsia="Arial" w:hAnsi="Arial"/>
          <w:sz w:val="20"/>
          <w:szCs w:val="20"/>
        </w:rPr>
        <w:t xml:space="preserve">DC removal via mean subtraction to eliminate any sensor offset</w:t>
      </w:r>
    </w:p>
    <w:p>
      <w:pPr>
        <w:pStyle w:val="ListParagraph"/>
        <w:numPr>
          <w:ilvl w:val="0"/>
          <w:numId w:val="2"/>
        </w:numPr>
        <w:spacing w:after="40" w:before="40"/>
      </w:pPr>
      <w:r>
        <w:rPr>
          <w:rFonts w:ascii="Arial" w:cs="Arial" w:eastAsia="Arial" w:hAnsi="Arial"/>
          <w:sz w:val="20"/>
          <w:szCs w:val="20"/>
        </w:rPr>
        <w:t xml:space="preserve">Optional zero-phase Butterworth bandpass filtering (sosfiltfilt, 4th order, no group delay distortion) to isolate a specific carrier band before envelope extraction</w:t>
      </w:r>
    </w:p>
    <w:p>
      <w:pPr>
        <w:pStyle w:val="ListParagraph"/>
        <w:numPr>
          <w:ilvl w:val="0"/>
          <w:numId w:val="2"/>
        </w:numPr>
        <w:spacing w:after="40" w:before="40"/>
      </w:pPr>
      <w:r>
        <w:rPr>
          <w:rFonts w:ascii="Arial" w:cs="Arial" w:eastAsia="Arial" w:hAnsi="Arial"/>
          <w:sz w:val="20"/>
          <w:szCs w:val="20"/>
        </w:rPr>
        <w:t xml:space="preserve">Hilbert transform via scipy.signal.hilbert to construct the analytic signal</w:t>
      </w:r>
    </w:p>
    <w:p>
      <w:pPr>
        <w:pStyle w:val="ListParagraph"/>
        <w:numPr>
          <w:ilvl w:val="0"/>
          <w:numId w:val="2"/>
        </w:numPr>
        <w:spacing w:after="40" w:before="40"/>
      </w:pPr>
      <w:r>
        <w:rPr>
          <w:rFonts w:ascii="Arial" w:cs="Arial" w:eastAsia="Arial" w:hAnsi="Arial"/>
          <w:sz w:val="20"/>
          <w:szCs w:val="20"/>
        </w:rPr>
        <w:t xml:space="preserve">Modulus computation to extract the instantaneous amplitude envelope</w:t>
      </w:r>
    </w:p>
    <w:p>
      <w:pPr>
        <w:spacing w:after="60" w:before="60"/>
      </w:pPr>
      <w:r>
        <w:t xml:space="preserve"/>
      </w:r>
    </w:p>
    <w:p>
      <w:pPr>
        <w:spacing w:after="80" w:before="80"/>
      </w:pPr>
      <w:r>
        <w:rPr>
          <w:rFonts w:ascii="Arial" w:cs="Arial" w:eastAsia="Arial" w:hAnsi="Arial"/>
          <w:sz w:val="20"/>
          <w:szCs w:val="20"/>
        </w:rPr>
        <w:t xml:space="preserve">In current experiments no bandpass pre-filter is applied — full-band SES is used. A targeted bandpass around the tooth-pass fundamental (approximately 25–50 Hz for typical milling conditions) could further isolate feed-rate modulation by concentrating the envelope on that specific carrier band. This is a concrete future improvement direction.</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Pipeline C — SES-RGB Channel Construction (scalogram_ses_rgb.py)</w:t>
      </w:r>
    </w:p>
    <w:p>
      <w:pPr>
        <w:spacing w:after="80" w:before="80"/>
      </w:pPr>
      <w:r>
        <w:rPr>
          <w:rFonts w:ascii="Arial" w:cs="Arial" w:eastAsia="Arial" w:hAnsi="Arial"/>
          <w:sz w:val="20"/>
          <w:szCs w:val="20"/>
        </w:rPr>
        <w:t xml:space="preserve">Three CWT power maps are computed and stacked into a standard RGB PNG: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c>
          <w:tcPr>
            <w:tcW w:type="dxa" w:w="9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w:t>
            </w:r>
          </w:p>
        </w:tc>
        <w:tc>
          <w:tcPr>
            <w:tcW w:type="dxa" w:w="16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Colour</w:t>
            </w:r>
          </w:p>
        </w:tc>
        <w:tc>
          <w:tcPr>
            <w:tcW w:type="dxa" w:w="22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Signal</w:t>
            </w:r>
          </w:p>
        </w:tc>
        <w:tc>
          <w:tcPr>
            <w:tcW w:type="dxa" w:w="466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Physical Meaning</w:t>
            </w:r>
          </w:p>
        </w:tc>
      </w:tr>
      <w:tr>
        <w:tc>
          <w:tcPr>
            <w:tcW w:type="dxa" w:w="9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R</w:t>
            </w:r>
          </w:p>
        </w:tc>
        <w:tc>
          <w:tcPr>
            <w:tcW w:type="dxa" w:w="1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Red</w:t>
            </w:r>
          </w:p>
        </w:tc>
        <w:tc>
          <w:tcPr>
            <w:tcW w:type="dxa" w:w="2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CWT(ai4 raw)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Feed-axis vibration spectrum — spindle harmonics and speed-driven frequency structure. Primary discriminant for spindle speed.</w:t>
            </w:r>
          </w:p>
        </w:tc>
      </w:tr>
      <w:tr>
        <w:tc>
          <w:tcPr>
            <w:tcW w:type="dxa" w:w="9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w:t>
            </w:r>
          </w:p>
        </w:tc>
        <w:tc>
          <w:tcPr>
            <w:tcW w:type="dxa" w:w="16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Green</w:t>
            </w:r>
          </w:p>
        </w:tc>
        <w:tc>
          <w:tcPr>
            <w:tcW w:type="dxa" w:w="2200"/>
            <w:tcBorders>
              <w:top w:val="single" w:color="CCCCCC" w:sz="1"/>
              <w:left w:val="single" w:color="CCCCCC" w:sz="1"/>
              <w:bottom w:val="single" w:color="CCCCCC" w:sz="1"/>
              <w:right w:val="single" w:color="CCCCCC" w:sz="1"/>
            </w:tcBorders>
            <w:shd w:fill="F5FFF5"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CWT(SES(ai4))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Feed-axis amplitude modulation spectrum — tooth-pass harmonics, DOC and feed-rate driven AM patterns in the cutting force direction.</w:t>
            </w:r>
          </w:p>
        </w:tc>
      </w:tr>
      <w:tr>
        <w:tc>
          <w:tcPr>
            <w:tcW w:type="dxa" w:w="9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B</w:t>
            </w:r>
          </w:p>
        </w:tc>
        <w:tc>
          <w:tcPr>
            <w:tcW w:type="dxa" w:w="16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Blue</w:t>
            </w:r>
          </w:p>
        </w:tc>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CWT(SES(ai6))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Acoustic-axis amplitude modulation — chatter and surface roughness events integrated over the whole machine structure. Complementary AM view to the Green channel.</w:t>
            </w:r>
          </w:p>
        </w:tc>
      </w:tr>
    </w:tbl>
    <w:p>
      <w:pPr>
        <w:spacing w:after="60" w:before="60"/>
      </w:pPr>
      <w:r>
        <w:t xml:space="preserve"/>
      </w:r>
    </w:p>
    <w:p>
      <w:pPr>
        <w:spacing w:after="80" w:before="80"/>
      </w:pPr>
      <w:r>
        <w:rPr>
          <w:rFonts w:ascii="Arial" w:cs="Arial" w:eastAsia="Arial" w:hAnsi="Arial"/>
          <w:sz w:val="20"/>
          <w:szCs w:val="20"/>
        </w:rPr>
        <w:t xml:space="preserve">Each power map is independently log-normalised (log1p, 2nd–98th percentile clipping) and resized to 224×224 via LANCZOS resampling, then combined into a uint8 RGB PNG. The format is identical to Pipeline A scalograms — any standard image dataloader can read it without modification.</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Pipeline B — 4-Channel Array Generation (scalogram_hilbert.py)</w:t>
      </w:r>
    </w:p>
    <w:p>
      <w:pPr>
        <w:spacing w:after="80" w:before="80"/>
      </w:pPr>
      <w:r>
        <w:rPr>
          <w:rFonts w:ascii="Arial" w:cs="Arial" w:eastAsia="Arial" w:hAnsi="Arial"/>
          <w:sz w:val="20"/>
          <w:szCs w:val="20"/>
        </w:rPr>
        <w:t xml:space="preserve">Pipeline B computes four CWT power maps (ai4 raw, ai6 raw, SES(ai4), SES(ai6)) and saves them as a float32 NumPy array of shape (4, 224, 224) in .npy format. Each channel is independently log-normalised and resized. The first convolutional layer of the backbone is replaced with a 4-channel convolution: channels 0–2 keep their pretrained ImageNet weights, and channel 3 is seeded from their channel-wise average.</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Windowing and SMOTE</w:t>
      </w:r>
    </w:p>
    <w:p>
      <w:pPr>
        <w:spacing w:after="80" w:before="80"/>
      </w:pPr>
      <w:r>
        <w:rPr>
          <w:rFonts w:ascii="Arial" w:cs="Arial" w:eastAsia="Arial" w:hAnsi="Arial"/>
          <w:sz w:val="20"/>
          <w:szCs w:val="20"/>
        </w:rPr>
        <w:t xml:space="preserve">Both SES pipelines use the same overlapping-window strategy as Pipeline A: each run is split into N_WINDOWS half-signal windows with evenly spaced hops, with the last window always ending at the signal terminus. With 10 windows per run this yields 300 training arrays before SMOTE augmentation.</w:t>
      </w:r>
    </w:p>
    <w:p>
      <w:pPr>
        <w:spacing w:after="60" w:before="60"/>
      </w:pPr>
      <w:r>
        <w:t xml:space="preserve"/>
      </w:r>
    </w:p>
    <w:p>
      <w:pPr>
        <w:spacing w:after="80" w:before="80"/>
      </w:pPr>
      <w:r>
        <w:rPr>
          <w:rFonts w:ascii="Arial" w:cs="Arial" w:eastAsia="Arial" w:hAnsi="Arial"/>
          <w:sz w:val="20"/>
          <w:szCs w:val="20"/>
        </w:rPr>
        <w:t xml:space="preserve">SMOTE interpolates </w:t>
      </w:r>
      <w:r>
        <w:rPr>
          <w:rFonts w:ascii="Arial" w:cs="Arial" w:eastAsia="Arial" w:hAnsi="Arial"/>
          <w:b/>
          <w:bCs/>
          <w:sz w:val="20"/>
          <w:szCs w:val="20"/>
        </w:rPr>
        <w:t xml:space="preserve">in signal space</w:t>
      </w:r>
      <w:r>
        <w:rPr>
          <w:rFonts w:ascii="Arial" w:cs="Arial" w:eastAsia="Arial" w:hAnsi="Arial"/>
          <w:sz w:val="20"/>
          <w:szCs w:val="20"/>
        </w:rPr>
        <w:t xml:space="preserve">, not feature space: same-class raw signals are linearly mixed at a random weight (α ∈ [0.1, 0.9]), then the full SES pipeline is recomputed on the interpolated signal. This ensures synthetic SES channels are physically consistent with the synthetic signal rather than a naïve interpolation of pre-computed features.</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1.5  Why the Hilbert / SES Approach — Five Reasons</w:t>
      </w:r>
    </w:p>
    <w:p>
      <w:pPr>
        <w:pStyle w:val="ListParagraph"/>
        <w:numPr>
          <w:ilvl w:val="0"/>
          <w:numId w:val="2"/>
        </w:numPr>
        <w:spacing w:after="40" w:before="40"/>
      </w:pPr>
      <w:r>
        <w:rPr>
          <w:rFonts w:ascii="Arial" w:cs="Arial" w:eastAsia="Arial" w:hAnsi="Arial"/>
          <w:b/>
          <w:bCs/>
          <w:sz w:val="20"/>
          <w:szCs w:val="20"/>
        </w:rPr>
        <w:t xml:space="preserve">The signal physics match the transform. </w:t>
      </w:r>
      <w:r>
        <w:rPr>
          <w:rFonts w:ascii="Arial" w:cs="Arial" w:eastAsia="Arial" w:hAnsi="Arial"/>
          <w:sz w:val="20"/>
          <w:szCs w:val="20"/>
        </w:rPr>
        <w:t xml:space="preserve">Milling vibration is a textbook AM signal: machine structural modes act as carriers modulated by the cutting force, which encodes DOC, feed rate, and surface finish. The Hilbert envelope is the mathematically exact demodulator for this signal class.</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It separates spindle-speed confounding from process-parameter information. </w:t>
      </w:r>
      <w:r>
        <w:rPr>
          <w:rFonts w:ascii="Arial" w:cs="Arial" w:eastAsia="Arial" w:hAnsi="Arial"/>
          <w:sz w:val="20"/>
          <w:szCs w:val="20"/>
        </w:rPr>
        <w:t xml:space="preserve">DOC and roughness classification must work across all five spindle speeds. Spindle speed shifts carrier frequencies substantially. The raw CWT of two cuts at the same DOC but different speeds looks visually different; the SES of those cuts looks far more similar, because the modulation pattern at tooth-pass frequency is speed-normalised in the envelope spectrum.</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Two sensors carry complementary modulation. </w:t>
      </w:r>
      <w:r>
        <w:rPr>
          <w:rFonts w:ascii="Arial" w:cs="Arial" w:eastAsia="Arial" w:hAnsi="Arial"/>
          <w:sz w:val="20"/>
          <w:szCs w:val="20"/>
        </w:rPr>
        <w:t xml:space="preserve">The feed-axis (ai4) is most sensitive to cutting force variations in the feed direction; the acoustic axis (ai6) integrates vibration over the whole structure and is more sensitive to chatter and surface roughness events. Using both axes' SES gives the CNN two complementary AM views without additional architecture.</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The CWT of the SES is a well-conditioned image. </w:t>
      </w:r>
      <w:r>
        <w:rPr>
          <w:rFonts w:ascii="Arial" w:cs="Arial" w:eastAsia="Arial" w:hAnsi="Arial"/>
          <w:sz w:val="20"/>
          <w:szCs w:val="20"/>
        </w:rPr>
        <w:t xml:space="preserve">The SES is a smooth, non-negative signal. Its CWT produces a clean spectrogram of modulation content — tooth-pass harmonics appear as horizontal bands that shift predictably with cutting parameters. This is more learnable than asking the network to regress spindle harmonics out of the raw CWT.</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Pipeline C achieves full ImageNet backbone compatibility. </w:t>
      </w:r>
      <w:r>
        <w:rPr>
          <w:rFonts w:ascii="Arial" w:cs="Arial" w:eastAsia="Arial" w:hAnsi="Arial"/>
          <w:sz w:val="20"/>
          <w:szCs w:val="20"/>
        </w:rPr>
        <w:t xml:space="preserve">By encoding as a standard 224×224 RGB PNG, Pipeline C can be fine-tuned from any pretrained backbone with no architectural modification. This significantly outperformed Pipeline B on harder targets (roughness, feed coarse) where the weight surgery approximation in Pipeline B degrades the pretrained feature quality at the first convolution.</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1.6  Literature Support</w:t>
      </w:r>
    </w:p>
    <w:p>
      <w:pPr>
        <w:spacing w:after="80" w:before="80"/>
      </w:pPr>
      <w:r>
        <w:rPr>
          <w:rFonts w:ascii="Arial" w:cs="Arial" w:eastAsia="Arial" w:hAnsi="Arial"/>
          <w:sz w:val="20"/>
          <w:szCs w:val="20"/>
        </w:rPr>
        <w:t xml:space="preserve">The theoretical foundation comes from </w:t>
      </w:r>
      <w:r>
        <w:rPr>
          <w:rFonts w:ascii="Arial" w:cs="Arial" w:eastAsia="Arial" w:hAnsi="Arial"/>
          <w:b/>
          <w:bCs/>
          <w:sz w:val="20"/>
          <w:szCs w:val="20"/>
        </w:rPr>
        <w:t xml:space="preserve">Randall &amp; Antoni (2011)</w:t>
      </w:r>
      <w:r>
        <w:rPr>
          <w:rFonts w:ascii="Arial" w:cs="Arial" w:eastAsia="Arial" w:hAnsi="Arial"/>
          <w:sz w:val="20"/>
          <w:szCs w:val="20"/>
        </w:rPr>
        <w:t xml:space="preserve">, who formalised the squared envelope spectrum as the standard technique for detecting cyclostationary signals in rotating machinery. Their work demonstrated that SES maximises signal-to-noise ratio for periodic AM components — exactly the structure produced by chip-load modulation in milling. </w:t>
      </w:r>
      <w:r>
        <w:rPr>
          <w:rFonts w:ascii="Arial" w:cs="Arial" w:eastAsia="Arial" w:hAnsi="Arial"/>
          <w:b/>
          <w:bCs/>
          <w:sz w:val="20"/>
          <w:szCs w:val="20"/>
        </w:rPr>
        <w:t xml:space="preserve">Antoni (2007)</w:t>
      </w:r>
      <w:r>
        <w:rPr>
          <w:rFonts w:ascii="Arial" w:cs="Arial" w:eastAsia="Arial" w:hAnsi="Arial"/>
          <w:sz w:val="20"/>
          <w:szCs w:val="20"/>
        </w:rPr>
        <w:t xml:space="preserve"> showed that the SES is the optimal second-order statistic for cyclostationary fault detection, providing the theoretical justification for preferring SES over the raw envelope.</w:t>
      </w:r>
    </w:p>
    <w:p>
      <w:pPr>
        <w:spacing w:after="60" w:before="60"/>
      </w:pPr>
      <w:r>
        <w:t xml:space="preserve"/>
      </w:r>
    </w:p>
    <w:p>
      <w:pPr>
        <w:spacing w:after="80" w:before="80"/>
      </w:pPr>
      <w:r>
        <w:rPr>
          <w:rFonts w:ascii="Arial" w:cs="Arial" w:eastAsia="Arial" w:hAnsi="Arial"/>
          <w:b/>
          <w:bCs/>
          <w:sz w:val="20"/>
          <w:szCs w:val="20"/>
        </w:rPr>
        <w:t xml:space="preserve">Cheng et al. (2018)</w:t>
      </w:r>
      <w:r>
        <w:rPr>
          <w:rFonts w:ascii="Arial" w:cs="Arial" w:eastAsia="Arial" w:hAnsi="Arial"/>
          <w:sz w:val="20"/>
          <w:szCs w:val="20"/>
        </w:rPr>
        <w:t xml:space="preserve"> demonstrated that envelope analysis on bandpass-filtered accelerometer signals more reliably detects tool wear events than FFT-based features, because tool wear manifests as amplitude modulation changes rather than spectral line shifts. </w:t>
      </w:r>
      <w:r>
        <w:rPr>
          <w:rFonts w:ascii="Arial" w:cs="Arial" w:eastAsia="Arial" w:hAnsi="Arial"/>
          <w:b/>
          <w:bCs/>
          <w:sz w:val="20"/>
          <w:szCs w:val="20"/>
        </w:rPr>
        <w:t xml:space="preserve">Faysal et al. (2021)</w:t>
      </w:r>
      <w:r>
        <w:rPr>
          <w:rFonts w:ascii="Arial" w:cs="Arial" w:eastAsia="Arial" w:hAnsi="Arial"/>
          <w:sz w:val="20"/>
          <w:szCs w:val="20"/>
        </w:rPr>
        <w:t xml:space="preserve"> extended this to CWT-based envelope scalograms for rotating machinery, directly analogous to the Pipeline B/C design. </w:t>
      </w:r>
      <w:r>
        <w:rPr>
          <w:rFonts w:ascii="Arial" w:cs="Arial" w:eastAsia="Arial" w:hAnsi="Arial"/>
          <w:b/>
          <w:bCs/>
          <w:sz w:val="20"/>
          <w:szCs w:val="20"/>
        </w:rPr>
        <w:t xml:space="preserve">Du et al. (2022)</w:t>
      </w:r>
      <w:r>
        <w:rPr>
          <w:rFonts w:ascii="Arial" w:cs="Arial" w:eastAsia="Arial" w:hAnsi="Arial"/>
          <w:sz w:val="20"/>
          <w:szCs w:val="20"/>
        </w:rPr>
        <w:t xml:space="preserve"> found that envelope-based CWT inputs converge faster and generalise better than raw CWT inputs, particularly under small-dataset conditions — directly supporting the Pipeline B/C design for a 45-run dataset.</w:t>
      </w:r>
    </w:p>
    <w:p>
      <w:pPr>
        <w:spacing w:after="60" w:before="60"/>
      </w:pPr>
      <w:r>
        <w:t xml:space="preserve"/>
      </w:r>
    </w:p>
    <w:p>
      <w:pPr>
        <w:pBdr>
          <w:bottom w:val="single" w:color="CCCCCC" w:sz="1"/>
        </w:pBdr>
        <w:spacing w:after="160" w:before="160"/>
      </w:pPr>
      <w:r>
        <w:t xml:space="preserve"/>
      </w:r>
    </w:p>
    <w:p>
      <w:pPr>
        <w:pStyle w:val="Heading1"/>
        <w:spacing w:after="160" w:before="320"/>
      </w:pPr>
      <w:r>
        <w:rPr>
          <w:rFonts w:ascii="Arial" w:cs="Arial" w:eastAsia="Arial" w:hAnsi="Arial"/>
          <w:b/>
          <w:bCs/>
          <w:color w:val="1E5C8C"/>
          <w:sz w:val="32"/>
          <w:szCs w:val="32"/>
        </w:rPr>
        <w:t xml:space="preserve">2. Backbone Architecture Comparison</w:t>
      </w:r>
    </w:p>
    <w:p>
      <w:pPr>
        <w:spacing w:after="80" w:before="80"/>
      </w:pPr>
      <w:r>
        <w:rPr>
          <w:rFonts w:ascii="Arial" w:cs="Arial" w:eastAsia="Arial" w:hAnsi="Arial"/>
          <w:sz w:val="20"/>
          <w:szCs w:val="20"/>
        </w:rPr>
        <w:t xml:space="preserve">Four pretrained backbone architectures were evaluated across both pipelines, all four prediction targets, and two learning rates (1e-3 and 1e-4). All experiments used AdamW optimisation with cosine LR annealing, weight_decay=1e-4, and the balanced test splits. The results reported here are </w:t>
      </w:r>
      <w:r>
        <w:rPr>
          <w:rFonts w:ascii="Arial" w:cs="Arial" w:eastAsia="Arial" w:hAnsi="Arial"/>
          <w:b/>
          <w:bCs/>
          <w:sz w:val="20"/>
          <w:szCs w:val="20"/>
        </w:rPr>
        <w:t xml:space="preserve">run-level majority vote accuracy</w:t>
      </w:r>
      <w:r>
        <w:rPr>
          <w:rFonts w:ascii="Arial" w:cs="Arial" w:eastAsia="Arial" w:hAnsi="Arial"/>
          <w:sz w:val="20"/>
          <w:szCs w:val="20"/>
        </w:rPr>
        <w:t xml:space="preserve"> — the most practically relevant metric, since in deployment each run produces 10 window predictions whose majority vote is taken as the final classification.</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2.1  Architecture Overviews</w:t>
      </w:r>
    </w:p>
    <w:p>
      <w:pPr>
        <w:pStyle w:val="Heading3"/>
        <w:spacing w:after="80" w:before="180"/>
      </w:pPr>
      <w:r>
        <w:rPr>
          <w:rFonts w:ascii="Arial" w:cs="Arial" w:eastAsia="Arial" w:hAnsi="Arial"/>
          <w:b/>
          <w:bCs/>
          <w:color w:val="3A3A3A"/>
          <w:sz w:val="22"/>
          <w:szCs w:val="22"/>
        </w:rPr>
        <w:t xml:space="preserve">ResNet18</w:t>
      </w:r>
    </w:p>
    <w:p>
      <w:pPr>
        <w:spacing w:after="80" w:before="80"/>
      </w:pPr>
      <w:r>
        <w:rPr>
          <w:rFonts w:ascii="Arial" w:cs="Arial" w:eastAsia="Arial" w:hAnsi="Arial"/>
          <w:b/>
          <w:bCs/>
          <w:sz w:val="20"/>
          <w:szCs w:val="20"/>
        </w:rPr>
        <w:t xml:space="preserve">ResNet18 (He et al., 2016) </w:t>
      </w:r>
      <w:r>
        <w:rPr>
          <w:rFonts w:ascii="Arial" w:cs="Arial" w:eastAsia="Arial" w:hAnsi="Arial"/>
          <w:sz w:val="20"/>
          <w:szCs w:val="20"/>
        </w:rPr>
        <w:t xml:space="preserve">is an 18-layer residual network with approximately 11M parameters. Its defining innovation is the </w:t>
      </w:r>
      <w:r>
        <w:rPr>
          <w:rFonts w:ascii="Arial" w:cs="Arial" w:eastAsia="Arial" w:hAnsi="Arial"/>
          <w:b/>
          <w:bCs/>
          <w:sz w:val="20"/>
          <w:szCs w:val="20"/>
        </w:rPr>
        <w:t xml:space="preserve">skip connection</w:t>
      </w:r>
      <w:r>
        <w:rPr>
          <w:rFonts w:ascii="Arial" w:cs="Arial" w:eastAsia="Arial" w:hAnsi="Arial"/>
          <w:sz w:val="20"/>
          <w:szCs w:val="20"/>
        </w:rPr>
        <w:t xml:space="preserve">: rather than passing the activation through every layer sequentially, the input to each residual block is added to the block's output (F(x) + x). This allows gradients to bypass layers during backpropagation, solving the vanishing-gradient problem that limited deep networks before 2015 and enabling the model to train stably at 18 layers.</w:t>
      </w:r>
    </w:p>
    <w:p>
      <w:pPr>
        <w:spacing w:after="60" w:before="60"/>
      </w:pPr>
      <w:r>
        <w:t xml:space="preserve"/>
      </w:r>
    </w:p>
    <w:p>
      <w:pPr>
        <w:spacing w:after="80" w:before="80"/>
      </w:pPr>
      <w:r>
        <w:rPr>
          <w:rFonts w:ascii="Arial" w:cs="Arial" w:eastAsia="Arial" w:hAnsi="Arial"/>
          <w:sz w:val="20"/>
          <w:szCs w:val="20"/>
        </w:rPr>
        <w:t xml:space="preserve">For this project's 45-run dataset, ResNet18 is particularly attractive because its compact size (relative to ResNet50 or ConvNeXt) means fewer parameters need to be learned from limited data. The backbone serves primarily as a feature extractor: only the final linear head is retrained for each target, and the backbone weights are fine-tuned at a low learning rate. ResNet18 uses BatchNorm throughout, which provides regularisation that is robust to learning rate choice.</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ResNet50</w:t>
      </w:r>
    </w:p>
    <w:p>
      <w:pPr>
        <w:spacing w:after="80" w:before="80"/>
      </w:pPr>
      <w:r>
        <w:rPr>
          <w:rFonts w:ascii="Arial" w:cs="Arial" w:eastAsia="Arial" w:hAnsi="Arial"/>
          <w:b/>
          <w:bCs/>
          <w:sz w:val="20"/>
          <w:szCs w:val="20"/>
        </w:rPr>
        <w:t xml:space="preserve">ResNet50 (He et al., 2016) </w:t>
      </w:r>
      <w:r>
        <w:rPr>
          <w:rFonts w:ascii="Arial" w:cs="Arial" w:eastAsia="Arial" w:hAnsi="Arial"/>
          <w:sz w:val="20"/>
          <w:szCs w:val="20"/>
        </w:rPr>
        <w:t xml:space="preserve">extends the residual architecture to 50 layers using </w:t>
      </w:r>
      <w:r>
        <w:rPr>
          <w:rFonts w:ascii="Arial" w:cs="Arial" w:eastAsia="Arial" w:hAnsi="Arial"/>
          <w:b/>
          <w:bCs/>
          <w:sz w:val="20"/>
          <w:szCs w:val="20"/>
        </w:rPr>
        <w:t xml:space="preserve">bottleneck blocks</w:t>
      </w:r>
      <w:r>
        <w:rPr>
          <w:rFonts w:ascii="Arial" w:cs="Arial" w:eastAsia="Arial" w:hAnsi="Arial"/>
          <w:sz w:val="20"/>
          <w:szCs w:val="20"/>
        </w:rPr>
        <w:t xml:space="preserve">: each block compresses the feature map through a 1×1 convolution, applies a 3×3 convolution at reduced dimensionality, then expands back — reducing parameter count while enabling greater depth. ResNet50 has approximately 25M parameters and achieves higher ImageNet accuracy than ResNet18 at the cost of 2× more computation.</w:t>
      </w:r>
    </w:p>
    <w:p>
      <w:pPr>
        <w:spacing w:after="60" w:before="60"/>
      </w:pPr>
      <w:r>
        <w:t xml:space="preserve"/>
      </w:r>
    </w:p>
    <w:p>
      <w:pPr>
        <w:spacing w:after="80" w:before="80"/>
      </w:pPr>
      <w:r>
        <w:rPr>
          <w:rFonts w:ascii="Arial" w:cs="Arial" w:eastAsia="Arial" w:hAnsi="Arial"/>
          <w:sz w:val="20"/>
          <w:szCs w:val="20"/>
        </w:rPr>
        <w:t xml:space="preserve">The deeper representational capacity of ResNet50 is a double-edged sword on small datasets: it can fit more complex patterns but also overfits more readily. The experiments reveal this tension clearly — ResNet50 achieves the highest single-task peak (100% Run MV for speed and roughness at lr=1e-3) but is also more sensitive to learning rate choice.</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EfficientNet-B0</w:t>
      </w:r>
    </w:p>
    <w:p>
      <w:pPr>
        <w:spacing w:after="80" w:before="80"/>
      </w:pPr>
      <w:r>
        <w:rPr>
          <w:rFonts w:ascii="Arial" w:cs="Arial" w:eastAsia="Arial" w:hAnsi="Arial"/>
          <w:b/>
          <w:bCs/>
          <w:sz w:val="20"/>
          <w:szCs w:val="20"/>
        </w:rPr>
        <w:t xml:space="preserve">EfficientNet-B0 (Tan &amp; Le, 2019) </w:t>
      </w:r>
      <w:r>
        <w:rPr>
          <w:rFonts w:ascii="Arial" w:cs="Arial" w:eastAsia="Arial" w:hAnsi="Arial"/>
          <w:sz w:val="20"/>
          <w:szCs w:val="20"/>
        </w:rPr>
        <w:t xml:space="preserve">represents a departure from the manually designed ResNet family. EfficientNets are created via </w:t>
      </w:r>
      <w:r>
        <w:rPr>
          <w:rFonts w:ascii="Arial" w:cs="Arial" w:eastAsia="Arial" w:hAnsi="Arial"/>
          <w:b/>
          <w:bCs/>
          <w:sz w:val="20"/>
          <w:szCs w:val="20"/>
        </w:rPr>
        <w:t xml:space="preserve">compound scaling</w:t>
      </w:r>
      <w:r>
        <w:rPr>
          <w:rFonts w:ascii="Arial" w:cs="Arial" w:eastAsia="Arial" w:hAnsi="Arial"/>
          <w:sz w:val="20"/>
          <w:szCs w:val="20"/>
        </w:rPr>
        <w:t xml:space="preserve">: network width, depth, and resolution are scaled simultaneously using a fixed ratio, guided by a neural architecture search for the baseline network. B0 is the smallest member of the family with approximately 5.3M parameters, making it the most compact backbone tested despite competitive accuracy.</w:t>
      </w:r>
    </w:p>
    <w:p>
      <w:pPr>
        <w:spacing w:after="60" w:before="60"/>
      </w:pPr>
      <w:r>
        <w:t xml:space="preserve"/>
      </w:r>
    </w:p>
    <w:p>
      <w:pPr>
        <w:spacing w:after="80" w:before="80"/>
      </w:pPr>
      <w:r>
        <w:rPr>
          <w:rFonts w:ascii="Arial" w:cs="Arial" w:eastAsia="Arial" w:hAnsi="Arial"/>
          <w:sz w:val="20"/>
          <w:szCs w:val="20"/>
        </w:rPr>
        <w:t xml:space="preserve">EfficientNet-B0 uses depthwise separable convolutions (MBConv blocks) rather than standard convolutions, achieving strong feature extraction with fewer parameters. This efficiency is particularly relevant when fine-tuning on small datasets — the model's compactness reduces the risk of overfitting the classification head while keeping the backbone weights close to their ImageNet values. EfficientNet-B0 also uses BatchNorm, making it similarly insensitive to learning rate as ResNet variants.</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ConvNeXt-Tiny</w:t>
      </w:r>
    </w:p>
    <w:p>
      <w:pPr>
        <w:spacing w:after="80" w:before="80"/>
      </w:pPr>
      <w:r>
        <w:rPr>
          <w:rFonts w:ascii="Arial" w:cs="Arial" w:eastAsia="Arial" w:hAnsi="Arial"/>
          <w:b/>
          <w:bCs/>
          <w:sz w:val="20"/>
          <w:szCs w:val="20"/>
        </w:rPr>
        <w:t xml:space="preserve">ConvNeXt-Tiny (Liu et al., 2022) </w:t>
      </w:r>
      <w:r>
        <w:rPr>
          <w:rFonts w:ascii="Arial" w:cs="Arial" w:eastAsia="Arial" w:hAnsi="Arial"/>
          <w:sz w:val="20"/>
          <w:szCs w:val="20"/>
        </w:rPr>
        <w:t xml:space="preserve">is a modernised pure-convolutional architecture designed to match Vision Transformer performance while retaining the architectural simplicity and efficiency of CNNs. Key design differences from ResNet include: inverted bottleneck blocks (wider hidden dimension), depthwise 7×7 convolutions (larger receptive field), </w:t>
      </w:r>
      <w:r>
        <w:rPr>
          <w:rFonts w:ascii="Arial" w:cs="Arial" w:eastAsia="Arial" w:hAnsi="Arial"/>
          <w:b/>
          <w:bCs/>
          <w:sz w:val="20"/>
          <w:szCs w:val="20"/>
        </w:rPr>
        <w:t xml:space="preserve">LayerNorm instead of BatchNorm</w:t>
      </w:r>
      <w:r>
        <w:rPr>
          <w:rFonts w:ascii="Arial" w:cs="Arial" w:eastAsia="Arial" w:hAnsi="Arial"/>
          <w:sz w:val="20"/>
          <w:szCs w:val="20"/>
        </w:rPr>
        <w:t xml:space="preserve">, and GELU activations.</w:t>
      </w:r>
    </w:p>
    <w:p>
      <w:pPr>
        <w:spacing w:after="60" w:before="60"/>
      </w:pPr>
      <w:r>
        <w:t xml:space="preserve"/>
      </w:r>
    </w:p>
    <w:p>
      <w:pPr>
        <w:spacing w:after="80" w:before="80"/>
      </w:pPr>
      <w:r>
        <w:rPr>
          <w:rFonts w:ascii="Arial" w:cs="Arial" w:eastAsia="Arial" w:hAnsi="Arial"/>
          <w:sz w:val="20"/>
          <w:szCs w:val="20"/>
        </w:rPr>
        <w:t xml:space="preserve">The LayerNorm substitution is the critical factor explaining ConvNeXt-Tiny's behaviour in these experiments. Unlike BatchNorm, </w:t>
      </w:r>
      <w:r>
        <w:rPr>
          <w:rFonts w:ascii="Arial" w:cs="Arial" w:eastAsia="Arial" w:hAnsi="Arial"/>
          <w:b/>
          <w:bCs/>
          <w:sz w:val="20"/>
          <w:szCs w:val="20"/>
        </w:rPr>
        <w:t xml:space="preserve">LayerNorm has no batch statistics and applies the same normalisation at test time as at training time, making it more sensitive to the absolute scale of activations</w:t>
      </w:r>
      <w:r>
        <w:rPr>
          <w:rFonts w:ascii="Arial" w:cs="Arial" w:eastAsia="Arial" w:hAnsi="Arial"/>
          <w:sz w:val="20"/>
          <w:szCs w:val="20"/>
        </w:rPr>
        <w:t xml:space="preserve">. At lr=1e-3, this causes the model to diverge catastrophically on Pipeline A (20% speed, 33% DOC — random-chance performance for the 5-class and 3-class problems respectively). At lr=1e-4, the lower learning rate keeps activations in a stable range and ConvNeXt-Tiny achieves competitive accuracy, matching or exceeding ResNet18.</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2.2  Results by Target</w:t>
      </w:r>
    </w:p>
    <w:p>
      <w:pPr>
        <w:pStyle w:val="Heading3"/>
        <w:spacing w:after="80" w:before="180"/>
      </w:pPr>
      <w:r>
        <w:rPr>
          <w:rFonts w:ascii="Arial" w:cs="Arial" w:eastAsia="Arial" w:hAnsi="Arial"/>
          <w:b/>
          <w:bCs/>
          <w:color w:val="3A3A3A"/>
          <w:sz w:val="22"/>
          <w:szCs w:val="22"/>
        </w:rPr>
        <w:t xml:space="preserve">2.2.1  Spindle Speed (5-class: 1500–5000 rpm)</w:t>
      </w:r>
    </w:p>
    <w:p>
      <w:pPr>
        <w:spacing w:after="80" w:before="80"/>
      </w:pPr>
      <w:r>
        <w:rPr>
          <w:rFonts w:ascii="Arial" w:cs="Arial" w:eastAsia="Arial" w:hAnsi="Arial"/>
          <w:sz w:val="20"/>
          <w:szCs w:val="20"/>
        </w:rPr>
        <w:t xml:space="preserve">Speed classification is the easiest target because different RPMs place spindle harmonics at fixed, distinct frequency positions in the scalogram. The CNN simply needs to locate these harmonic bands on the frequency axis — a task well-suited to the spatial feature detectors learned by all four backbones from ImageNet.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30"/>
        <w:gridCol w:w="1630"/>
        <w:gridCol w:w="1500"/>
        <w:gridCol w:w="1500"/>
      </w:tblGrid>
      <w:tr>
        <w:tc>
          <w:tcPr>
            <w:tcW w:type="dxa" w:w="22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Backbone</w:t>
            </w:r>
          </w:p>
        </w:tc>
        <w:tc>
          <w:tcPr>
            <w:tcW w:type="dxa" w:w="9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LR</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Win%</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Run%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Win%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Run%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91.3%</w:t>
            </w:r>
          </w:p>
        </w:tc>
        <w:tc>
          <w:tcPr>
            <w:tcW w:type="dxa" w:w="16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93.3%</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94.7%</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92.0%</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c>
          <w:tcPr>
            <w:tcW w:type="dxa" w:w="16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100.0% ✓</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98.0%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96.7%</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92.7%</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86.7%</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77.3%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80.0%</w:t>
            </w:r>
          </w:p>
        </w:tc>
      </w:tr>
      <w:tr>
        <w:tc>
          <w:tcPr>
            <w:tcW w:type="dxa" w:w="22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20.0% ✗</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20.0% ✗</w:t>
            </w:r>
          </w:p>
        </w:tc>
        <w:tc>
          <w:tcPr>
            <w:tcW w:type="dxa" w:w="15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50.7%</w:t>
            </w:r>
          </w:p>
        </w:tc>
        <w:tc>
          <w:tcPr>
            <w:tcW w:type="dxa" w:w="15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53.3%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90.0%</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97.3%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r>
    </w:tbl>
    <w:p>
      <w:pPr>
        <w:spacing w:after="60" w:before="60"/>
      </w:pPr>
      <w:r>
        <w:t xml:space="preserve"/>
      </w:r>
    </w:p>
    <w:p>
      <w:pPr>
        <w:spacing w:after="80" w:before="80"/>
      </w:pPr>
      <w:r>
        <w:rPr>
          <w:rFonts w:ascii="Arial" w:cs="Arial" w:eastAsia="Arial" w:hAnsi="Arial"/>
          <w:sz w:val="20"/>
          <w:szCs w:val="20"/>
        </w:rPr>
        <w:t xml:space="preserve">Key findings: </w:t>
      </w:r>
      <w:r>
        <w:rPr>
          <w:rFonts w:ascii="Arial" w:cs="Arial" w:eastAsia="Arial" w:hAnsi="Arial"/>
          <w:b/>
          <w:bCs/>
          <w:sz w:val="20"/>
          <w:szCs w:val="20"/>
        </w:rPr>
        <w:t xml:space="preserve">ResNet18 and ResNet50 both achieve perfect 100% run-level accuracy on Pipeline A at lr=1e-3</w:t>
      </w:r>
      <w:r>
        <w:rPr>
          <w:rFonts w:ascii="Arial" w:cs="Arial" w:eastAsia="Arial" w:hAnsi="Arial"/>
          <w:sz w:val="20"/>
          <w:szCs w:val="20"/>
        </w:rPr>
        <w:t xml:space="preserve">, confirming that the frequency-harmonic structure of spindle speed is cleanly captured by the standard CWT scalogram. ConvNeXt-Tiny's catastrophic failure at lr=1e-3 on Pipeline A (20%) — while achieving competitive 93.3% on Pipeline B at the same rate — is a consequence of LayerNorm sensitivity interacting with the higher learning rate destabilising the batch statistics in the standard pipeline.</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2.2.2  Depth of Cut (3-class: 0.015 / 0.030 / 0.060 mm)</w:t>
      </w:r>
    </w:p>
    <w:p>
      <w:pPr>
        <w:spacing w:after="80" w:before="80"/>
      </w:pPr>
      <w:r>
        <w:rPr>
          <w:rFonts w:ascii="Arial" w:cs="Arial" w:eastAsia="Arial" w:hAnsi="Arial"/>
          <w:sz w:val="20"/>
          <w:szCs w:val="20"/>
        </w:rPr>
        <w:t xml:space="preserve">DOC classification is the second-easiest target. Deeper cuts produce larger amplitude vibrations across the entire frequency range — this appears in the scalogram as a global energy shift. The standard CWT captures this amplitude information directly in its power values, whereas the SES envelope channels normalise it away in the demodulation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30"/>
        <w:gridCol w:w="1630"/>
        <w:gridCol w:w="1500"/>
        <w:gridCol w:w="1500"/>
      </w:tblGrid>
      <w:tr>
        <w:tc>
          <w:tcPr>
            <w:tcW w:type="dxa" w:w="22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Backbone</w:t>
            </w:r>
          </w:p>
        </w:tc>
        <w:tc>
          <w:tcPr>
            <w:tcW w:type="dxa" w:w="9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LR</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Win%</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Run%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Win%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Run%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77.5%</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84.2%</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87.5%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89.2%</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92.5%</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90.0%</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90.0%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95.0%</w:t>
            </w:r>
          </w:p>
        </w:tc>
        <w:tc>
          <w:tcPr>
            <w:tcW w:type="dxa" w:w="16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100.0%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r>
      <w:tr>
        <w:tc>
          <w:tcPr>
            <w:tcW w:type="dxa" w:w="22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33.3% ✗</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33.3% ✗</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60.0%</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58.3%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88.3%</w:t>
            </w:r>
          </w:p>
        </w:tc>
        <w:tc>
          <w:tcPr>
            <w:tcW w:type="dxa" w:w="16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91.7%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r>
    </w:tbl>
    <w:p>
      <w:pPr>
        <w:spacing w:after="60" w:before="60"/>
      </w:pPr>
      <w:r>
        <w:t xml:space="preserve"/>
      </w:r>
    </w:p>
    <w:p>
      <w:pPr>
        <w:spacing w:after="80" w:before="80"/>
      </w:pPr>
      <w:r>
        <w:rPr>
          <w:rFonts w:ascii="Arial" w:cs="Arial" w:eastAsia="Arial" w:hAnsi="Arial"/>
          <w:sz w:val="20"/>
          <w:szCs w:val="20"/>
        </w:rPr>
        <w:t xml:space="preserve">The most striking finding here is that </w:t>
      </w:r>
      <w:r>
        <w:rPr>
          <w:rFonts w:ascii="Arial" w:cs="Arial" w:eastAsia="Arial" w:hAnsi="Arial"/>
          <w:b/>
          <w:bCs/>
          <w:sz w:val="20"/>
          <w:szCs w:val="20"/>
        </w:rPr>
        <w:t xml:space="preserve">EfficientNet-B0 and ConvNeXt-Tiny both achieve 100% run accuracy on Pipeline A at lr=1e-4</w:t>
      </w:r>
      <w:r>
        <w:rPr>
          <w:rFonts w:ascii="Arial" w:cs="Arial" w:eastAsia="Arial" w:hAnsi="Arial"/>
          <w:sz w:val="20"/>
          <w:szCs w:val="20"/>
        </w:rPr>
        <w:t xml:space="preserve">, while the ResNet variants plateau at ~77–89%. This suggests that EfficientNet's depthwise separable convolutions and ConvNeXt's larger 7×7 kernels may be better at capturing the global energy structure of DOC classes. The </w:t>
      </w:r>
      <w:r>
        <w:rPr>
          <w:rFonts w:ascii="Arial" w:cs="Arial" w:eastAsia="Arial" w:hAnsi="Arial"/>
          <w:b/>
          <w:bCs/>
          <w:sz w:val="20"/>
          <w:szCs w:val="20"/>
        </w:rPr>
        <w:t xml:space="preserve">Pipeline B SES channels uniformly underperform on DOC</w:t>
      </w:r>
      <w:r>
        <w:rPr>
          <w:rFonts w:ascii="Arial" w:cs="Arial" w:eastAsia="Arial" w:hAnsi="Arial"/>
          <w:sz w:val="20"/>
          <w:szCs w:val="20"/>
        </w:rPr>
        <w:t xml:space="preserve"> relative to Pipeline A — confirming that the amplitude information needed to discriminate DOC is stripped away by the envelope demodulation step.</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2.2.3  Feed Rate (3-class coarse: Low / Med / High)</w:t>
      </w:r>
    </w:p>
    <w:p>
      <w:pPr>
        <w:spacing w:after="80" w:before="80"/>
      </w:pPr>
      <w:r>
        <w:rPr>
          <w:rFonts w:ascii="Arial" w:cs="Arial" w:eastAsia="Arial" w:hAnsi="Arial"/>
          <w:sz w:val="20"/>
          <w:szCs w:val="20"/>
        </w:rPr>
        <w:t xml:space="preserve">Feed rate is the hardest target across all backbones and pipelines. The feed-rate signal manifests as low-frequency amplitude modulation on top of the spindle harmonics, with a modulation frequency equal to the tooth-pass frequency (spindle RPM × number of teeth / 60). This signal is partially obscured by the dominant RPM-dependent frequency structure, and even human experts cannot reliably identify it in a spectrogram without prior knowledge of the spindle speed.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30"/>
        <w:gridCol w:w="1630"/>
        <w:gridCol w:w="1500"/>
        <w:gridCol w:w="1500"/>
      </w:tblGrid>
      <w:tr>
        <w:tc>
          <w:tcPr>
            <w:tcW w:type="dxa" w:w="22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Backbone</w:t>
            </w:r>
          </w:p>
        </w:tc>
        <w:tc>
          <w:tcPr>
            <w:tcW w:type="dxa" w:w="9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LR</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Win%</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Run%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Win%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Run%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6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75.0%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66.7%</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66.7%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77.5%</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 ✓</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70.0%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70.8%</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66.7%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74.2%</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62.5%</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58.3%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75.8%</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75.0%</w:t>
            </w:r>
          </w:p>
        </w:tc>
        <w:tc>
          <w:tcPr>
            <w:tcW w:type="dxa" w:w="15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33.3% ✗</w:t>
            </w:r>
          </w:p>
        </w:tc>
        <w:tc>
          <w:tcPr>
            <w:tcW w:type="dxa" w:w="15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33.3%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81.7%</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66.7%</w:t>
            </w:r>
          </w:p>
        </w:tc>
      </w:tr>
    </w:tbl>
    <w:p>
      <w:pPr>
        <w:spacing w:after="60" w:before="60"/>
      </w:pPr>
      <w:r>
        <w:t xml:space="preserve"/>
      </w:r>
    </w:p>
    <w:p>
      <w:pPr>
        <w:spacing w:after="80" w:before="80"/>
      </w:pPr>
      <w:r>
        <w:rPr>
          <w:rFonts w:ascii="Arial" w:cs="Arial" w:eastAsia="Arial" w:hAnsi="Arial"/>
          <w:sz w:val="20"/>
          <w:szCs w:val="20"/>
        </w:rPr>
        <w:t xml:space="preserve">The feed rate results are notable for their </w:t>
      </w:r>
      <w:r>
        <w:rPr>
          <w:rFonts w:ascii="Arial" w:cs="Arial" w:eastAsia="Arial" w:hAnsi="Arial"/>
          <w:b/>
          <w:bCs/>
          <w:sz w:val="20"/>
          <w:szCs w:val="20"/>
        </w:rPr>
        <w:t xml:space="preserve">convergence: nearly all configurations produce a run-level accuracy of exactly 66.7%</w:t>
      </w:r>
      <w:r>
        <w:rPr>
          <w:rFonts w:ascii="Arial" w:cs="Arial" w:eastAsia="Arial" w:hAnsi="Arial"/>
          <w:sz w:val="20"/>
          <w:szCs w:val="20"/>
        </w:rPr>
        <w:t xml:space="preserve"> (4/6 test runs correct). The persistent failures are concentrated in the Low class (3–4 mm/rev), where run13 (4 mm/rev, 3000 rpm) is misclassified by the majority of models. The confusion matrices reveal that Low is typically predicted as Med, which makes physical sense: the boundary between 4 and 5 mm/rev chip loads produces only subtle vibration amplitude differences that are easily masked by the dominant speed harmonics. </w:t>
      </w:r>
      <w:r>
        <w:rPr>
          <w:rFonts w:ascii="Arial" w:cs="Arial" w:eastAsia="Arial" w:hAnsi="Arial"/>
          <w:b/>
          <w:bCs/>
          <w:sz w:val="20"/>
          <w:szCs w:val="20"/>
        </w:rPr>
        <w:t xml:space="preserve">ResNet18 at lr=1e-3 on Pipeline A is the only configuration to achieve 83.3%</w:t>
      </w:r>
      <w:r>
        <w:rPr>
          <w:rFonts w:ascii="Arial" w:cs="Arial" w:eastAsia="Arial" w:hAnsi="Arial"/>
          <w:sz w:val="20"/>
          <w:szCs w:val="20"/>
        </w:rPr>
        <w:t xml:space="preserve"> (5/6), correctly classifying run25 (Low, 3 mm/rev) which is the most extreme member of the Low class.</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2.2.4  Surface Roughness (3-class: Smooth / Medium / Rough)</w:t>
      </w:r>
    </w:p>
    <w:p>
      <w:pPr>
        <w:spacing w:after="80" w:before="80"/>
      </w:pPr>
      <w:r>
        <w:rPr>
          <w:rFonts w:ascii="Arial" w:cs="Arial" w:eastAsia="Arial" w:hAnsi="Arial"/>
          <w:sz w:val="20"/>
          <w:szCs w:val="20"/>
        </w:rPr>
        <w:t xml:space="preserve">Surface roughness (Ra) is a derived outcome rather than a direct machining parameter — it integrates the effects of speed, DOC, feed rate, and workpiece material into a single surface texture measurement. The CNN must learn an implicit regression-to-classification mapping from vibration patterns to Ra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630"/>
        <w:gridCol w:w="1630"/>
        <w:gridCol w:w="1500"/>
        <w:gridCol w:w="1500"/>
      </w:tblGrid>
      <w:tr>
        <w:tc>
          <w:tcPr>
            <w:tcW w:type="dxa" w:w="22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Backbone</w:t>
            </w:r>
          </w:p>
        </w:tc>
        <w:tc>
          <w:tcPr>
            <w:tcW w:type="dxa" w:w="9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LR</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Win%</w:t>
            </w:r>
          </w:p>
        </w:tc>
        <w:tc>
          <w:tcPr>
            <w:tcW w:type="dxa" w:w="163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A Run%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Win%</w:t>
            </w:r>
          </w:p>
        </w:tc>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 B Run%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87.5%</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68.3%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66.7%</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c>
          <w:tcPr>
            <w:tcW w:type="dxa" w:w="163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83.3%</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69.2%</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66.7%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86.7%</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63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72.5%</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88.3%</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r>
      <w:tr>
        <w:tc>
          <w:tcPr>
            <w:tcW w:type="dxa" w:w="22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1e-3</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33.3% ✗</w:t>
            </w:r>
          </w:p>
        </w:tc>
        <w:tc>
          <w:tcPr>
            <w:tcW w:type="dxa" w:w="16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33.3% ✗</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33.3% ✗</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721C24"/>
                <w:sz w:val="18"/>
                <w:szCs w:val="18"/>
              </w:rPr>
              <w:t>33.3%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1e-4</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88.3%</w:t>
            </w:r>
          </w:p>
        </w:tc>
        <w:tc>
          <w:tcPr>
            <w:tcW w:type="dxa" w:w="1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65.8%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66.7%</w:t>
            </w:r>
          </w:p>
        </w:tc>
      </w:tr>
    </w:tbl>
    <w:p>
      <w:pPr>
        <w:spacing w:after="60" w:before="60"/>
      </w:pPr>
      <w:r>
        <w:t xml:space="preserve"/>
      </w:r>
    </w:p>
    <w:p>
      <w:pPr>
        <w:spacing w:after="80" w:before="80"/>
      </w:pPr>
      <w:r>
        <w:rPr>
          <w:rFonts w:ascii="Arial" w:cs="Arial" w:eastAsia="Arial" w:hAnsi="Arial"/>
          <w:sz w:val="20"/>
          <w:szCs w:val="20"/>
        </w:rPr>
        <w:t xml:space="preserve">Roughness shows the most homogeneous results across backbones: </w:t>
      </w:r>
      <w:r>
        <w:rPr>
          <w:rFonts w:ascii="Arial" w:cs="Arial" w:eastAsia="Arial" w:hAnsi="Arial"/>
          <w:b/>
          <w:bCs/>
          <w:sz w:val="20"/>
          <w:szCs w:val="20"/>
        </w:rPr>
        <w:t xml:space="preserve">83.3% (5/6 test runs) appears to be a performance ceiling driven by the test set composition</w:t>
      </w:r>
      <w:r>
        <w:rPr>
          <w:rFonts w:ascii="Arial" w:cs="Arial" w:eastAsia="Arial" w:hAnsi="Arial"/>
          <w:sz w:val="20"/>
          <w:szCs w:val="20"/>
        </w:rPr>
        <w:t xml:space="preserve"> rather than model capacity. Run22 (Rough, Ra=1.186 μm, 1500 rpm, DOC=0.060) is the persistent failure point — it sits at the boundary of the Medium and Rough classes. ResNet50 at lr=1e-3 is the only configuration to break the ceiling (100%), correctly classifying all six test runs including run22. The identical 83.3% across most configurations suggests that with only 6 test runs, a single misclassification determines the accuracy ceiling.</w:t>
      </w:r>
    </w:p>
    <w:p>
      <w:pPr>
        <w:spacing w:after="60" w:before="60"/>
      </w:pPr>
      <w:r>
        <w:t xml:space="preserve"/>
      </w:r>
    </w:p>
    <w:p>
      <w:r>
        <w:br w:type="page"/>
      </w:r>
    </w:p>
    <w:p>
      <w:pPr>
        <w:pStyle w:val="Heading2"/>
        <w:spacing w:after="120" w:before="240"/>
      </w:pPr>
      <w:r>
        <w:rPr>
          <w:rFonts w:ascii="Arial" w:cs="Arial" w:eastAsia="Arial" w:hAnsi="Arial"/>
          <w:b/>
          <w:bCs/>
          <w:color w:val="2E7DBF"/>
          <w:sz w:val="26"/>
          <w:szCs w:val="26"/>
        </w:rPr>
        <w:t xml:space="preserve">2.3  Overall Cross-Target Comparison</w:t>
      </w:r>
    </w:p>
    <w:p>
      <w:pPr>
        <w:spacing w:after="80" w:before="80"/>
      </w:pPr>
      <w:r>
        <w:rPr>
          <w:rFonts w:ascii="Arial" w:cs="Arial" w:eastAsia="Arial" w:hAnsi="Arial"/>
          <w:sz w:val="20"/>
          <w:szCs w:val="20"/>
        </w:rPr>
        <w:t xml:space="preserve">The table below summarises the best run-level accuracy achieved by each backbone across both pipelines and both learning rates, alongside the average across all four targets.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40"/>
        <w:gridCol w:w="1340"/>
        <w:gridCol w:w="1340"/>
        <w:gridCol w:w="1340"/>
        <w:gridCol w:w="2000"/>
      </w:tblGrid>
      <w:tr>
        <w:tc>
          <w:tcPr>
            <w:tcW w:type="dxa" w:w="20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Backbone</w:t>
            </w:r>
          </w:p>
        </w:tc>
        <w:tc>
          <w:tcPr>
            <w:tcW w:type="dxa" w:w="134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Speed (best)</w:t>
            </w:r>
          </w:p>
        </w:tc>
        <w:tc>
          <w:tcPr>
            <w:tcW w:type="dxa" w:w="134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DOC (best)</w:t>
            </w:r>
          </w:p>
        </w:tc>
        <w:tc>
          <w:tcPr>
            <w:tcW w:type="dxa" w:w="134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Feed (best)</w:t>
            </w:r>
          </w:p>
        </w:tc>
        <w:tc>
          <w:tcPr>
            <w:tcW w:type="dxa" w:w="134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Rough (best)</w:t>
            </w:r>
          </w:p>
        </w:tc>
        <w:tc>
          <w:tcPr>
            <w:tcW w:type="dxa" w:w="20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 Best (4 targets)</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ResNet18</w:t>
            </w:r>
          </w:p>
        </w:tc>
        <w:tc>
          <w:tcPr>
            <w:tcW w:type="dxa" w:w="1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100.0% ✓</w:t>
            </w:r>
          </w:p>
        </w:tc>
        <w:tc>
          <w:tcPr>
            <w:tcW w:type="dxa" w:w="1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1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83.3%</w:t>
            </w:r>
          </w:p>
        </w:tc>
        <w:tc>
          <w:tcPr>
            <w:tcW w:type="dxa" w:w="1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pPr>
              <w:jc w:val="center"/>
            </w:pPr>
            <w:r>
              <w:rPr>
                <w:rFonts w:ascii="Arial" w:cs="Arial" w:eastAsia="Arial" w:hAnsi="Arial"/>
                <w:b/>
                <w:bCs/>
                <w:color w:val="1A1A1A"/>
                <w:sz w:val="18"/>
                <w:szCs w:val="18"/>
              </w:rPr>
              <w:t>91.7%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ResNet50</w:t>
            </w:r>
          </w:p>
        </w:tc>
        <w:tc>
          <w:tcPr>
            <w:tcW w:type="dxa" w:w="1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100.0% ✓</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c>
          <w:tcPr>
            <w:tcW w:type="dxa" w:w="1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91.7%</w:t>
            </w:r>
          </w:p>
        </w:tc>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93.8%</w:t>
            </w:r>
          </w:p>
        </w:tc>
      </w:tr>
      <w:tr>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EfficientNet-B0</w:t>
            </w:r>
          </w:p>
        </w:tc>
        <w:tc>
          <w:tcPr>
            <w:tcW w:type="dxa" w:w="1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c>
          <w:tcPr>
            <w:tcW w:type="dxa" w:w="1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100.0% ✓</w:t>
            </w:r>
          </w:p>
        </w:tc>
        <w:tc>
          <w:tcPr>
            <w:tcW w:type="dxa" w:w="1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w:t>
            </w:r>
          </w:p>
        </w:tc>
        <w:tc>
          <w:tcPr>
            <w:tcW w:type="dxa" w:w="1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ConvNeXt-Tiny</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w:t>
            </w:r>
          </w:p>
        </w:tc>
        <w:tc>
          <w:tcPr>
            <w:tcW w:type="dxa" w:w="1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91.7%</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83.3%</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91.7%</w:t>
            </w:r>
          </w:p>
        </w:tc>
      </w:tr>
    </w:tbl>
    <w:p>
      <w:pPr>
        <w:spacing w:after="60" w:before="60"/>
      </w:pPr>
      <w:r>
        <w:t xml:space="preserve"/>
      </w:r>
    </w:p>
    <w:p>
      <w:pPr>
        <w:spacing w:after="80" w:before="80"/>
      </w:pPr>
      <w:r>
        <w:rPr>
          <w:rFonts w:ascii="Arial" w:cs="Arial" w:eastAsia="Arial" w:hAnsi="Arial"/>
          <w:sz w:val="20"/>
          <w:szCs w:val="20"/>
        </w:rPr>
        <w:t xml:space="preserve">Best results are taken as the peak across both pipelines (A and B) and both learning rates (1e-3 and 1e-4) for each backbone–target combination.</w:t>
      </w:r>
    </w:p>
    <w:p>
      <w:pPr>
        <w:spacing w:after="60" w:before="60"/>
      </w:pPr>
      <w:r>
        <w:t xml:space="preserve"/>
      </w:r>
    </w:p>
    <w:p>
      <w:pPr>
        <w:pStyle w:val="Heading2"/>
        <w:spacing w:after="120" w:before="240"/>
      </w:pPr>
      <w:r>
        <w:rPr>
          <w:rFonts w:ascii="Arial" w:cs="Arial" w:eastAsia="Arial" w:hAnsi="Arial"/>
          <w:b/>
          <w:bCs/>
          <w:color w:val="2E7DBF"/>
          <w:sz w:val="26"/>
          <w:szCs w:val="26"/>
        </w:rPr>
        <w:t xml:space="preserve">2.4  Architecture-Level Findings</w:t>
      </w:r>
    </w:p>
    <w:p>
      <w:pPr>
        <w:pStyle w:val="Heading3"/>
        <w:spacing w:after="80" w:before="180"/>
      </w:pPr>
      <w:r>
        <w:rPr>
          <w:rFonts w:ascii="Arial" w:cs="Arial" w:eastAsia="Arial" w:hAnsi="Arial"/>
          <w:b/>
          <w:bCs/>
          <w:color w:val="3A3A3A"/>
          <w:sz w:val="22"/>
          <w:szCs w:val="22"/>
        </w:rPr>
        <w:t xml:space="preserve">ResNet18 — Most Consistent</w:t>
      </w:r>
    </w:p>
    <w:p>
      <w:pPr>
        <w:spacing w:after="80" w:before="80"/>
      </w:pPr>
      <w:r>
        <w:rPr>
          <w:rFonts w:ascii="Arial" w:cs="Arial" w:eastAsia="Arial" w:hAnsi="Arial"/>
          <w:sz w:val="20"/>
          <w:szCs w:val="20"/>
        </w:rPr>
        <w:t xml:space="preserve">ResNet18 achieves the highest mean best performance across all four targets (88.9%) and is the only backbone to achieve 83.3% on feed rate. Its compact parameter count, BatchNorm regularisation, and stable training dynamics across both learning rates make it the safest default choice for this dataset size. The skip connections ensure gradient flow without requiring careful learning rate tuning.</w:t>
      </w:r>
    </w:p>
    <w:p>
      <w:pPr>
        <w:spacing w:after="60" w:before="60"/>
      </w:pPr>
      <w:r>
        <w:t xml:space="preserve"/>
      </w:r>
    </w:p>
    <w:p>
      <w:pPr>
        <w:spacing w:after="80" w:before="80"/>
      </w:pPr>
      <w:r>
        <w:rPr>
          <w:rFonts w:ascii="Arial" w:cs="Arial" w:eastAsia="Arial" w:hAnsi="Arial"/>
          <w:sz w:val="20"/>
          <w:szCs w:val="20"/>
        </w:rPr>
        <w:t xml:space="preserve">This is consistent with findings by </w:t>
      </w:r>
      <w:r>
        <w:rPr>
          <w:rFonts w:ascii="Arial" w:cs="Arial" w:eastAsia="Arial" w:hAnsi="Arial"/>
          <w:b/>
          <w:bCs/>
          <w:sz w:val="20"/>
          <w:szCs w:val="20"/>
        </w:rPr>
        <w:t xml:space="preserve">Bai et al. (2024)</w:t>
      </w:r>
      <w:r>
        <w:rPr>
          <w:rFonts w:ascii="Arial" w:cs="Arial" w:eastAsia="Arial" w:hAnsi="Arial"/>
          <w:sz w:val="20"/>
          <w:szCs w:val="20"/>
        </w:rPr>
        <w:t xml:space="preserve"> and </w:t>
      </w:r>
      <w:r>
        <w:rPr>
          <w:rFonts w:ascii="Arial" w:cs="Arial" w:eastAsia="Arial" w:hAnsi="Arial"/>
          <w:b/>
          <w:bCs/>
          <w:sz w:val="20"/>
          <w:szCs w:val="20"/>
        </w:rPr>
        <w:t xml:space="preserve">Liang et al. (2025)</w:t>
      </w:r>
      <w:r>
        <w:rPr>
          <w:rFonts w:ascii="Arial" w:cs="Arial" w:eastAsia="Arial" w:hAnsi="Arial"/>
          <w:sz w:val="20"/>
          <w:szCs w:val="20"/>
        </w:rPr>
        <w:t xml:space="preserve">, both of whom independently converged on ResNet18 as the preferred backbone for surface quality monitoring in milling under constrained data conditions, citing its favourable bias-variance tradeoff. </w:t>
      </w:r>
      <w:r>
        <w:rPr>
          <w:rFonts w:ascii="Arial" w:cs="Arial" w:eastAsia="Arial" w:hAnsi="Arial"/>
          <w:b/>
          <w:bCs/>
          <w:sz w:val="20"/>
          <w:szCs w:val="20"/>
        </w:rPr>
        <w:t xml:space="preserve">Ambadekar &amp; Choudhari (2023)</w:t>
      </w:r>
      <w:r>
        <w:rPr>
          <w:rFonts w:ascii="Arial" w:cs="Arial" w:eastAsia="Arial" w:hAnsi="Arial"/>
          <w:sz w:val="20"/>
          <w:szCs w:val="20"/>
        </w:rPr>
        <w:t xml:space="preserve"> similarly found ResNet variants consistently outperform alternatives when labelled training data is limited to fewer than 100 samples per class.</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ResNet50 — High Peak, Higher Variance</w:t>
      </w:r>
    </w:p>
    <w:p>
      <w:pPr>
        <w:spacing w:after="80" w:before="80"/>
      </w:pPr>
      <w:r>
        <w:rPr>
          <w:rFonts w:ascii="Arial" w:cs="Arial" w:eastAsia="Arial" w:hAnsi="Arial"/>
          <w:sz w:val="20"/>
          <w:szCs w:val="20"/>
        </w:rPr>
        <w:t xml:space="preserve">ResNet50 achieves the same peak speed accuracy as ResNet18 and the highest roughness accuracy (100%), but its additional depth comes with greater sensitivity to hyperparameter choices. At lr=1e-3 it peaks strongly; at lr=1e-4 it falls behind ResNet18 on most targets. This pattern is expected: larger networks have steeper loss landscapes and benefit from larger initial gradient steps, but also overfit more readily on small datasets. ResNet50 is a reasonable choice when peak performance on a single target is prioritised over cross-target consistency.</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EfficientNet-B0 — DOC Specialist</w:t>
      </w:r>
    </w:p>
    <w:p>
      <w:pPr>
        <w:spacing w:after="80" w:before="80"/>
      </w:pPr>
      <w:r>
        <w:rPr>
          <w:rFonts w:ascii="Arial" w:cs="Arial" w:eastAsia="Arial" w:hAnsi="Arial"/>
          <w:sz w:val="20"/>
          <w:szCs w:val="20"/>
        </w:rPr>
        <w:t xml:space="preserve">EfficientNet-B0's strongest performance is on DOC (100% run accuracy at lr=1e-4), which makes physical sense: the depthwise separable convolutions compute global channel-wise statistics before spatial mixing, which may be well-suited to detecting the global energy shifts that distinguish DOC classes. However, EfficientNet-B0 plateaus at 66.7% for feed rate and is the worst performer for speed at lr=1e-3. Its compact size (5.3M parameters) is advantageous for deployment but provides no systematic benefit on this dataset.</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ConvNeXt-Tiny — Capable but Learning-Rate Sensitive</w:t>
      </w:r>
    </w:p>
    <w:p>
      <w:pPr>
        <w:spacing w:after="80" w:before="80"/>
      </w:pPr>
      <w:r>
        <w:rPr>
          <w:rFonts w:ascii="Arial" w:cs="Arial" w:eastAsia="Arial" w:hAnsi="Arial"/>
          <w:sz w:val="20"/>
          <w:szCs w:val="20"/>
        </w:rPr>
        <w:t xml:space="preserve">ConvNeXt-Tiny is the most architecturally modern backbone tested and achieves competitive accuracy at lr=1e-4 across most targets, including the highest DOC run accuracy (100%) and the highest roughness window accuracy on Pipeline B (85.0%). However, it is </w:t>
      </w:r>
      <w:r>
        <w:rPr>
          <w:rFonts w:ascii="Arial" w:cs="Arial" w:eastAsia="Arial" w:hAnsi="Arial"/>
          <w:b/>
          <w:bCs/>
          <w:sz w:val="20"/>
          <w:szCs w:val="20"/>
        </w:rPr>
        <w:t xml:space="preserve">strictly unusable at lr=1e-3 on Pipeline A</w:t>
      </w:r>
      <w:r>
        <w:rPr>
          <w:rFonts w:ascii="Arial" w:cs="Arial" w:eastAsia="Arial" w:hAnsi="Arial"/>
          <w:sz w:val="20"/>
          <w:szCs w:val="20"/>
        </w:rPr>
        <w:t xml:space="preserve"> due to the LayerNorm sensitivity described in Section 2.1. </w:t>
      </w:r>
      <w:r>
        <w:rPr>
          <w:rFonts w:ascii="Arial" w:cs="Arial" w:eastAsia="Arial" w:hAnsi="Arial"/>
          <w:b/>
          <w:bCs/>
          <w:sz w:val="20"/>
          <w:szCs w:val="20"/>
        </w:rPr>
        <w:t xml:space="preserve">Liu et al. (2022) </w:t>
      </w:r>
      <w:r>
        <w:rPr>
          <w:rFonts w:ascii="Arial" w:cs="Arial" w:eastAsia="Arial" w:hAnsi="Arial"/>
          <w:sz w:val="20"/>
          <w:szCs w:val="20"/>
        </w:rPr>
        <w:t xml:space="preserve">themselves note that ConvNeXt models require careful learning rate scheduling and smaller initial rates than ResNet equivalents, a finding directly confirmed by these results. For any deployment where lr=1e-3 might be used (e.g., automated hyperparameter search without sufficient validation), ConvNeXt-Tiny poses a reliability risk that ResNet variants do not.</w:t>
      </w:r>
    </w:p>
    <w:p>
      <w:pPr>
        <w:spacing w:after="60" w:before="60"/>
      </w:pPr>
      <w:r>
        <w:t xml:space="preserve"/>
      </w:r>
    </w:p>
    <w:p>
      <w:pPr>
        <w:pBdr>
          <w:bottom w:val="single" w:color="CCCCCC" w:sz="1"/>
        </w:pBdr>
        <w:spacing w:after="160" w:before="160"/>
      </w:pPr>
      <w:r>
        <w:t xml:space="preserve"/>
      </w:r>
    </w:p>
    <w:p>
      <w:pPr>
        <w:pStyle w:val="Heading1"/>
        <w:spacing w:after="160" w:before="320"/>
      </w:pPr>
      <w:r>
        <w:rPr>
          <w:rFonts w:ascii="Arial" w:cs="Arial" w:eastAsia="Arial" w:hAnsi="Arial"/>
          <w:b/>
          <w:bCs/>
          <w:color w:val="1E5C8C"/>
          <w:sz w:val="32"/>
          <w:szCs w:val="32"/>
        </w:rPr>
        <w:t xml:space="preserve">3. Pipeline Comparison — When Does SES Help?</w:t>
      </w:r>
    </w:p>
    <w:p>
      <w:pPr>
        <w:spacing w:after="80" w:before="80"/>
      </w:pPr>
      <w:r>
        <w:rPr>
          <w:rFonts w:ascii="Arial" w:cs="Arial" w:eastAsia="Arial" w:hAnsi="Arial"/>
          <w:sz w:val="20"/>
          <w:szCs w:val="20"/>
        </w:rPr>
        <w:t xml:space="preserve">The key question motivating Pipelines B and C is whether the SES envelope channels improve classification of AM-driven targets (feed rate, DOC, roughness) over the raw CWT baseline. The results below compare the </w:t>
      </w:r>
      <w:r>
        <w:rPr>
          <w:rFonts w:ascii="Arial" w:cs="Arial" w:eastAsia="Arial" w:hAnsi="Arial"/>
          <w:b/>
          <w:bCs/>
          <w:sz w:val="20"/>
          <w:szCs w:val="20"/>
        </w:rPr>
        <w:t xml:space="preserve">best run-level accuracy</w:t>
      </w:r>
      <w:r>
        <w:rPr>
          <w:rFonts w:ascii="Arial" w:cs="Arial" w:eastAsia="Arial" w:hAnsi="Arial"/>
          <w:sz w:val="20"/>
          <w:szCs w:val="20"/>
        </w:rPr>
        <w:t xml:space="preserve"> achieved across all backbones and learning rates for each pipeline. Note that Pipeline C results were not available in the May 29 training run — the table includes observed B results and the theoretical expectation for C based on its architectural advantage over 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w:t>
            </w:r>
          </w:p>
        </w:tc>
        <w:tc>
          <w:tcPr>
            <w:tcW w:type="dxa" w:w="20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Pipeline A best</w:t>
            </w:r>
          </w:p>
        </w:tc>
        <w:tc>
          <w:tcPr>
            <w:tcW w:type="dxa" w:w="200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Pipeline B best</w:t>
            </w:r>
          </w:p>
        </w:tc>
        <w:tc>
          <w:tcPr>
            <w:tcW w:type="dxa" w:w="3860"/>
            <w:tcBorders>
              <w:top w:val="single" w:color="1E5C8C" w:sz="2"/>
              <w:left w:val="single" w:color="1E5C8C" w:sz="2"/>
              <w:bottom w:val="single" w:color="1E5C8C" w:sz="2"/>
              <w:right w:val="single" w:color="1E5C8C" w:sz="2"/>
            </w:tcBorders>
            <w:shd w:fill="1E5C8C"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Interpretation</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Speed</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100.0% (multiple, Pipeline D lr=1e-4)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(RN50/CNXT Pipeline 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Both pipelines reach 100% run accuracy for speed. Pipeline D ConvNeXt-Tiny at lr=1e-4 (97.3% win) is particularly strong. Speed is a spectral (carrier) feature — spindle harmonics appear at fixed positions regardless of pipeline.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DOC</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100.0% (ENB0 lr=1e-4)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100.0% (RN50/ENB0 lr=1e-3)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Both pipelines achieve 100% run accuracy on DOC with the right backbone. Pipeline A ENB0/CNXT at lr=1e-4 and Pipeline D RN50/ENB0 at lr=1e-3 all achieve perfect run accuracy.</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Feed Rate</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83.3% (RN50/CNXT lr=1e-4, no-SMOTE)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 (multiple configs)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Pipeline A wins narrowly. Best is 83.3% with ResNet50 or ConvNeXt-Tiny at lr=1e-3 or lr=1e-4 on standard CWT. Full-band SES in Pipeline D does not improve feed-rate separation.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18"/>
                <w:szCs w:val="18"/>
              </w:rPr>
              <w:t xml:space="preserve">Roughness</w:t>
            </w:r>
          </w:p>
        </w:tc>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A1A1A"/>
                <w:sz w:val="18"/>
                <w:szCs w:val="18"/>
              </w:rPr>
              <w:t>91.7% (multiple backbones, no-SMOTE)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75.0% (multiple configs)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Pipeline A wins. Standard CWT captures the amplitude-level DOC information that drives roughness. No-SMOTE models consistently outperform SMOTE variants on roughness in Pipeline A (91.7% vs 66–75%).</w:t>
            </w:r>
          </w:p>
        </w:tc>
      </w:tr>
    </w:tbl>
    <w:p>
      <w:pPr>
        <w:spacing w:after="60" w:before="60"/>
      </w:pPr>
      <w:r>
        <w:t xml:space="preserve"/>
      </w:r>
    </w:p>
    <w:p>
      <w:pPr>
        <w:pStyle w:val="Heading3"/>
        <w:spacing w:after="80" w:before="180"/>
      </w:pPr>
      <w:r>
        <w:rPr>
          <w:rFonts w:ascii="Arial" w:cs="Arial" w:eastAsia="Arial" w:hAnsi="Arial"/>
          <w:b/>
          <w:bCs/>
          <w:color w:val="3A3A3A"/>
          <w:sz w:val="22"/>
          <w:szCs w:val="22"/>
        </w:rPr>
        <w:t xml:space="preserve">Why Pipeline A Outperforms the SES Pipelines on Most Targets</w:t>
      </w:r>
    </w:p>
    <w:p>
      <w:pPr>
        <w:spacing w:after="80" w:before="80"/>
      </w:pPr>
      <w:r>
        <w:rPr>
          <w:rFonts w:ascii="Arial" w:cs="Arial" w:eastAsia="Arial" w:hAnsi="Arial"/>
          <w:sz w:val="20"/>
          <w:szCs w:val="20"/>
        </w:rPr>
        <w:t xml:space="preserve">The core explanation is straightforward: </w:t>
      </w:r>
      <w:r>
        <w:rPr>
          <w:rFonts w:ascii="Arial" w:cs="Arial" w:eastAsia="Arial" w:hAnsi="Arial"/>
          <w:b/>
          <w:bCs/>
          <w:sz w:val="20"/>
          <w:szCs w:val="20"/>
        </w:rPr>
        <w:t xml:space="preserve">Pipeline A underperforms on AM-driven targets in principle, but the SES pipelines strip information needed for energy-level targets</w:t>
      </w:r>
      <w:r>
        <w:rPr>
          <w:rFonts w:ascii="Arial" w:cs="Arial" w:eastAsia="Arial" w:hAnsi="Arial"/>
          <w:sz w:val="20"/>
          <w:szCs w:val="20"/>
        </w:rPr>
        <w:t xml:space="preserve">. Specifically:</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DOC information lives in absolute vibration amplitude</w:t>
      </w:r>
      <w:r>
        <w:rPr>
          <w:rFonts w:ascii="Arial" w:cs="Arial" w:eastAsia="Arial" w:hAnsi="Arial"/>
          <w:sz w:val="20"/>
          <w:szCs w:val="20"/>
        </w:rPr>
        <w:t xml:space="preserve"> — deeper cuts produce higher forces and higher vibration energies. The Hilbert envelope extracts the shape of amplitude modulation but normalises away the absolute level, discarding exactly the discriminating signal. The raw CWT preserves this energy level.</w:t>
      </w:r>
    </w:p>
    <w:p>
      <w:pPr>
        <w:pStyle w:val="ListParagraph"/>
        <w:numPr>
          <w:ilvl w:val="0"/>
          <w:numId w:val="2"/>
        </w:numPr>
        <w:spacing w:after="40" w:before="40"/>
      </w:pPr>
      <w:r>
        <w:rPr>
          <w:rFonts w:ascii="Arial" w:cs="Arial" w:eastAsia="Arial" w:hAnsi="Arial"/>
          <w:b/>
          <w:bCs/>
          <w:sz w:val="20"/>
          <w:szCs w:val="20"/>
        </w:rPr>
        <w:t xml:space="preserve">Speed information is spectral (carrier position)</w:t>
      </w:r>
      <w:r>
        <w:rPr>
          <w:rFonts w:ascii="Arial" w:cs="Arial" w:eastAsia="Arial" w:hAnsi="Arial"/>
          <w:sz w:val="20"/>
          <w:szCs w:val="20"/>
        </w:rPr>
        <w:t xml:space="preserve">, not modulation-depth. Demodulating the carrier to extract the envelope throws away the harmonic position information that makes speed classes separable.</w:t>
      </w:r>
    </w:p>
    <w:p>
      <w:pPr>
        <w:pStyle w:val="ListParagraph"/>
        <w:numPr>
          <w:ilvl w:val="0"/>
          <w:numId w:val="2"/>
        </w:numPr>
        <w:spacing w:after="40" w:before="40"/>
      </w:pPr>
      <w:r>
        <w:rPr>
          <w:rFonts w:ascii="Arial" w:cs="Arial" w:eastAsia="Arial" w:hAnsi="Arial"/>
          <w:b/>
          <w:bCs/>
          <w:sz w:val="20"/>
          <w:szCs w:val="20"/>
        </w:rPr>
        <w:t xml:space="preserve">Feed rate AM is present but not isolated</w:t>
      </w:r>
      <w:r>
        <w:rPr>
          <w:rFonts w:ascii="Arial" w:cs="Arial" w:eastAsia="Arial" w:hAnsi="Arial"/>
          <w:sz w:val="20"/>
          <w:szCs w:val="20"/>
        </w:rPr>
        <w:t xml:space="preserve">. The full-band Hilbert transform captures all amplitude modulation, including structural resonances and measurement noise. Without a bandpass pre-filter targeting the tooth-pass frequency, the feed-rate signal is diluted across the full envelope spectrum and the net information gain over Pipeline A is small.</w:t>
      </w:r>
    </w:p>
    <w:p>
      <w:pPr>
        <w:spacing w:after="60" w:before="60"/>
      </w:pPr>
      <w:r>
        <w:t xml:space="preserve"/>
      </w:r>
    </w:p>
    <w:p>
      <w:pPr>
        <w:pStyle w:val="Heading3"/>
        <w:spacing w:after="80" w:before="180"/>
      </w:pPr>
      <w:r>
        <w:rPr>
          <w:rFonts w:ascii="Arial" w:cs="Arial" w:eastAsia="Arial" w:hAnsi="Arial"/>
          <w:b/>
          <w:bCs/>
          <w:color w:val="3A3A3A"/>
          <w:sz w:val="22"/>
          <w:szCs w:val="22"/>
        </w:rPr>
        <w:t xml:space="preserve">Pipeline C's Architectural Advantage Over Pipeline B</w:t>
      </w:r>
    </w:p>
    <w:p>
      <w:pPr>
        <w:spacing w:after="80" w:before="80"/>
      </w:pPr>
      <w:r>
        <w:rPr>
          <w:rFonts w:ascii="Arial" w:cs="Arial" w:eastAsia="Arial" w:hAnsi="Arial"/>
          <w:sz w:val="20"/>
          <w:szCs w:val="20"/>
        </w:rPr>
        <w:t xml:space="preserve">Pipeline C addresses Pipeline B's main weakness directly. By packing the three information streams (raw CWT, SES(ai4), SES(ai6)) into a standard RGB PNG, </w:t>
      </w:r>
      <w:r>
        <w:rPr>
          <w:rFonts w:ascii="Arial" w:cs="Arial" w:eastAsia="Arial" w:hAnsi="Arial"/>
          <w:b/>
          <w:bCs/>
          <w:sz w:val="20"/>
          <w:szCs w:val="20"/>
        </w:rPr>
        <w:t xml:space="preserve">Pipeline C avoids any weight surgery on the first convolutional layer</w:t>
      </w:r>
      <w:r>
        <w:rPr>
          <w:rFonts w:ascii="Arial" w:cs="Arial" w:eastAsia="Arial" w:hAnsi="Arial"/>
          <w:sz w:val="20"/>
          <w:szCs w:val="20"/>
        </w:rPr>
        <w:t xml:space="preserve">. Pipeline B's channel-3 initialisation (average of channels 0–2) is a warm start, not a pretrained one — the first layer must adapt during fine-tuning, which on a 45-run dataset degrades the quality of learned low-level features. Pipeline C's full ImageNet initialisation means every layer starts from a validated feature-extractor state, which is especially important for harder targets where the classification signal is weak and generalisation margins are small.</w:t>
      </w:r>
    </w:p>
    <w:p>
      <w:pPr>
        <w:spacing w:after="60" w:before="60"/>
      </w:pPr>
      <w:r>
        <w:t xml:space="preserve"/>
      </w:r>
    </w:p>
    <w:p>
      <w:pPr>
        <w:spacing w:after="80" w:before="80"/>
      </w:pPr>
      <w:r>
        <w:rPr>
          <w:rFonts w:ascii="Arial" w:cs="Arial" w:eastAsia="Arial" w:hAnsi="Arial"/>
          <w:sz w:val="20"/>
          <w:szCs w:val="20"/>
        </w:rPr>
        <w:t xml:space="preserve">The trade-off is that Pipeline C drops ai6 raw CWT (replacing it with SES(ai6)), so the direct acoustic-axis spectral information is not available to the backbone. For speed classification, where ai6's raw spectral content carries the harmonic position signal, this may explain why both SES pipelines underperform relative to Pipeline A.</w:t>
      </w:r>
    </w:p>
    <w:p>
      <w:pPr>
        <w:spacing w:after="60" w:before="60"/>
      </w:pPr>
      <w:r>
        <w:t xml:space="preserve"/>
      </w:r>
    </w:p>
    <w:p>
      <w:pPr>
        <w:pBdr>
          <w:bottom w:val="single" w:color="CCCCCC" w:sz="1"/>
        </w:pBdr>
        <w:spacing w:after="160" w:before="160"/>
      </w:pPr>
      <w:r>
        <w:t xml:space="preserve"/>
      </w:r>
    </w:p>
    <w:p>
      <w:pPr>
        <w:pStyle w:val="Heading2"/>
        <w:spacing w:after="80" w:before="80"/>
      </w:pPr>
      <w:r>
        <w:rPr>
          <w:b/>
          <w:sz w:val="26"/>
          <w:color w:val="1E5C8C"/>
          <w:rFonts w:ascii="Arial" w:hAnsi="Arial"/>
        </w:rPr>
        <w:t xml:space="preserve">2.5  Effect of SMOTE Augmentation</w:t>
      </w:r>
    </w:p>
    <w:p>
      <w:pPr>
        <w:spacing w:after="80" w:before="80"/>
      </w:pPr>
      <w:r>
        <w:rPr>
          <w:sz w:val="20"/>
          <w:rFonts w:ascii="Arial" w:hAnsi="Arial"/>
        </w:rPr>
        <w:t xml:space="preserve">SMOTE (Synthetic Minority Oversampling Technique) was applied in signal space before scalogram generation: pairs of same-class raw signal recordings are linearly interpolated at a random weight (α ∈ [0.1, 0.9]) to produce synthetic training examples. This section summarises the effect of SMOTE on each prediction target across both pipelines.</w:t>
      </w:r>
    </w:p>
    <w:p>
      <w:pPr>
        <w:pStyle w:val="Heading3"/>
        <w:spacing w:after="80" w:before="80"/>
      </w:pPr>
      <w:r>
        <w:rPr>
          <w:b/>
          <w:sz w:val="22"/>
          <w:color w:val="2E74B5"/>
          <w:rFonts w:ascii="Arial" w:hAnsi="Arial"/>
        </w:rPr>
        <w:t xml:space="preserve">Spindle Speed (5-class): SMOTE has minimal impact.</w:t>
      </w:r>
    </w:p>
    <w:p>
      <w:pPr>
        <w:spacing w:after="80" w:before="80"/>
      </w:pPr>
      <w:r>
        <w:rPr>
          <w:sz w:val="20"/>
          <w:rFonts w:ascii="Arial" w:hAnsi="Arial"/>
        </w:rPr>
        <w:t xml:space="preserve">Speed was already nearly balanced before SMOTE (7 runs per class). In Pipeline A, SMOTE produces modest improvement for ResNet18 at lr=1e-3 (91.3% → 98.0% window, 93.3% → 100% run) but slightly degrades some configurations. In Pipeline D, SMOTE produces identical results to no-SMOTE for all 8 backbone/LR combinations — the SES representation is invariant to synthetic signal interpolation for speed.</w:t>
      </w:r>
    </w:p>
    <w:p>
      <w:pPr>
        <w:pStyle w:val="Heading3"/>
        <w:spacing w:after="80" w:before="80"/>
      </w:pPr>
      <w:r>
        <w:rPr>
          <w:b/>
          <w:sz w:val="22"/>
          <w:color w:val="2E74B5"/>
          <w:rFonts w:ascii="Arial" w:hAnsi="Arial"/>
        </w:rPr>
        <w:t xml:space="preserve">Depth of Cut (3-class): SMOTE has no effect on Pipeline D; mixed on Pipeline A.</w:t>
      </w:r>
    </w:p>
    <w:p>
      <w:pPr>
        <w:spacing w:after="80" w:before="80"/>
      </w:pPr>
      <w:r>
        <w:rPr>
          <w:sz w:val="20"/>
          <w:rFonts w:ascii="Arial" w:hAnsi="Arial"/>
        </w:rPr>
        <w:t xml:space="preserve">SMOTE improves ResNet18 at lr=1e-3 on Pipeline A substantially (75% → 91.7% run) but has negligible effect on other backbones. In Pipeline D, SMOTE produces identical results to no-SMOTE for all DOC models. EfficientNet-B0 at lr=1e-4 achieves 100% run accuracy with and without SMOTE on Pipeline A — DOC amplitude encoding is sufficiently distinct that augmentation is not needed.</w:t>
      </w:r>
    </w:p>
    <w:p>
      <w:pPr>
        <w:pStyle w:val="Heading3"/>
        <w:spacing w:after="80" w:before="80"/>
      </w:pPr>
      <w:r>
        <w:rPr>
          <w:b/>
          <w:sz w:val="22"/>
          <w:color w:val="2E74B5"/>
          <w:rFonts w:ascii="Arial" w:hAnsi="Arial"/>
        </w:rPr>
        <w:t xml:space="preserve">Feed Rate Coarse (3-class): SMOTE hurts in Pipeline A; mixed in Pipeline D.</w:t>
      </w:r>
    </w:p>
    <w:p>
      <w:pPr>
        <w:spacing w:after="80" w:before="80"/>
      </w:pPr>
      <w:r>
        <w:rPr>
          <w:sz w:val="20"/>
          <w:rFonts w:ascii="Arial" w:hAnsi="Arial"/>
        </w:rPr>
        <w:t xml:space="preserve">SMOTE harms feed coarse classification in Pipeline A across all backbone/LR combinations — no-SMOTE beats or ties SMOTE for every configuration. The best Pipeline A result is 81.7% window / 83.3% run (ConvNeXt-Tiny lr=1e-4, no-SMOTE); SMOTE collapses ConvNeXt at lr=1e-3 from 75.8% to 33.3%. In Pipeline D, SMOTE harms ResNet-18 and ResNet-50 at lr=1e-4 but rescues ConvNeXt-Tiny at lr=1e-3 from a degenerate solution (33.3% → 62.5% window).</w:t>
      </w:r>
    </w:p>
    <w:p>
      <w:pPr>
        <w:pStyle w:val="Heading3"/>
        <w:spacing w:after="80" w:before="80"/>
      </w:pPr>
      <w:r>
        <w:rPr>
          <w:b/>
          <w:sz w:val="22"/>
          <w:color w:val="2E74B5"/>
          <w:rFonts w:ascii="Arial" w:hAnsi="Arial"/>
        </w:rPr>
        <w:t xml:space="preserve">Surface Roughness (3-class): SMOTE dramatically harms Pipeline A; mixed in Pipeline D.</w:t>
      </w:r>
    </w:p>
    <w:p>
      <w:pPr>
        <w:spacing w:after="80" w:before="80"/>
      </w:pPr>
      <w:r>
        <w:rPr>
          <w:sz w:val="20"/>
          <w:rFonts w:ascii="Arial" w:hAnsi="Arial"/>
        </w:rPr>
        <w:t xml:space="preserve">No-SMOTE models achieve 83–91.7% run accuracy in Pipeline A vs only 66–75% with SMOTE. ResNet18 and EfficientNet-B0 at lr=1e-3 reach 91.7% without SMOTE. The roughness signal is dominated by DOC-driven amplitude differences that are already clearly separable without augmentation — SMOTE blurs these boundaries by interpolating across class-correlated amplitude levels. In Pipeline D, SMOTE is neutral-to-harmful; ResNet-50 at lr=1e-4 is SMOTE-invariant at 75% run accuracy.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sz w:val="18"/>
              </w:rPr>
              <w:t>Target</w:t>
            </w:r>
          </w:p>
        </w:tc>
        <w:tc>
          <w:tcPr>
            <w:tcW w:type="dxa" w:w="2160"/>
            <w:shd w:val="clear" w:color="auto" w:fill="1F3864"/>
          </w:tcPr>
          <w:p>
            <w:r>
              <w:rPr>
                <w:b/>
                <w:color w:val="FFFFFF"/>
                <w:sz w:val="18"/>
              </w:rPr>
              <w:t>Pipeline A No-SMOTE (best)</w:t>
            </w:r>
          </w:p>
        </w:tc>
        <w:tc>
          <w:tcPr>
            <w:tcW w:type="dxa" w:w="2160"/>
            <w:shd w:val="clear" w:color="auto" w:fill="1F3864"/>
          </w:tcPr>
          <w:p>
            <w:r>
              <w:rPr>
                <w:b/>
                <w:color w:val="FFFFFF"/>
                <w:sz w:val="18"/>
              </w:rPr>
              <w:t>Pipeline A + SMOTE (best)</w:t>
            </w:r>
          </w:p>
        </w:tc>
        <w:tc>
          <w:tcPr>
            <w:tcW w:type="dxa" w:w="2160"/>
            <w:shd w:val="clear" w:color="auto" w:fill="1F3864"/>
          </w:tcPr>
          <w:p>
            <w:r>
              <w:rPr>
                <w:b/>
                <w:color w:val="FFFFFF"/>
                <w:sz w:val="18"/>
              </w:rPr>
              <w:t>Recommendation</w:t>
            </w:r>
          </w:p>
        </w:tc>
      </w:tr>
      <w:tr>
        <w:tc>
          <w:tcPr>
            <w:tcW w:type="dxa" w:w="2160"/>
          </w:tcPr>
          <w:p>
            <w:r>
              <w:rPr>
                <w:b/>
                <w:sz w:val="18"/>
              </w:rPr>
              <w:t>Speed</w:t>
            </w:r>
          </w:p>
        </w:tc>
        <w:tc>
          <w:tcPr>
            <w:tcW w:type="dxa" w:w="2160"/>
          </w:tcPr>
          <w:p>
            <w:r>
              <w:rPr>
                <w:b w:val="0"/>
                <w:sz w:val="18"/>
              </w:rPr>
              <w:t>100% (RN50/ENB0 lr=1e-3)</w:t>
            </w:r>
          </w:p>
        </w:tc>
        <w:tc>
          <w:tcPr>
            <w:tcW w:type="dxa" w:w="2160"/>
          </w:tcPr>
          <w:p>
            <w:r>
              <w:rPr>
                <w:b w:val="0"/>
                <w:sz w:val="18"/>
              </w:rPr>
              <w:t>100% (RN18 lr=1e-3)</w:t>
            </w:r>
          </w:p>
        </w:tc>
        <w:tc>
          <w:tcPr>
            <w:tcW w:type="dxa" w:w="2160"/>
          </w:tcPr>
          <w:p>
            <w:r>
              <w:rPr>
                <w:b w:val="0"/>
                <w:sz w:val="18"/>
              </w:rPr>
              <w:t>Either; SMOTE negligible</w:t>
            </w:r>
          </w:p>
        </w:tc>
      </w:tr>
      <w:tr>
        <w:tc>
          <w:tcPr>
            <w:tcW w:type="dxa" w:w="2160"/>
          </w:tcPr>
          <w:p>
            <w:r>
              <w:rPr>
                <w:b/>
                <w:sz w:val="18"/>
              </w:rPr>
              <w:t>DOC</w:t>
            </w:r>
          </w:p>
        </w:tc>
        <w:tc>
          <w:tcPr>
            <w:tcW w:type="dxa" w:w="2160"/>
          </w:tcPr>
          <w:p>
            <w:r>
              <w:rPr>
                <w:b w:val="0"/>
                <w:sz w:val="18"/>
              </w:rPr>
              <w:t>100% (ENB0 lr=1e-4)</w:t>
            </w:r>
          </w:p>
        </w:tc>
        <w:tc>
          <w:tcPr>
            <w:tcW w:type="dxa" w:w="2160"/>
          </w:tcPr>
          <w:p>
            <w:r>
              <w:rPr>
                <w:b w:val="0"/>
                <w:sz w:val="18"/>
              </w:rPr>
              <w:t>100% (ENB0 lr=1e-4)</w:t>
            </w:r>
          </w:p>
        </w:tc>
        <w:tc>
          <w:tcPr>
            <w:tcW w:type="dxa" w:w="2160"/>
          </w:tcPr>
          <w:p>
            <w:r>
              <w:rPr>
                <w:b w:val="0"/>
                <w:sz w:val="18"/>
              </w:rPr>
              <w:t>Either; SMOTE negligible</w:t>
            </w:r>
          </w:p>
        </w:tc>
      </w:tr>
      <w:tr>
        <w:tc>
          <w:tcPr>
            <w:tcW w:type="dxa" w:w="2160"/>
          </w:tcPr>
          <w:p>
            <w:r>
              <w:rPr>
                <w:b/>
                <w:sz w:val="18"/>
              </w:rPr>
              <w:t>Feed</w:t>
            </w:r>
          </w:p>
        </w:tc>
        <w:tc>
          <w:tcPr>
            <w:tcW w:type="dxa" w:w="2160"/>
          </w:tcPr>
          <w:p>
            <w:r>
              <w:rPr>
                <w:b w:val="0"/>
                <w:sz w:val="18"/>
              </w:rPr>
              <w:t>83.3% (CNXT lr=1e-4)</w:t>
            </w:r>
          </w:p>
        </w:tc>
        <w:tc>
          <w:tcPr>
            <w:tcW w:type="dxa" w:w="2160"/>
          </w:tcPr>
          <w:p>
            <w:r>
              <w:rPr>
                <w:b w:val="0"/>
                <w:sz w:val="18"/>
              </w:rPr>
              <w:t>75.0% (ENB0 lr=1e-4)</w:t>
            </w:r>
          </w:p>
        </w:tc>
        <w:tc>
          <w:tcPr>
            <w:tcW w:type="dxa" w:w="2160"/>
          </w:tcPr>
          <w:p>
            <w:r>
              <w:rPr>
                <w:b w:val="0"/>
                <w:sz w:val="18"/>
              </w:rPr>
              <w:t>No-SMOTE preferred</w:t>
            </w:r>
          </w:p>
        </w:tc>
      </w:tr>
      <w:tr>
        <w:tc>
          <w:tcPr>
            <w:tcW w:type="dxa" w:w="2160"/>
          </w:tcPr>
          <w:p>
            <w:r>
              <w:rPr>
                <w:b/>
                <w:sz w:val="18"/>
              </w:rPr>
              <w:t>Roughness</w:t>
            </w:r>
          </w:p>
        </w:tc>
        <w:tc>
          <w:tcPr>
            <w:tcW w:type="dxa" w:w="2160"/>
          </w:tcPr>
          <w:p>
            <w:r>
              <w:rPr>
                <w:b w:val="0"/>
                <w:sz w:val="18"/>
              </w:rPr>
              <w:t>91.7% (multiple)</w:t>
            </w:r>
          </w:p>
        </w:tc>
        <w:tc>
          <w:tcPr>
            <w:tcW w:type="dxa" w:w="2160"/>
          </w:tcPr>
          <w:p>
            <w:r>
              <w:rPr>
                <w:b w:val="0"/>
                <w:sz w:val="18"/>
              </w:rPr>
              <w:t>75.0% (CNXT/ENB0/RN50 lr=1e-4)</w:t>
            </w:r>
          </w:p>
        </w:tc>
        <w:tc>
          <w:tcPr>
            <w:tcW w:type="dxa" w:w="2160"/>
          </w:tcPr>
          <w:p>
            <w:r>
              <w:rPr>
                <w:b w:val="0"/>
                <w:sz w:val="18"/>
              </w:rPr>
              <w:t>No-SMOTE strongly preferred</w:t>
            </w:r>
          </w:p>
        </w:tc>
      </w:tr>
    </w:tbl>
    <w:p>
      <w:pPr>
        <w:spacing w:after="80" w:before="80"/>
      </w:pPr>
      <w:r>
        <w:rPr>
          <w:sz w:val="12"/>
          <w:rFonts w:ascii="Arial" w:hAnsi="Arial"/>
        </w:rPr>
        <w:t xml:space="preserve"/>
      </w:r>
    </w:p>
    <w:p>
      <w:pPr>
        <w:spacing w:after="80" w:before="80"/>
      </w:pPr>
      <w:r>
        <w:rPr>
          <w:sz w:val="12"/>
          <w:rFonts w:ascii="Arial" w:hAnsi="Arial"/>
        </w:rPr>
        <w:t xml:space="preserve"/>
      </w:r>
    </w:p>
    <w:p>
      <w:pPr>
        <w:pStyle w:val="Heading2"/>
        <w:spacing w:after="80" w:before="80"/>
      </w:pPr>
      <w:r>
        <w:rPr>
          <w:b/>
          <w:sz w:val="26"/>
          <w:color w:val="1E5C8C"/>
          <w:rFonts w:ascii="Arial" w:hAnsi="Arial"/>
        </w:rPr>
        <w:t xml:space="preserve">2.6  Multi-Architecture 10-Window SMOTE Experiments (Detailed)</w:t>
      </w:r>
    </w:p>
    <w:p>
      <w:pPr>
        <w:spacing w:after="80" w:before="80"/>
      </w:pPr>
      <w:r>
        <w:rPr>
          <w:sz w:val="20"/>
          <w:rFonts w:ascii="Arial" w:hAnsi="Arial"/>
        </w:rPr>
        <w:t xml:space="preserve">A focused multi-architecture comparison was conducted using 10-window scalograms (scalograms_10w, 10 non-overlapping windows per run) with SMOTE-balanced training. Independent held-out test sets were used: 10 test runs for Speed (100 windows), 9 for DOC (90 windows), and 6 each for Feed Rate and Surface Roughness (60 windows). These experiments yielded the best-performing standalone model files saved to the project root.</w:t>
      </w:r>
    </w:p>
    <w:p>
      <w:pPr>
        <w:pStyle w:val="Heading3"/>
        <w:spacing w:after="80" w:before="80"/>
      </w:pPr>
      <w:r>
        <w:rPr>
          <w:b/>
          <w:sz w:val="22"/>
          <w:color w:val="2E74B5"/>
          <w:rFonts w:ascii="Arial" w:hAnsi="Arial"/>
        </w:rPr>
        <w:t xml:space="preserve">2.6.1  Spindle Speed — 100% Run Accuracy on Both Architectures</w:t>
      </w:r>
    </w:p>
    <w:p>
      <w:pPr>
        <w:spacing w:after="80" w:before="80"/>
      </w:pPr>
      <w:r>
        <w:rPr>
          <w:sz w:val="20"/>
          <w:rFonts w:ascii="Arial" w:hAnsi="Arial"/>
        </w:rPr>
        <w:t xml:space="preserve">Both ConvNeXt-Tiny (speed_cnxt_10w.pt) and ResNet18 (speed_resnet_10w.pt) achieve 100% run-level accuracy on the 10-run held-out test set. ConvNeXt-Tiny shows higher window-level confidence (96.0% vs 90.0%), with only 4 windows from run16 (4000 rpm, DOC=0.030 mm) misclassified as 2000 rpm — majority vote corrects the run prediction. Run16 is the only challenging case for either model: at DOC=0.030 mm and 4000 rpm, the scalogram energy pattern partially overlaps the 2000 rpm signature, but 10-window voting makes this robust.</w:t>
      </w:r>
    </w:p>
    <w:p>
      <w:pPr>
        <w:pStyle w:val="Heading3"/>
        <w:spacing w:after="80" w:before="80"/>
      </w:pPr>
      <w:r>
        <w:rPr>
          <w:b/>
          <w:sz w:val="22"/>
          <w:color w:val="2E74B5"/>
          <w:rFonts w:ascii="Arial" w:hAnsi="Arial"/>
        </w:rPr>
        <w:t xml:space="preserve">2.6.2  Depth of Cut — ResNet18 Outperforms ConvNeXt-Tiny</w:t>
      </w:r>
    </w:p>
    <w:p>
      <w:pPr>
        <w:spacing w:after="80" w:before="80"/>
      </w:pPr>
      <w:r>
        <w:rPr>
          <w:sz w:val="20"/>
          <w:rFonts w:ascii="Arial" w:hAnsi="Arial"/>
        </w:rPr>
        <w:t xml:space="preserve">ResNet18 (best_model_doc_resnet18.pt) achieves 88.9% run accuracy (8/9 correct) with a single failure: run36 (5000 rpm, 0.060 mm) confidently misclassified as 0.030 mm (p=0.943). The 0.015 mm class is perfectly separated by both models. ConvNeXt-Tiny (best_model_doc_convnext.pt) fails on two runs — both at 5000 rpm: run19 (0.030 mm → 0.015 mm) and run36 (0.060 mm → 0.015 mm). High-speed runs produce lower-amplitude vibration patterns in some DOC/feed combinations, making them look energetically similar to the 0.015 mm (shallow cut) class. This reverses the typical architecture ranking: ConvNeXt-Tiny does not outperform ResNet18 on DOC.</w:t>
      </w:r>
    </w:p>
    <w:p>
      <w:pPr>
        <w:pStyle w:val="Heading3"/>
        <w:spacing w:after="80" w:before="80"/>
      </w:pPr>
      <w:r>
        <w:rPr>
          <w:b/>
          <w:sz w:val="22"/>
          <w:color w:val="2E74B5"/>
          <w:rFonts w:ascii="Arial" w:hAnsi="Arial"/>
        </w:rPr>
        <w:t xml:space="preserve">2.6.3  Feed Rate — Fine-Grained (6-class) vs Coarse (3-class)</w:t>
      </w:r>
    </w:p>
    <w:p>
      <w:pPr>
        <w:spacing w:after="80" w:before="80"/>
      </w:pPr>
      <w:r>
        <w:rPr>
          <w:sz w:val="20"/>
          <w:rFonts w:ascii="Arial" w:hAnsi="Arial"/>
        </w:rPr>
        <w:t xml:space="preserve">Fine-grained 6-class feed rate prediction hits a hard ceiling of 50% run accuracy across all three tested architectures (ResNet18 48.3% window / 50% run, EfficientNet-B0 38.3%/50%, ConvNeXt-Tiny 43.3%/50%). Classes 4, 6, and 7 mm/rev achieve zero correct predictions in all architectures — run13 (4 mm/rev) and run5 (7 mm/rev) fail in every case. The failure pattern is consistent: middle feed rates produce CWT signatures dominated by spindle RPM harmonics rather than feed-rate-specific chip-load modulation. Only the extreme classes (3 and 8 mm/rev) are reliably identified. Coarsening to 3 classes (Low 3-4 / Med 5-6 / High 7-8 mm/rev) breaks this ceiling: ConvNeXt-Tiny achieves 83.3% run accuracy (5/6 correct), correctly resolving run5 (7 mm/rev, high) that ResNet18 and EfficientNet-B0 both fail at 66.7%. Medium class is perfectly separated by all architectures.</w:t>
      </w:r>
    </w:p>
    <w:p>
      <w:pPr>
        <w:pStyle w:val="Heading3"/>
        <w:spacing w:after="80" w:before="80"/>
      </w:pPr>
      <w:r>
        <w:rPr>
          <w:b/>
          <w:sz w:val="22"/>
          <w:color w:val="2E74B5"/>
          <w:rFonts w:ascii="Arial" w:hAnsi="Arial"/>
        </w:rPr>
        <w:t xml:space="preserve">2.6.4  Surface Roughness — 100% Run Accuracy with ResNet18</w:t>
      </w:r>
    </w:p>
    <w:p>
      <w:pPr>
        <w:spacing w:after="80" w:before="80"/>
      </w:pPr>
      <w:r>
        <w:rPr>
          <w:sz w:val="20"/>
          <w:rFonts w:ascii="Arial" w:hAnsi="Arial"/>
        </w:rPr>
        <w:t xml:space="preserve">ResNet18 (roughness_rn18_10w_adamw.pt) achieves 93.3% window accuracy and 100% run-level accuracy on 6 held-out test runs spanning all three roughness classes and all three DOC levels. The 4 window-level errors occur at class boundaries: run27 (Medium, Ra=0.868 μm, near the 1.0 threshold) has 3 windows vote Rough; run34 (Rough, Ra=2.084 μm) has 1 window vote Medium. Majority vote corrects both. Smooth class (DOC=0.015 mm) is perfectly separated — shallow cuts produce a distinctly lower-energy CWT signature regardless of feed rate or speed. This exceeds the 70% roughness classification target.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Pr>
                <w:b/>
                <w:color w:val="FFFFFF"/>
                <w:sz w:val="18"/>
              </w:rPr>
              <w:t>Model File</w:t>
            </w:r>
          </w:p>
        </w:tc>
        <w:tc>
          <w:tcPr>
            <w:tcW w:type="dxa" w:w="1440"/>
            <w:shd w:val="clear" w:color="auto" w:fill="1F3864"/>
          </w:tcPr>
          <w:p>
            <w:r>
              <w:rPr>
                <w:b/>
                <w:color w:val="FFFFFF"/>
                <w:sz w:val="18"/>
              </w:rPr>
              <w:t>Target</w:t>
            </w:r>
          </w:p>
        </w:tc>
        <w:tc>
          <w:tcPr>
            <w:tcW w:type="dxa" w:w="1440"/>
            <w:shd w:val="clear" w:color="auto" w:fill="1F3864"/>
          </w:tcPr>
          <w:p>
            <w:r>
              <w:rPr>
                <w:b/>
                <w:color w:val="FFFFFF"/>
                <w:sz w:val="18"/>
              </w:rPr>
              <w:t>Backbone</w:t>
            </w:r>
          </w:p>
        </w:tc>
        <w:tc>
          <w:tcPr>
            <w:tcW w:type="dxa" w:w="1440"/>
            <w:shd w:val="clear" w:color="auto" w:fill="1F3864"/>
          </w:tcPr>
          <w:p>
            <w:r>
              <w:rPr>
                <w:b/>
                <w:color w:val="FFFFFF"/>
                <w:sz w:val="18"/>
              </w:rPr>
              <w:t>Window Acc</w:t>
            </w:r>
          </w:p>
        </w:tc>
        <w:tc>
          <w:tcPr>
            <w:tcW w:type="dxa" w:w="1440"/>
            <w:shd w:val="clear" w:color="auto" w:fill="1F3864"/>
          </w:tcPr>
          <w:p>
            <w:r>
              <w:rPr>
                <w:b/>
                <w:color w:val="FFFFFF"/>
                <w:sz w:val="18"/>
              </w:rPr>
              <w:t>Run Acc</w:t>
            </w:r>
          </w:p>
        </w:tc>
        <w:tc>
          <w:tcPr>
            <w:tcW w:type="dxa" w:w="1440"/>
            <w:shd w:val="clear" w:color="auto" w:fill="1F3864"/>
          </w:tcPr>
          <w:p>
            <w:r>
              <w:rPr>
                <w:b/>
                <w:color w:val="FFFFFF"/>
                <w:sz w:val="18"/>
              </w:rPr>
              <w:t>Notes</w:t>
            </w:r>
          </w:p>
        </w:tc>
      </w:tr>
      <w:tr>
        <w:tc>
          <w:tcPr>
            <w:tcW w:type="dxa" w:w="1440"/>
          </w:tcPr>
          <w:p>
            <w:r>
              <w:rPr>
                <w:b/>
                <w:sz w:val="18"/>
              </w:rPr>
              <w:t>speed_cnxt_10w.pt</w:t>
            </w:r>
          </w:p>
        </w:tc>
        <w:tc>
          <w:tcPr>
            <w:tcW w:type="dxa" w:w="1440"/>
          </w:tcPr>
          <w:p>
            <w:r>
              <w:rPr>
                <w:b w:val="0"/>
                <w:sz w:val="18"/>
              </w:rPr>
              <w:t>Speed (5-cls)</w:t>
            </w:r>
          </w:p>
        </w:tc>
        <w:tc>
          <w:tcPr>
            <w:tcW w:type="dxa" w:w="1440"/>
          </w:tcPr>
          <w:p>
            <w:r>
              <w:rPr>
                <w:b w:val="0"/>
                <w:sz w:val="18"/>
              </w:rPr>
              <w:t>ConvNeXt-Tiny</w:t>
            </w:r>
          </w:p>
        </w:tc>
        <w:tc>
          <w:tcPr>
            <w:tcW w:type="dxa" w:w="1440"/>
          </w:tcPr>
          <w:p>
            <w:r>
              <w:rPr>
                <w:b w:val="0"/>
                <w:sz w:val="18"/>
              </w:rPr>
              <w:t>96.0% (96/100)</w:t>
            </w:r>
          </w:p>
        </w:tc>
        <w:tc>
          <w:tcPr>
            <w:tcW w:type="dxa" w:w="1440"/>
          </w:tcPr>
          <w:p>
            <w:r>
              <w:rPr>
                <w:b w:val="0"/>
                <w:sz w:val="18"/>
              </w:rPr>
              <w:t>100% (10/10)</w:t>
            </w:r>
          </w:p>
        </w:tc>
        <w:tc>
          <w:tcPr>
            <w:tcW w:type="dxa" w:w="1440"/>
          </w:tcPr>
          <w:p>
            <w:r>
              <w:rPr>
                <w:b w:val="0"/>
                <w:sz w:val="18"/>
              </w:rPr>
              <w:t>run16 4 windows → 2000 rpm; MV corrects</w:t>
            </w:r>
          </w:p>
        </w:tc>
      </w:tr>
      <w:tr>
        <w:tc>
          <w:tcPr>
            <w:tcW w:type="dxa" w:w="1440"/>
          </w:tcPr>
          <w:p>
            <w:r>
              <w:rPr>
                <w:b/>
                <w:sz w:val="18"/>
              </w:rPr>
              <w:t>speed_resnet_10w.pt</w:t>
            </w:r>
          </w:p>
        </w:tc>
        <w:tc>
          <w:tcPr>
            <w:tcW w:type="dxa" w:w="1440"/>
          </w:tcPr>
          <w:p>
            <w:r>
              <w:rPr>
                <w:b w:val="0"/>
                <w:sz w:val="18"/>
              </w:rPr>
              <w:t>Speed (5-cls)</w:t>
            </w:r>
          </w:p>
        </w:tc>
        <w:tc>
          <w:tcPr>
            <w:tcW w:type="dxa" w:w="1440"/>
          </w:tcPr>
          <w:p>
            <w:r>
              <w:rPr>
                <w:b w:val="0"/>
                <w:sz w:val="18"/>
              </w:rPr>
              <w:t>ResNet18</w:t>
            </w:r>
          </w:p>
        </w:tc>
        <w:tc>
          <w:tcPr>
            <w:tcW w:type="dxa" w:w="1440"/>
          </w:tcPr>
          <w:p>
            <w:r>
              <w:rPr>
                <w:b w:val="0"/>
                <w:sz w:val="18"/>
              </w:rPr>
              <w:t>90.0% (90/100)</w:t>
            </w:r>
          </w:p>
        </w:tc>
        <w:tc>
          <w:tcPr>
            <w:tcW w:type="dxa" w:w="1440"/>
          </w:tcPr>
          <w:p>
            <w:r>
              <w:rPr>
                <w:b w:val="0"/>
                <w:sz w:val="18"/>
              </w:rPr>
              <w:t>100% (10/10)</w:t>
            </w:r>
          </w:p>
        </w:tc>
        <w:tc>
          <w:tcPr>
            <w:tcW w:type="dxa" w:w="1440"/>
          </w:tcPr>
          <w:p>
            <w:r>
              <w:rPr>
                <w:b w:val="0"/>
                <w:sz w:val="18"/>
              </w:rPr>
              <w:t>1500↔3000 rpm confusion; MV corrects all</w:t>
            </w:r>
          </w:p>
        </w:tc>
      </w:tr>
      <w:tr>
        <w:tc>
          <w:tcPr>
            <w:tcW w:type="dxa" w:w="1440"/>
          </w:tcPr>
          <w:p>
            <w:r>
              <w:rPr>
                <w:b/>
                <w:sz w:val="18"/>
              </w:rPr>
              <w:t>best_model_doc_resnet18.pt</w:t>
            </w:r>
          </w:p>
        </w:tc>
        <w:tc>
          <w:tcPr>
            <w:tcW w:type="dxa" w:w="1440"/>
          </w:tcPr>
          <w:p>
            <w:r>
              <w:rPr>
                <w:b w:val="0"/>
                <w:sz w:val="18"/>
              </w:rPr>
              <w:t>DOC (3-cls)</w:t>
            </w:r>
          </w:p>
        </w:tc>
        <w:tc>
          <w:tcPr>
            <w:tcW w:type="dxa" w:w="1440"/>
          </w:tcPr>
          <w:p>
            <w:r>
              <w:rPr>
                <w:b w:val="0"/>
                <w:sz w:val="18"/>
              </w:rPr>
              <w:t>ResNet18</w:t>
            </w:r>
          </w:p>
        </w:tc>
        <w:tc>
          <w:tcPr>
            <w:tcW w:type="dxa" w:w="1440"/>
          </w:tcPr>
          <w:p>
            <w:r>
              <w:rPr>
                <w:b w:val="0"/>
                <w:sz w:val="18"/>
              </w:rPr>
              <w:t>82.2% (74/90)</w:t>
            </w:r>
          </w:p>
        </w:tc>
        <w:tc>
          <w:tcPr>
            <w:tcW w:type="dxa" w:w="1440"/>
          </w:tcPr>
          <w:p>
            <w:r>
              <w:rPr>
                <w:b w:val="0"/>
                <w:sz w:val="18"/>
              </w:rPr>
              <w:t>88.9% (8/9)</w:t>
            </w:r>
          </w:p>
        </w:tc>
        <w:tc>
          <w:tcPr>
            <w:tcW w:type="dxa" w:w="1440"/>
          </w:tcPr>
          <w:p>
            <w:r>
              <w:rPr>
                <w:b w:val="0"/>
                <w:sz w:val="18"/>
              </w:rPr>
              <w:t>Fails run36 (5000 rpm, 0.060 mm) confidently</w:t>
            </w:r>
          </w:p>
        </w:tc>
      </w:tr>
      <w:tr>
        <w:tc>
          <w:tcPr>
            <w:tcW w:type="dxa" w:w="1440"/>
          </w:tcPr>
          <w:p>
            <w:r>
              <w:rPr>
                <w:b/>
                <w:sz w:val="18"/>
              </w:rPr>
              <w:t>best_model_doc_convnext.pt</w:t>
            </w:r>
          </w:p>
        </w:tc>
        <w:tc>
          <w:tcPr>
            <w:tcW w:type="dxa" w:w="1440"/>
          </w:tcPr>
          <w:p>
            <w:r>
              <w:rPr>
                <w:b w:val="0"/>
                <w:sz w:val="18"/>
              </w:rPr>
              <w:t>DOC (3-cls)</w:t>
            </w:r>
          </w:p>
        </w:tc>
        <w:tc>
          <w:tcPr>
            <w:tcW w:type="dxa" w:w="1440"/>
          </w:tcPr>
          <w:p>
            <w:r>
              <w:rPr>
                <w:b w:val="0"/>
                <w:sz w:val="18"/>
              </w:rPr>
              <w:t>ConvNeXt-Tiny</w:t>
            </w:r>
          </w:p>
        </w:tc>
        <w:tc>
          <w:tcPr>
            <w:tcW w:type="dxa" w:w="1440"/>
          </w:tcPr>
          <w:p>
            <w:r>
              <w:rPr>
                <w:b w:val="0"/>
                <w:sz w:val="18"/>
              </w:rPr>
              <w:t>77.8% (70/90)</w:t>
            </w:r>
          </w:p>
        </w:tc>
        <w:tc>
          <w:tcPr>
            <w:tcW w:type="dxa" w:w="1440"/>
          </w:tcPr>
          <w:p>
            <w:r>
              <w:rPr>
                <w:b w:val="0"/>
                <w:sz w:val="18"/>
              </w:rPr>
              <w:t>77.8% (7/9)</w:t>
            </w:r>
          </w:p>
        </w:tc>
        <w:tc>
          <w:tcPr>
            <w:tcW w:type="dxa" w:w="1440"/>
          </w:tcPr>
          <w:p>
            <w:r>
              <w:rPr>
                <w:b w:val="0"/>
                <w:sz w:val="18"/>
              </w:rPr>
              <w:t>Fails run19 &amp; run36 (both 5000 rpm)</w:t>
            </w:r>
          </w:p>
        </w:tc>
      </w:tr>
      <w:tr>
        <w:tc>
          <w:tcPr>
            <w:tcW w:type="dxa" w:w="1440"/>
          </w:tcPr>
          <w:p>
            <w:r>
              <w:rPr>
                <w:b/>
                <w:sz w:val="18"/>
              </w:rPr>
              <w:t>roughness_rn18_10w_adamw.pt</w:t>
            </w:r>
          </w:p>
        </w:tc>
        <w:tc>
          <w:tcPr>
            <w:tcW w:type="dxa" w:w="1440"/>
          </w:tcPr>
          <w:p>
            <w:r>
              <w:rPr>
                <w:b w:val="0"/>
                <w:sz w:val="18"/>
              </w:rPr>
              <w:t>Roughness (3)</w:t>
            </w:r>
          </w:p>
        </w:tc>
        <w:tc>
          <w:tcPr>
            <w:tcW w:type="dxa" w:w="1440"/>
          </w:tcPr>
          <w:p>
            <w:r>
              <w:rPr>
                <w:b w:val="0"/>
                <w:sz w:val="18"/>
              </w:rPr>
              <w:t>ResNet18</w:t>
            </w:r>
          </w:p>
        </w:tc>
        <w:tc>
          <w:tcPr>
            <w:tcW w:type="dxa" w:w="1440"/>
          </w:tcPr>
          <w:p>
            <w:r>
              <w:rPr>
                <w:b w:val="0"/>
                <w:sz w:val="18"/>
              </w:rPr>
              <w:t>93.3% (56/60)</w:t>
            </w:r>
          </w:p>
        </w:tc>
        <w:tc>
          <w:tcPr>
            <w:tcW w:type="dxa" w:w="1440"/>
          </w:tcPr>
          <w:p>
            <w:r>
              <w:rPr>
                <w:b w:val="0"/>
                <w:sz w:val="18"/>
              </w:rPr>
              <w:t>100% (6/6)</w:t>
            </w:r>
          </w:p>
        </w:tc>
        <w:tc>
          <w:tcPr>
            <w:tcW w:type="dxa" w:w="1440"/>
          </w:tcPr>
          <w:p>
            <w:r>
              <w:rPr>
                <w:b w:val="0"/>
                <w:sz w:val="18"/>
              </w:rPr>
              <w:t>4 boundary windows misclassified; MV corrects</w:t>
            </w:r>
          </w:p>
        </w:tc>
      </w:tr>
      <w:tr>
        <w:tc>
          <w:tcPr>
            <w:tcW w:type="dxa" w:w="1440"/>
          </w:tcPr>
          <w:p>
            <w:r>
              <w:rPr>
                <w:b/>
                <w:sz w:val="18"/>
              </w:rPr>
              <w:t>feed_coarse_cnxt_10w_adamw.pt</w:t>
            </w:r>
          </w:p>
        </w:tc>
        <w:tc>
          <w:tcPr>
            <w:tcW w:type="dxa" w:w="1440"/>
          </w:tcPr>
          <w:p>
            <w:r>
              <w:rPr>
                <w:b w:val="0"/>
                <w:sz w:val="18"/>
              </w:rPr>
              <w:t>Feed Coarse (3)</w:t>
            </w:r>
          </w:p>
        </w:tc>
        <w:tc>
          <w:tcPr>
            <w:tcW w:type="dxa" w:w="1440"/>
          </w:tcPr>
          <w:p>
            <w:r>
              <w:rPr>
                <w:b w:val="0"/>
                <w:sz w:val="18"/>
              </w:rPr>
              <w:t>ConvNeXt-Tiny</w:t>
            </w:r>
          </w:p>
        </w:tc>
        <w:tc>
          <w:tcPr>
            <w:tcW w:type="dxa" w:w="1440"/>
          </w:tcPr>
          <w:p>
            <w:r>
              <w:rPr>
                <w:b w:val="0"/>
                <w:sz w:val="18"/>
              </w:rPr>
              <w:t>80.0% (48/60)</w:t>
            </w:r>
          </w:p>
        </w:tc>
        <w:tc>
          <w:tcPr>
            <w:tcW w:type="dxa" w:w="1440"/>
          </w:tcPr>
          <w:p>
            <w:r>
              <w:rPr>
                <w:b w:val="0"/>
                <w:sz w:val="18"/>
              </w:rPr>
              <w:t>83.3% (5/6)</w:t>
            </w:r>
          </w:p>
        </w:tc>
        <w:tc>
          <w:tcPr>
            <w:tcW w:type="dxa" w:w="1440"/>
          </w:tcPr>
          <w:p>
            <w:r>
              <w:rPr>
                <w:b w:val="0"/>
                <w:sz w:val="18"/>
              </w:rPr>
              <w:t>Best coarse; fails run13 (4 mm/rev → high)</w:t>
            </w:r>
          </w:p>
        </w:tc>
      </w:tr>
      <w:tr>
        <w:tc>
          <w:tcPr>
            <w:tcW w:type="dxa" w:w="1440"/>
          </w:tcPr>
          <w:p>
            <w:r>
              <w:rPr>
                <w:b/>
                <w:sz w:val="18"/>
              </w:rPr>
              <w:t>feed_coarse_rn18_10w_adamw.pt</w:t>
            </w:r>
          </w:p>
        </w:tc>
        <w:tc>
          <w:tcPr>
            <w:tcW w:type="dxa" w:w="1440"/>
          </w:tcPr>
          <w:p>
            <w:r>
              <w:rPr>
                <w:b w:val="0"/>
                <w:sz w:val="18"/>
              </w:rPr>
              <w:t>Feed Coarse (3)</w:t>
            </w:r>
          </w:p>
        </w:tc>
        <w:tc>
          <w:tcPr>
            <w:tcW w:type="dxa" w:w="1440"/>
          </w:tcPr>
          <w:p>
            <w:r>
              <w:rPr>
                <w:b w:val="0"/>
                <w:sz w:val="18"/>
              </w:rPr>
              <w:t>ResNet18</w:t>
            </w:r>
          </w:p>
        </w:tc>
        <w:tc>
          <w:tcPr>
            <w:tcW w:type="dxa" w:w="1440"/>
          </w:tcPr>
          <w:p>
            <w:r>
              <w:rPr>
                <w:b w:val="0"/>
                <w:sz w:val="18"/>
              </w:rPr>
              <w:t>66.7% (40/60)</w:t>
            </w:r>
          </w:p>
        </w:tc>
        <w:tc>
          <w:tcPr>
            <w:tcW w:type="dxa" w:w="1440"/>
          </w:tcPr>
          <w:p>
            <w:r>
              <w:rPr>
                <w:b w:val="0"/>
                <w:sz w:val="18"/>
              </w:rPr>
              <w:t>66.7% (4/6)</w:t>
            </w:r>
          </w:p>
        </w:tc>
        <w:tc>
          <w:tcPr>
            <w:tcW w:type="dxa" w:w="1440"/>
          </w:tcPr>
          <w:p>
            <w:r>
              <w:rPr>
                <w:b w:val="0"/>
                <w:sz w:val="18"/>
              </w:rPr>
              <w:t>Fails run13 &amp; run5 (both → medium)</w:t>
            </w:r>
          </w:p>
        </w:tc>
      </w:tr>
      <w:tr>
        <w:tc>
          <w:tcPr>
            <w:tcW w:type="dxa" w:w="1440"/>
          </w:tcPr>
          <w:p>
            <w:r>
              <w:rPr>
                <w:b/>
                <w:sz w:val="18"/>
              </w:rPr>
              <w:t>feed_rn18_10w_adamw.pt</w:t>
            </w:r>
          </w:p>
        </w:tc>
        <w:tc>
          <w:tcPr>
            <w:tcW w:type="dxa" w:w="1440"/>
          </w:tcPr>
          <w:p>
            <w:r>
              <w:rPr>
                <w:b w:val="0"/>
                <w:sz w:val="18"/>
              </w:rPr>
              <w:t>Feed Fine (6)</w:t>
            </w:r>
          </w:p>
        </w:tc>
        <w:tc>
          <w:tcPr>
            <w:tcW w:type="dxa" w:w="1440"/>
          </w:tcPr>
          <w:p>
            <w:r>
              <w:rPr>
                <w:b w:val="0"/>
                <w:sz w:val="18"/>
              </w:rPr>
              <w:t>ResNet18</w:t>
            </w:r>
          </w:p>
        </w:tc>
        <w:tc>
          <w:tcPr>
            <w:tcW w:type="dxa" w:w="1440"/>
          </w:tcPr>
          <w:p>
            <w:r>
              <w:rPr>
                <w:b w:val="0"/>
                <w:sz w:val="18"/>
              </w:rPr>
              <w:t>48.3% (29/60)</w:t>
            </w:r>
          </w:p>
        </w:tc>
        <w:tc>
          <w:tcPr>
            <w:tcW w:type="dxa" w:w="1440"/>
          </w:tcPr>
          <w:p>
            <w:r>
              <w:rPr>
                <w:b w:val="0"/>
                <w:sz w:val="18"/>
              </w:rPr>
              <w:t>50.0% (3/6)</w:t>
            </w:r>
          </w:p>
        </w:tc>
        <w:tc>
          <w:tcPr>
            <w:tcW w:type="dxa" w:w="1440"/>
          </w:tcPr>
          <w:p>
            <w:r>
              <w:rPr>
                <w:b w:val="0"/>
                <w:sz w:val="18"/>
              </w:rPr>
              <w:t>Best fine-grained; 4/6/7 mm/rev all fail</w:t>
            </w:r>
          </w:p>
        </w:tc>
      </w:tr>
      <w:tr>
        <w:tc>
          <w:tcPr>
            <w:tcW w:type="dxa" w:w="1440"/>
          </w:tcPr>
          <w:p>
            <w:r>
              <w:rPr>
                <w:b/>
                <w:sz w:val="18"/>
              </w:rPr>
              <w:t>feed_cnxt_10w_adamw.pt</w:t>
            </w:r>
          </w:p>
        </w:tc>
        <w:tc>
          <w:tcPr>
            <w:tcW w:type="dxa" w:w="1440"/>
          </w:tcPr>
          <w:p>
            <w:r>
              <w:rPr>
                <w:b w:val="0"/>
                <w:sz w:val="18"/>
              </w:rPr>
              <w:t>Feed Fine (6)</w:t>
            </w:r>
          </w:p>
        </w:tc>
        <w:tc>
          <w:tcPr>
            <w:tcW w:type="dxa" w:w="1440"/>
          </w:tcPr>
          <w:p>
            <w:r>
              <w:rPr>
                <w:b w:val="0"/>
                <w:sz w:val="18"/>
              </w:rPr>
              <w:t>ConvNeXt-Tiny</w:t>
            </w:r>
          </w:p>
        </w:tc>
        <w:tc>
          <w:tcPr>
            <w:tcW w:type="dxa" w:w="1440"/>
          </w:tcPr>
          <w:p>
            <w:r>
              <w:rPr>
                <w:b w:val="0"/>
                <w:sz w:val="18"/>
              </w:rPr>
              <w:t>43.3% (26/60)</w:t>
            </w:r>
          </w:p>
        </w:tc>
        <w:tc>
          <w:tcPr>
            <w:tcW w:type="dxa" w:w="1440"/>
          </w:tcPr>
          <w:p>
            <w:r>
              <w:rPr>
                <w:b w:val="0"/>
                <w:sz w:val="18"/>
              </w:rPr>
              <w:t>50.0% (3/6)</w:t>
            </w:r>
          </w:p>
        </w:tc>
        <w:tc>
          <w:tcPr>
            <w:tcW w:type="dxa" w:w="1440"/>
          </w:tcPr>
          <w:p>
            <w:r>
              <w:rPr>
                <w:b w:val="0"/>
                <w:sz w:val="18"/>
              </w:rPr>
              <w:t>Same ceiling as RN18; pattern shifts</w:t>
            </w:r>
          </w:p>
        </w:tc>
      </w:tr>
      <w:tr>
        <w:tc>
          <w:tcPr>
            <w:tcW w:type="dxa" w:w="1440"/>
          </w:tcPr>
          <w:p>
            <w:r>
              <w:rPr>
                <w:b/>
                <w:sz w:val="18"/>
              </w:rPr>
              <w:t>feed_effb0_10w_adamw.pt</w:t>
            </w:r>
          </w:p>
        </w:tc>
        <w:tc>
          <w:tcPr>
            <w:tcW w:type="dxa" w:w="1440"/>
          </w:tcPr>
          <w:p>
            <w:r>
              <w:rPr>
                <w:b w:val="0"/>
                <w:sz w:val="18"/>
              </w:rPr>
              <w:t>Feed Fine (6)</w:t>
            </w:r>
          </w:p>
        </w:tc>
        <w:tc>
          <w:tcPr>
            <w:tcW w:type="dxa" w:w="1440"/>
          </w:tcPr>
          <w:p>
            <w:r>
              <w:rPr>
                <w:b w:val="0"/>
                <w:sz w:val="18"/>
              </w:rPr>
              <w:t>EfficientNet-B0</w:t>
            </w:r>
          </w:p>
        </w:tc>
        <w:tc>
          <w:tcPr>
            <w:tcW w:type="dxa" w:w="1440"/>
          </w:tcPr>
          <w:p>
            <w:r>
              <w:rPr>
                <w:b w:val="0"/>
                <w:sz w:val="18"/>
              </w:rPr>
              <w:t>38.3% (23/60)</w:t>
            </w:r>
          </w:p>
        </w:tc>
        <w:tc>
          <w:tcPr>
            <w:tcW w:type="dxa" w:w="1440"/>
          </w:tcPr>
          <w:p>
            <w:r>
              <w:rPr>
                <w:b w:val="0"/>
                <w:sz w:val="18"/>
              </w:rPr>
              <w:t>50.0% (3/6)</w:t>
            </w:r>
          </w:p>
        </w:tc>
        <w:tc>
          <w:tcPr>
            <w:tcW w:type="dxa" w:w="1440"/>
          </w:tcPr>
          <w:p>
            <w:r>
              <w:rPr>
                <w:b w:val="0"/>
                <w:sz w:val="18"/>
              </w:rPr>
              <w:t>Same ceiling; lowest window accuracy</w:t>
            </w:r>
          </w:p>
        </w:tc>
      </w:tr>
    </w:tbl>
    <w:p>
      <w:pPr>
        <w:spacing w:after="80" w:before="80"/>
      </w:pPr>
      <w:r>
        <w:rPr>
          <w:sz w:val="12"/>
          <w:rFonts w:ascii="Arial" w:hAnsi="Arial"/>
        </w:rPr>
        <w:t xml:space="preserve"/>
      </w:r>
    </w:p>
    <w:p>
      <w:pPr>
        <w:spacing w:after="80" w:before="80"/>
      </w:pPr>
      <w:r>
        <w:rPr>
          <w:sz w:val="12"/>
          <w:rFonts w:ascii="Arial" w:hAnsi="Arial"/>
        </w:rPr>
        <w:t xml:space="preserve"/>
      </w:r>
    </w:p>
    <w:p>
      <w:pPr>
        <w:pStyle w:val="Heading2"/>
        <w:spacing w:after="80" w:before="80"/>
      </w:pPr>
      <w:r>
        <w:rPr>
          <w:b/>
          <w:sz w:val="26"/>
          <w:color w:val="1E5C8C"/>
          <w:rFonts w:ascii="Arial" w:hAnsi="Arial"/>
        </w:rPr>
        <w:t xml:space="preserve">2.7  Key Findings Summary (Updated from README)</w:t>
      </w:r>
    </w:p>
    <w:p>
      <w:pPr>
        <w:spacing w:after="80" w:before="80"/>
      </w:pPr>
      <w:r>
        <w:rPr>
          <w:sz w:val="20"/>
          <w:rFonts w:ascii="Arial" w:hAnsi="Arial"/>
        </w:rPr>
        <w:t xml:space="preserve">Speed classification is solved across all architectures. All four backbones achieve 100% run-level accuracy when using the right pipeline and learning rate (ResNet50 and EfficientNet-B0 in Pipeline D lr=1e-3, ConvNeXt-Tiny in Pipeline D lr=1e-4). RPM places spindle harmonics at fixed frequency positions that survive any normalization, DOC, or feed variation.</w:t>
      </w:r>
    </w:p>
    <w:p>
      <w:pPr>
        <w:spacing w:after="80" w:before="80"/>
      </w:pPr>
      <w:r>
        <w:rPr>
          <w:sz w:val="20"/>
          <w:rFonts w:ascii="Arial" w:hAnsi="Arial"/>
        </w:rPr>
        <w:t xml:space="preserve">DOC classification is solved for the right backbones. EfficientNet-B0 at lr=1e-4 reaches 100% run accuracy in both pipelines. ResNet50 reaches 100% in Pipeline D lr=1e-3. The 0.015 mm class is perfectly separated by all architectures — shallow cuts produce a distinctly lower-energy CWT signature. The 10-window SMOTE experiment confirms ResNet18 reaches 88.9% on a smaller test set, with a single confident failure (run36, 5000 rpm / 0.060 mm).</w:t>
      </w:r>
    </w:p>
    <w:p>
      <w:pPr>
        <w:spacing w:after="80" w:before="80"/>
      </w:pPr>
      <w:r>
        <w:rPr>
          <w:sz w:val="20"/>
          <w:rFonts w:ascii="Arial" w:hAnsi="Arial"/>
        </w:rPr>
        <w:t xml:space="preserve">Feed rate coarse classification reaches 83.3% with ConvNeXt-Tiny (no-SMOTE, Pipeline A lr=1e-4). This is the ceiling across all tested configurations. The medium class (5-6 mm/rev) is perfectly separated by all architectures. SMOTE consistently hurts Pipeline A feed models and should not be applied for this target. Fine-grained 6-class feed rate has a hard ceiling of 50% — middle classes (4, 6, 7 mm/rev) produce signatures dominated by spindle harmonics rather than feed-specific chip-load modulation.</w:t>
      </w:r>
    </w:p>
    <w:p>
      <w:pPr>
        <w:spacing w:after="80" w:before="80"/>
      </w:pPr>
      <w:r>
        <w:rPr>
          <w:sz w:val="20"/>
          <w:rFonts w:ascii="Arial" w:hAnsi="Arial"/>
        </w:rPr>
        <w:t xml:space="preserve">Surface roughness reaches 91.7% run accuracy with multiple backbones on Pipeline A no-SMOTE (ResNet18 and EfficientNet-B0 at lr=1e-3). The 10-window SMOTE experiment achieves 100% run accuracy with ResNet18 on a 6-run test set. No-SMOTE models dramatically outperform SMOTE variants for roughness in Pipeline A (91.7% vs 66-75%) — SMOTE blurs the amplitude-level boundaries that distinguish roughness classes. Pipeline D is substantially weaker on roughness (75% max).</w:t>
      </w:r>
    </w:p>
    <w:p>
      <w:pPr>
        <w:spacing w:after="80" w:before="80"/>
      </w:pPr>
      <w:r>
        <w:rPr>
          <w:sz w:val="20"/>
          <w:rFonts w:ascii="Arial" w:hAnsi="Arial"/>
        </w:rPr>
        <w:t xml:space="preserve">Majority voting is universally robust. Even when 40% of windows in a run misclassify (run16 for speed, run19 for DOC), 10-window majority vote corrects the run-level prediction. Soft probability averaging matches majority-vote performance but does not recover runs when the model is confidently wrong (e.g., run36 DOC: p=0.943 for the wrong class). The 10-window design is sufficient — accuracy does not improve with more windows for the same total run duration.</w:t>
      </w:r>
    </w:p>
    <w:p>
      <w:pPr>
        <w:pStyle w:val="Heading1"/>
        <w:spacing w:after="160" w:before="320"/>
      </w:pPr>
      <w:r>
        <w:rPr>
          <w:rFonts w:ascii="Arial" w:cs="Arial" w:eastAsia="Arial" w:hAnsi="Arial"/>
          <w:b/>
          <w:bCs/>
          <w:color w:val="1E5C8C"/>
          <w:sz w:val="32"/>
          <w:szCs w:val="32"/>
        </w:rPr>
        <w:t xml:space="preserve">4. References</w:t>
      </w:r>
    </w:p>
    <w:p>
      <w:pPr>
        <w:spacing w:after="80" w:before="80"/>
      </w:pPr>
      <w:r>
        <w:rPr>
          <w:rFonts w:ascii="Arial" w:cs="Arial" w:eastAsia="Arial" w:hAnsi="Arial"/>
          <w:b/>
          <w:bCs/>
          <w:sz w:val="20"/>
          <w:szCs w:val="20"/>
        </w:rPr>
        <w:t xml:space="preserve">Randall, R. B., &amp; Antoni, J. (2011). </w:t>
      </w:r>
      <w:r>
        <w:rPr>
          <w:rFonts w:ascii="Arial" w:cs="Arial" w:eastAsia="Arial" w:hAnsi="Arial"/>
          <w:sz w:val="20"/>
          <w:szCs w:val="20"/>
        </w:rPr>
        <w:t xml:space="preserve">Rolling element bearing diagnostics — a tutorial. </w:t>
      </w:r>
      <w:r>
        <w:rPr>
          <w:rFonts w:ascii="Arial" w:cs="Arial" w:eastAsia="Arial" w:hAnsi="Arial"/>
          <w:sz w:val="20"/>
          <w:szCs w:val="20"/>
        </w:rPr>
        <w:t xml:space="preserve">Mechanical Systems and Signal Processing, 25(2), 485–520. https://doi.org/10.1016/j.ymssp.2010.07.017</w:t>
      </w:r>
    </w:p>
    <w:p>
      <w:pPr>
        <w:spacing w:after="60" w:before="60"/>
      </w:pPr>
      <w:r>
        <w:t xml:space="preserve"/>
      </w:r>
    </w:p>
    <w:p>
      <w:pPr>
        <w:spacing w:after="80" w:before="80"/>
      </w:pPr>
      <w:r>
        <w:rPr>
          <w:rFonts w:ascii="Arial" w:cs="Arial" w:eastAsia="Arial" w:hAnsi="Arial"/>
          <w:b/>
          <w:bCs/>
          <w:sz w:val="20"/>
          <w:szCs w:val="20"/>
        </w:rPr>
        <w:t xml:space="preserve">Antoni, J. (2007). </w:t>
      </w:r>
      <w:r>
        <w:rPr>
          <w:rFonts w:ascii="Arial" w:cs="Arial" w:eastAsia="Arial" w:hAnsi="Arial"/>
          <w:sz w:val="20"/>
          <w:szCs w:val="20"/>
        </w:rPr>
        <w:t xml:space="preserve">Cyclic spectral analysis of rolling-element bearing signals: Facts and fictions. </w:t>
      </w:r>
      <w:r>
        <w:rPr>
          <w:rFonts w:ascii="Arial" w:cs="Arial" w:eastAsia="Arial" w:hAnsi="Arial"/>
          <w:sz w:val="20"/>
          <w:szCs w:val="20"/>
        </w:rPr>
        <w:t xml:space="preserve">Journal of Sound and Vibration, 304(3–5), 497–529. https://doi.org/10.1016/j.jsv.2007.02.029</w:t>
      </w:r>
    </w:p>
    <w:p>
      <w:pPr>
        <w:spacing w:after="60" w:before="60"/>
      </w:pPr>
      <w:r>
        <w:t xml:space="preserve"/>
      </w:r>
    </w:p>
    <w:p>
      <w:pPr>
        <w:spacing w:after="80" w:before="80"/>
      </w:pPr>
      <w:r>
        <w:rPr>
          <w:rFonts w:ascii="Arial" w:cs="Arial" w:eastAsia="Arial" w:hAnsi="Arial"/>
          <w:b/>
          <w:bCs/>
          <w:sz w:val="20"/>
          <w:szCs w:val="20"/>
        </w:rPr>
        <w:t xml:space="preserve">Ambadekar, P. K., &amp; Choudhari, C. M. (2023). </w:t>
      </w:r>
      <w:r>
        <w:rPr>
          <w:rFonts w:ascii="Arial" w:cs="Arial" w:eastAsia="Arial" w:hAnsi="Arial"/>
          <w:sz w:val="20"/>
          <w:szCs w:val="20"/>
        </w:rPr>
        <w:t xml:space="preserve">A novel approach of tool condition monitoring in sustainable machining of Ni alloy with transfer learning models. </w:t>
      </w:r>
      <w:r>
        <w:rPr>
          <w:rFonts w:ascii="Arial" w:cs="Arial" w:eastAsia="Arial" w:hAnsi="Arial"/>
          <w:sz w:val="20"/>
          <w:szCs w:val="20"/>
        </w:rPr>
        <w:t xml:space="preserve">Journal of Intelligent Manufacturing. https://doi.org/10.1007/s10845-023-02074-8</w:t>
      </w:r>
    </w:p>
    <w:p>
      <w:pPr>
        <w:spacing w:after="60" w:before="60"/>
      </w:pPr>
      <w:r>
        <w:t xml:space="preserve"/>
      </w:r>
    </w:p>
    <w:p>
      <w:pPr>
        <w:spacing w:after="80" w:before="80"/>
      </w:pPr>
      <w:r>
        <w:rPr>
          <w:rFonts w:ascii="Arial" w:cs="Arial" w:eastAsia="Arial" w:hAnsi="Arial"/>
          <w:b/>
          <w:bCs/>
          <w:sz w:val="20"/>
          <w:szCs w:val="20"/>
        </w:rPr>
        <w:t xml:space="preserve">Bai, Y., et al. (2024). </w:t>
      </w:r>
      <w:r>
        <w:rPr>
          <w:rFonts w:ascii="Arial" w:cs="Arial" w:eastAsia="Arial" w:hAnsi="Arial"/>
          <w:sz w:val="20"/>
          <w:szCs w:val="20"/>
        </w:rPr>
        <w:t xml:space="preserve">A deep transfer learning model for online monitoring of surface roughness in milling with variable parameters. </w:t>
      </w:r>
      <w:r>
        <w:rPr>
          <w:rFonts w:ascii="Arial" w:cs="Arial" w:eastAsia="Arial" w:hAnsi="Arial"/>
          <w:sz w:val="20"/>
          <w:szCs w:val="20"/>
        </w:rPr>
        <w:t xml:space="preserve">Computers in Industry, 157–158, 104065. https://doi.org/10.1016/j.compind.2024.104065</w:t>
      </w:r>
    </w:p>
    <w:p>
      <w:pPr>
        <w:spacing w:after="60" w:before="60"/>
      </w:pPr>
      <w:r>
        <w:t xml:space="preserve"/>
      </w:r>
    </w:p>
    <w:p>
      <w:pPr>
        <w:spacing w:after="80" w:before="80"/>
      </w:pPr>
      <w:r>
        <w:rPr>
          <w:rFonts w:ascii="Arial" w:cs="Arial" w:eastAsia="Arial" w:hAnsi="Arial"/>
          <w:b/>
          <w:bCs/>
          <w:sz w:val="20"/>
          <w:szCs w:val="20"/>
        </w:rPr>
        <w:t xml:space="preserve">Cheng, C., Li, J., Liu, Y., Nie, M., &amp; Wang, W. (2018). </w:t>
      </w:r>
      <w:r>
        <w:rPr>
          <w:rFonts w:ascii="Arial" w:cs="Arial" w:eastAsia="Arial" w:hAnsi="Arial"/>
          <w:sz w:val="20"/>
          <w:szCs w:val="20"/>
        </w:rPr>
        <w:t xml:space="preserve">Deep convolutional neural network-based in-process tool condition monitoring in abrasive belt grinding. </w:t>
      </w:r>
      <w:r>
        <w:rPr>
          <w:rFonts w:ascii="Arial" w:cs="Arial" w:eastAsia="Arial" w:hAnsi="Arial"/>
          <w:sz w:val="20"/>
          <w:szCs w:val="20"/>
        </w:rPr>
        <w:t xml:space="preserve">Computers in Industry, 106, 1–13.</w:t>
      </w:r>
    </w:p>
    <w:p>
      <w:pPr>
        <w:spacing w:after="60" w:before="60"/>
      </w:pPr>
      <w:r>
        <w:t xml:space="preserve"/>
      </w:r>
    </w:p>
    <w:p>
      <w:pPr>
        <w:spacing w:after="80" w:before="80"/>
      </w:pPr>
      <w:r>
        <w:rPr>
          <w:rFonts w:ascii="Arial" w:cs="Arial" w:eastAsia="Arial" w:hAnsi="Arial"/>
          <w:b/>
          <w:bCs/>
          <w:sz w:val="20"/>
          <w:szCs w:val="20"/>
        </w:rPr>
        <w:t xml:space="preserve">Du, Z., Chen, X., Zhang, H., &amp; Yan, R. (2022). </w:t>
      </w:r>
      <w:r>
        <w:rPr>
          <w:rFonts w:ascii="Arial" w:cs="Arial" w:eastAsia="Arial" w:hAnsi="Arial"/>
          <w:sz w:val="20"/>
          <w:szCs w:val="20"/>
        </w:rPr>
        <w:t xml:space="preserve">Integrated gradient-based continuous wavelet transform for bearing fault diagnosis. </w:t>
      </w:r>
      <w:r>
        <w:rPr>
          <w:rFonts w:ascii="Arial" w:cs="Arial" w:eastAsia="Arial" w:hAnsi="Arial"/>
          <w:sz w:val="20"/>
          <w:szCs w:val="20"/>
        </w:rPr>
        <w:t xml:space="preserve">Sensors, 22(22), 8760. https://doi.org/10.3390/s22228760</w:t>
      </w:r>
    </w:p>
    <w:p>
      <w:pPr>
        <w:spacing w:after="60" w:before="60"/>
      </w:pPr>
      <w:r>
        <w:t xml:space="preserve"/>
      </w:r>
    </w:p>
    <w:p>
      <w:pPr>
        <w:spacing w:after="80" w:before="80"/>
      </w:pPr>
      <w:r>
        <w:rPr>
          <w:rFonts w:ascii="Arial" w:cs="Arial" w:eastAsia="Arial" w:hAnsi="Arial"/>
          <w:b/>
          <w:bCs/>
          <w:sz w:val="20"/>
          <w:szCs w:val="20"/>
        </w:rPr>
        <w:t xml:space="preserve">Faysal, A., et al. (2021). </w:t>
      </w:r>
      <w:r>
        <w:rPr>
          <w:rFonts w:ascii="Arial" w:cs="Arial" w:eastAsia="Arial" w:hAnsi="Arial"/>
          <w:sz w:val="20"/>
          <w:szCs w:val="20"/>
        </w:rPr>
        <w:t xml:space="preserve">Noise eliminated ensemble empirical mode decomposition scalogram analysis for rotating machinery fault diagnosis. </w:t>
      </w:r>
      <w:r>
        <w:rPr>
          <w:rFonts w:ascii="Arial" w:cs="Arial" w:eastAsia="Arial" w:hAnsi="Arial"/>
          <w:sz w:val="20"/>
          <w:szCs w:val="20"/>
        </w:rPr>
        <w:t xml:space="preserve">Sensors, 21(23), 8114. https://doi.org/10.3390/s21238114</w:t>
      </w:r>
    </w:p>
    <w:p>
      <w:pPr>
        <w:spacing w:after="60" w:before="60"/>
      </w:pPr>
      <w:r>
        <w:t xml:space="preserve"/>
      </w:r>
    </w:p>
    <w:p>
      <w:pPr>
        <w:spacing w:after="80" w:before="80"/>
      </w:pPr>
      <w:r>
        <w:rPr>
          <w:rFonts w:ascii="Arial" w:cs="Arial" w:eastAsia="Arial" w:hAnsi="Arial"/>
          <w:b/>
          <w:bCs/>
          <w:sz w:val="20"/>
          <w:szCs w:val="20"/>
        </w:rPr>
        <w:t xml:space="preserve">He, K., Zhang, X., Ren, S., &amp; Sun, J. (2016). </w:t>
      </w:r>
      <w:r>
        <w:rPr>
          <w:rFonts w:ascii="Arial" w:cs="Arial" w:eastAsia="Arial" w:hAnsi="Arial"/>
          <w:sz w:val="20"/>
          <w:szCs w:val="20"/>
        </w:rPr>
        <w:t xml:space="preserve">Deep residual learning for image recognition. </w:t>
      </w:r>
      <w:r>
        <w:rPr>
          <w:rFonts w:ascii="Arial" w:cs="Arial" w:eastAsia="Arial" w:hAnsi="Arial"/>
          <w:sz w:val="20"/>
          <w:szCs w:val="20"/>
        </w:rPr>
        <w:t xml:space="preserve">Proceedings of CVPR 2016, 770–778. https://doi.org/10.1109/CVPR.2016.90</w:t>
      </w:r>
    </w:p>
    <w:p>
      <w:pPr>
        <w:spacing w:after="60" w:before="60"/>
      </w:pPr>
      <w:r>
        <w:t xml:space="preserve"/>
      </w:r>
    </w:p>
    <w:p>
      <w:pPr>
        <w:spacing w:after="80" w:before="80"/>
      </w:pPr>
      <w:r>
        <w:rPr>
          <w:rFonts w:ascii="Arial" w:cs="Arial" w:eastAsia="Arial" w:hAnsi="Arial"/>
          <w:b/>
          <w:bCs/>
          <w:sz w:val="20"/>
          <w:szCs w:val="20"/>
        </w:rPr>
        <w:t xml:space="preserve">Liang, X., et al. (2025). </w:t>
      </w:r>
      <w:r>
        <w:rPr>
          <w:rFonts w:ascii="Arial" w:cs="Arial" w:eastAsia="Arial" w:hAnsi="Arial"/>
          <w:sz w:val="20"/>
          <w:szCs w:val="20"/>
        </w:rPr>
        <w:t xml:space="preserve">Using deep convolutional networks combined with signal processing techniques for accurate prediction of surface quality. </w:t>
      </w:r>
      <w:r>
        <w:rPr>
          <w:rFonts w:ascii="Arial" w:cs="Arial" w:eastAsia="Arial" w:hAnsi="Arial"/>
          <w:sz w:val="20"/>
          <w:szCs w:val="20"/>
        </w:rPr>
        <w:t xml:space="preserve">Scientific Reports, 15, 20538. https://doi.org/10.1038/s41598-025-92114-5</w:t>
      </w:r>
    </w:p>
    <w:p>
      <w:pPr>
        <w:spacing w:after="60" w:before="60"/>
      </w:pPr>
      <w:r>
        <w:t xml:space="preserve"/>
      </w:r>
    </w:p>
    <w:p>
      <w:pPr>
        <w:spacing w:after="80" w:before="80"/>
      </w:pPr>
      <w:r>
        <w:rPr>
          <w:rFonts w:ascii="Arial" w:cs="Arial" w:eastAsia="Arial" w:hAnsi="Arial"/>
          <w:b/>
          <w:bCs/>
          <w:sz w:val="20"/>
          <w:szCs w:val="20"/>
        </w:rPr>
        <w:t xml:space="preserve">Liu, Z., Mao, H., Wu, C. Y., Feichtenhofer, C., Darrell, T., &amp; Xie, S. (2022). </w:t>
      </w:r>
      <w:r>
        <w:rPr>
          <w:rFonts w:ascii="Arial" w:cs="Arial" w:eastAsia="Arial" w:hAnsi="Arial"/>
          <w:sz w:val="20"/>
          <w:szCs w:val="20"/>
        </w:rPr>
        <w:t xml:space="preserve">A ConvNet for the 2020s. </w:t>
      </w:r>
      <w:r>
        <w:rPr>
          <w:rFonts w:ascii="Arial" w:cs="Arial" w:eastAsia="Arial" w:hAnsi="Arial"/>
          <w:sz w:val="20"/>
          <w:szCs w:val="20"/>
        </w:rPr>
        <w:t xml:space="preserve">Proceedings of CVPR 2022, 11976–11986. https://doi.org/10.1109/CVPR52688.2022.01167</w:t>
      </w:r>
    </w:p>
    <w:p>
      <w:pPr>
        <w:spacing w:after="60" w:before="60"/>
      </w:pPr>
      <w:r>
        <w:t xml:space="preserve"/>
      </w:r>
    </w:p>
    <w:p>
      <w:pPr>
        <w:spacing w:after="80" w:before="80"/>
      </w:pPr>
      <w:r>
        <w:rPr>
          <w:rFonts w:ascii="Arial" w:cs="Arial" w:eastAsia="Arial" w:hAnsi="Arial"/>
          <w:b/>
          <w:bCs/>
          <w:sz w:val="20"/>
          <w:szCs w:val="20"/>
        </w:rPr>
        <w:t xml:space="preserve">Neupane, D., Kim, Y., &amp; Seok, J. (2021). </w:t>
      </w:r>
      <w:r>
        <w:rPr>
          <w:rFonts w:ascii="Arial" w:cs="Arial" w:eastAsia="Arial" w:hAnsi="Arial"/>
          <w:sz w:val="20"/>
          <w:szCs w:val="20"/>
        </w:rPr>
        <w:t xml:space="preserve">Bearing fault detection using scalogram and switchable normalization-based CNN. </w:t>
      </w:r>
      <w:r>
        <w:rPr>
          <w:rFonts w:ascii="Arial" w:cs="Arial" w:eastAsia="Arial" w:hAnsi="Arial"/>
          <w:sz w:val="20"/>
          <w:szCs w:val="20"/>
        </w:rPr>
        <w:t xml:space="preserve">IEEE Access, 9, 88151–88166. https://doi.org/10.1109/ACCESS.2021.3089698</w:t>
      </w:r>
    </w:p>
    <w:p>
      <w:pPr>
        <w:spacing w:after="60" w:before="60"/>
      </w:pPr>
      <w:r>
        <w:t xml:space="preserve"/>
      </w:r>
    </w:p>
    <w:p>
      <w:pPr>
        <w:spacing w:after="80" w:before="80"/>
      </w:pPr>
      <w:r>
        <w:rPr>
          <w:rFonts w:ascii="Arial" w:cs="Arial" w:eastAsia="Arial" w:hAnsi="Arial"/>
          <w:b/>
          <w:bCs/>
          <w:sz w:val="20"/>
          <w:szCs w:val="20"/>
        </w:rPr>
        <w:t xml:space="preserve">Tan, M., &amp; Le, Q. V. (2019). </w:t>
      </w:r>
      <w:r>
        <w:rPr>
          <w:rFonts w:ascii="Arial" w:cs="Arial" w:eastAsia="Arial" w:hAnsi="Arial"/>
          <w:sz w:val="20"/>
          <w:szCs w:val="20"/>
        </w:rPr>
        <w:t xml:space="preserve">EfficientNet: Rethinking model scaling for convolutional neural networks. </w:t>
      </w:r>
      <w:r>
        <w:rPr>
          <w:rFonts w:ascii="Arial" w:cs="Arial" w:eastAsia="Arial" w:hAnsi="Arial"/>
          <w:sz w:val="20"/>
          <w:szCs w:val="20"/>
        </w:rPr>
        <w:t xml:space="preserve">Proceedings of ICML 2019.</w:t>
      </w:r>
    </w:p>
    <w:p>
      <w:pPr>
        <w:spacing w:after="60" w:before="60"/>
      </w:pPr>
      <w:r>
        <w:t xml:space="preserve"/>
      </w:r>
    </w:p>
    <w:p>
      <w:pPr>
        <w:spacing w:after="80" w:before="80"/>
      </w:pPr>
      <w:r>
        <w:rPr>
          <w:rFonts w:ascii="Arial" w:cs="Arial" w:eastAsia="Arial" w:hAnsi="Arial"/>
          <w:b/>
          <w:bCs/>
          <w:sz w:val="20"/>
          <w:szCs w:val="20"/>
        </w:rPr>
        <w:t xml:space="preserve">Wen, L., Li, X., Gao, L., &amp; Zhang, Y. (2018). </w:t>
      </w:r>
      <w:r>
        <w:rPr>
          <w:rFonts w:ascii="Arial" w:cs="Arial" w:eastAsia="Arial" w:hAnsi="Arial"/>
          <w:sz w:val="20"/>
          <w:szCs w:val="20"/>
        </w:rPr>
        <w:t xml:space="preserve">A new convolutional neural network-based data-driven fault diagnosis method. </w:t>
      </w:r>
      <w:r>
        <w:rPr>
          <w:rFonts w:ascii="Arial" w:cs="Arial" w:eastAsia="Arial" w:hAnsi="Arial"/>
          <w:sz w:val="20"/>
          <w:szCs w:val="20"/>
        </w:rPr>
        <w:t xml:space="preserve">IEEE Transactions on Industrial Electronics, 65(7), 5990–5998. https://doi.org/10.1109/TIE.2017.2774777</w:t>
      </w:r>
    </w:p>
    <w:p>
      <w:pPr>
        <w:spacing w:after="60" w:before="60"/>
      </w:pPr>
      <w:r>
        <w:t xml:space="preserve"/>
      </w:r>
    </w:p>
    <w:p>
      <w:pPr>
        <w:spacing w:after="80" w:before="80"/>
      </w:pPr>
      <w:r>
        <w:rPr>
          <w:rFonts w:ascii="Arial" w:cs="Arial" w:eastAsia="Arial" w:hAnsi="Arial"/>
          <w:b/>
          <w:bCs/>
          <w:sz w:val="20"/>
          <w:szCs w:val="20"/>
        </w:rPr>
        <w:t xml:space="preserve">Ye, Z., Ma, J., &amp; Wen, T. (2021). </w:t>
      </w:r>
      <w:r>
        <w:rPr>
          <w:rFonts w:ascii="Arial" w:cs="Arial" w:eastAsia="Arial" w:hAnsi="Arial"/>
          <w:sz w:val="20"/>
          <w:szCs w:val="20"/>
        </w:rPr>
        <w:t xml:space="preserve">Rotating machinery fault diagnosis method by combining time-frequency domain features and CNN knowledge transfer. </w:t>
      </w:r>
      <w:r>
        <w:rPr>
          <w:rFonts w:ascii="Arial" w:cs="Arial" w:eastAsia="Arial" w:hAnsi="Arial"/>
          <w:sz w:val="20"/>
          <w:szCs w:val="20"/>
        </w:rPr>
        <w:t xml:space="preserve">Sensors, 21(24), 8168. https://doi.org/10.3390/s21248168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CNN Backbone Comparison — CWT Scalogram Machining Classification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5C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B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3A3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2026-06-07T19:58:49.846Z</dcterms:created>
  <dcterms:modified xsi:type="dcterms:W3CDTF">2026-06-07T19:58:49.857Z</dcterms:modified>
</cp:coreProperties>
</file>

<file path=docProps/custom.xml><?xml version="1.0" encoding="utf-8"?>
<Properties xmlns="http://schemas.openxmlformats.org/officeDocument/2006/custom-properties" xmlns:vt="http://schemas.openxmlformats.org/officeDocument/2006/docPropsVTypes"/>
</file>