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A2" w:rsidRPr="00FE4BFE" w:rsidRDefault="003D21A2" w:rsidP="003D21A2">
      <w:pPr>
        <w:pStyle w:val="Caption"/>
        <w:keepNext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Supplementary </w:t>
      </w:r>
      <w:bookmarkStart w:id="0" w:name="_GoBack"/>
      <w:bookmarkEnd w:id="0"/>
      <w:r w:rsidRPr="00FE4BFE">
        <w:rPr>
          <w:rFonts w:ascii="Arial" w:hAnsi="Arial" w:cs="Arial"/>
          <w:sz w:val="22"/>
          <w:szCs w:val="22"/>
          <w:lang w:val="en-US"/>
        </w:rPr>
        <w:t xml:space="preserve">Table </w:t>
      </w:r>
      <w:r w:rsidRPr="00FE4BFE">
        <w:rPr>
          <w:rFonts w:ascii="Arial" w:hAnsi="Arial" w:cs="Arial"/>
          <w:sz w:val="22"/>
          <w:szCs w:val="22"/>
        </w:rPr>
        <w:fldChar w:fldCharType="begin"/>
      </w:r>
      <w:r w:rsidRPr="00FE4BFE">
        <w:rPr>
          <w:rFonts w:ascii="Arial" w:hAnsi="Arial" w:cs="Arial"/>
          <w:sz w:val="22"/>
          <w:szCs w:val="22"/>
          <w:lang w:val="en-US"/>
        </w:rPr>
        <w:instrText xml:space="preserve"> SEQ Table \* ARABIC </w:instrText>
      </w:r>
      <w:r w:rsidRPr="00FE4BFE">
        <w:rPr>
          <w:rFonts w:ascii="Arial" w:hAnsi="Arial" w:cs="Arial"/>
          <w:sz w:val="22"/>
          <w:szCs w:val="22"/>
        </w:rPr>
        <w:fldChar w:fldCharType="separate"/>
      </w:r>
      <w:r w:rsidRPr="00FE4BFE">
        <w:rPr>
          <w:rFonts w:ascii="Arial" w:hAnsi="Arial" w:cs="Arial"/>
          <w:noProof/>
          <w:sz w:val="22"/>
          <w:szCs w:val="22"/>
          <w:lang w:val="en-US"/>
        </w:rPr>
        <w:t>2</w:t>
      </w:r>
      <w:r w:rsidRPr="00FE4BFE">
        <w:rPr>
          <w:rFonts w:ascii="Arial" w:hAnsi="Arial" w:cs="Arial"/>
          <w:sz w:val="22"/>
          <w:szCs w:val="22"/>
        </w:rPr>
        <w:fldChar w:fldCharType="end"/>
      </w:r>
      <w:r w:rsidRPr="00FE4BFE">
        <w:rPr>
          <w:rFonts w:ascii="Arial" w:hAnsi="Arial" w:cs="Arial"/>
          <w:sz w:val="22"/>
          <w:szCs w:val="22"/>
          <w:lang w:val="en-US"/>
        </w:rPr>
        <w:t xml:space="preserve"> Pathways associated with the Top 1000 CpG sites (500 </w:t>
      </w:r>
      <w:proofErr w:type="gramStart"/>
      <w:r w:rsidRPr="00FE4BFE">
        <w:rPr>
          <w:rFonts w:ascii="Arial" w:hAnsi="Arial" w:cs="Arial"/>
          <w:sz w:val="22"/>
          <w:szCs w:val="22"/>
          <w:lang w:val="en-US"/>
        </w:rPr>
        <w:t>hyper</w:t>
      </w:r>
      <w:proofErr w:type="gramEnd"/>
      <w:r w:rsidRPr="00FE4BFE">
        <w:rPr>
          <w:rFonts w:ascii="Arial" w:hAnsi="Arial" w:cs="Arial"/>
          <w:sz w:val="22"/>
          <w:szCs w:val="22"/>
          <w:lang w:val="en-US"/>
        </w:rPr>
        <w:t xml:space="preserve"> and 500 hypomethylated sites)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25"/>
        <w:gridCol w:w="1431"/>
        <w:gridCol w:w="1480"/>
        <w:gridCol w:w="1455"/>
        <w:gridCol w:w="1455"/>
        <w:gridCol w:w="1470"/>
      </w:tblGrid>
      <w:tr w:rsidR="003D21A2" w:rsidRPr="00FE4BFE" w:rsidTr="003A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Pathway name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Set size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Candidates contained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 xml:space="preserve">q-value 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Pathway source</w:t>
            </w:r>
          </w:p>
        </w:tc>
      </w:tr>
      <w:tr w:rsidR="003D21A2" w:rsidRPr="00FE4BFE" w:rsidTr="003A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Chemokine signaling pathway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189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11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1.26e-05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0.00072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KEGG</w:t>
            </w:r>
          </w:p>
        </w:tc>
      </w:tr>
      <w:tr w:rsidR="003D21A2" w:rsidRPr="00FE4BFE" w:rsidTr="003A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Cytokine – cytokine receptor interaction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294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13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3.84e-05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0.0011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KEGG</w:t>
            </w:r>
          </w:p>
        </w:tc>
      </w:tr>
      <w:tr w:rsidR="003D21A2" w:rsidRPr="00FE4BFE" w:rsidTr="003A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NF-kappa B signaling pathway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0.00011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0.00208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KEGG</w:t>
            </w:r>
          </w:p>
        </w:tc>
      </w:tr>
      <w:tr w:rsidR="003D21A2" w:rsidRPr="00FE4BFE" w:rsidTr="003A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Immune System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1840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34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0.00318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0.0453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Reactome</w:t>
            </w:r>
          </w:p>
        </w:tc>
      </w:tr>
      <w:tr w:rsidR="003D21A2" w:rsidRPr="00FE4BFE" w:rsidTr="003A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Human cytomegalovirus infection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225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0.00477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0.0544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KEGG</w:t>
            </w:r>
          </w:p>
        </w:tc>
      </w:tr>
      <w:tr w:rsidR="003D21A2" w:rsidRPr="00FE4BFE" w:rsidTr="003A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Toll-like receptor signaling pathway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104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0.00726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0.066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KEGG</w:t>
            </w:r>
          </w:p>
        </w:tc>
      </w:tr>
      <w:tr w:rsidR="003D21A2" w:rsidRPr="00FE4BFE" w:rsidTr="003A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D21A2" w:rsidRPr="0028057C" w:rsidRDefault="003D21A2" w:rsidP="003A389F">
            <w:pPr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mTOR signaling pathway</w:t>
            </w:r>
          </w:p>
        </w:tc>
        <w:tc>
          <w:tcPr>
            <w:tcW w:w="1431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101</w:t>
            </w:r>
          </w:p>
        </w:tc>
        <w:tc>
          <w:tcPr>
            <w:tcW w:w="148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0.00811</w:t>
            </w:r>
          </w:p>
        </w:tc>
        <w:tc>
          <w:tcPr>
            <w:tcW w:w="1455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0.066</w:t>
            </w:r>
          </w:p>
        </w:tc>
        <w:tc>
          <w:tcPr>
            <w:tcW w:w="1470" w:type="dxa"/>
          </w:tcPr>
          <w:p w:rsidR="003D21A2" w:rsidRPr="0028057C" w:rsidRDefault="003D21A2" w:rsidP="003A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057C">
              <w:rPr>
                <w:rFonts w:ascii="Arial" w:hAnsi="Arial" w:cs="Arial"/>
                <w:sz w:val="18"/>
                <w:szCs w:val="18"/>
                <w:lang w:val="en-US"/>
              </w:rPr>
              <w:t>KEGG</w:t>
            </w:r>
          </w:p>
        </w:tc>
      </w:tr>
    </w:tbl>
    <w:p w:rsidR="009D7585" w:rsidRDefault="003D21A2"/>
    <w:sectPr w:rsidR="009D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TMztTQ1NjI0NTZX0lEKTi0uzszPAykwrAUAytCjqCwAAAA="/>
  </w:docVars>
  <w:rsids>
    <w:rsidRoot w:val="003D21A2"/>
    <w:rsid w:val="00314A1F"/>
    <w:rsid w:val="003D21A2"/>
    <w:rsid w:val="004A03CF"/>
    <w:rsid w:val="009C36A5"/>
    <w:rsid w:val="00E7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C235"/>
  <w15:chartTrackingRefBased/>
  <w15:docId w15:val="{DF045D55-1975-4C0F-A7C9-56C2143E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2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3D21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>Maastricht University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 Tim (TGX)</dc:creator>
  <cp:keywords/>
  <dc:description/>
  <cp:lastModifiedBy>Kuijpers, Tim (TGX)</cp:lastModifiedBy>
  <cp:revision>1</cp:revision>
  <dcterms:created xsi:type="dcterms:W3CDTF">2020-12-04T11:57:00Z</dcterms:created>
  <dcterms:modified xsi:type="dcterms:W3CDTF">2020-12-04T11:58:00Z</dcterms:modified>
</cp:coreProperties>
</file>