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9F23" w14:textId="77777777" w:rsidR="006052C0" w:rsidRPr="006052C0" w:rsidRDefault="006052C0" w:rsidP="006052C0">
      <w:pPr>
        <w:rPr>
          <w:rStyle w:val="a5"/>
          <w:sz w:val="28"/>
          <w:szCs w:val="28"/>
        </w:rPr>
      </w:pPr>
      <w:r w:rsidRPr="006052C0">
        <w:rPr>
          <w:rStyle w:val="a5"/>
          <w:sz w:val="28"/>
          <w:szCs w:val="28"/>
        </w:rPr>
        <w:t>cities and administrative boundaries</w:t>
      </w:r>
    </w:p>
    <w:p w14:paraId="40D2FC1A" w14:textId="77777777" w:rsidR="006052C0" w:rsidRDefault="006052C0" w:rsidP="00A5150B">
      <w:pPr>
        <w:rPr>
          <w:rStyle w:val="a5"/>
          <w:b w:val="0"/>
          <w:bCs w:val="0"/>
        </w:rPr>
      </w:pPr>
    </w:p>
    <w:p w14:paraId="19841FBE" w14:textId="082CFC2D" w:rsidR="00B27EE3" w:rsidRDefault="00A5150B" w:rsidP="00A5150B">
      <w:pPr>
        <w:rPr>
          <w:rStyle w:val="a5"/>
          <w:b w:val="0"/>
          <w:bCs w:val="0"/>
        </w:rPr>
      </w:pPr>
      <w:r w:rsidRPr="00A5150B">
        <w:rPr>
          <w:rStyle w:val="a5"/>
          <w:b w:val="0"/>
          <w:bCs w:val="0"/>
        </w:rPr>
        <w:t>Urban regionalization analysis through spatial data analysis already exists in a number of studies, such as the delineation of policy-relevant urban area boundaries in England through the analysis of spatial economic data</w:t>
      </w:r>
      <w:r>
        <w:rPr>
          <w:rStyle w:val="a5"/>
          <w:b w:val="0"/>
          <w:bCs w:val="0"/>
        </w:rPr>
        <w:t xml:space="preserve"> </w:t>
      </w:r>
      <w:r>
        <w:rPr>
          <w:rStyle w:val="a5"/>
          <w:b w:val="0"/>
          <w:bCs w:val="0"/>
        </w:rPr>
        <w:fldChar w:fldCharType="begin"/>
      </w:r>
      <w:r>
        <w:rPr>
          <w:rStyle w:val="a5"/>
          <w:b w:val="0"/>
          <w:bCs w:val="0"/>
        </w:rPr>
        <w:instrText xml:space="preserve"> ADDIN ZOTERO_ITEM CSL_CITATION {"citationID":"SODD04eo","properties":{"formattedCitation":"(Coombes, 2014)","plainCitation":"(Coombes, 2014)","noteIndex":0},"citationItems":[{"id":97,"uris":["http://zotero.org/users/11014702/items/HWSIGH67"],"itemData":{"id":97,"type":"article-journal","abstract":"Defining city-region boundaries for governance or policy requires robust data analysis reflecting a conceptualisation of city-regions. Geddes introduced the concept to England and both fundamental and contingent features he identified remain valid. Subsequent work has not clarified issues raised by the contingent features and one of these—whether or not cities dominate the region definitions—here structures the review of city-region definition methods. Following a historical review of the failure of proposals for English city-region governance geography—which ascribes a key role in those failures to institutional inertia fuelled by rural interests—a review of the ‘city-centric’ methods which exacerbate rural opposition shows they fail to meet essential requirements. By contrast a ‘regions first’ approach to city-region definition is shown capable of implementing all the fundamental features of the concept, including the analysis of flows over and above those of commuting.","container-title":"Urban Studies","DOI":"10.1177/0042098013493482","ISSN":"0042-0980, 1360-063X","issue":"11","journalAbbreviation":"Urban Studies","language":"en","page":"2426-2443","source":"DOI.org (Crossref)","title":"From City-region Concept to Boundaries for Governance: The English Case","title-short":"From City-region Concept to Boundaries for Governance","volume":"51","author":[{"family":"Coombes","given":"Mike"}],"issued":{"date-parts":[["2014",8]]}}}],"schema":"https://github.com/citation-style-language/schema/raw/master/csl-citation.json"} </w:instrText>
      </w:r>
      <w:r>
        <w:rPr>
          <w:rStyle w:val="a5"/>
          <w:b w:val="0"/>
          <w:bCs w:val="0"/>
        </w:rPr>
        <w:fldChar w:fldCharType="separate"/>
      </w:r>
      <w:r w:rsidRPr="00C9699D">
        <w:rPr>
          <w:rStyle w:val="a5"/>
          <w:b w:val="0"/>
          <w:bCs w:val="0"/>
        </w:rPr>
        <w:t>(Coombes, 2014)</w:t>
      </w:r>
      <w:r>
        <w:rPr>
          <w:rStyle w:val="a5"/>
          <w:b w:val="0"/>
          <w:bCs w:val="0"/>
        </w:rPr>
        <w:fldChar w:fldCharType="end"/>
      </w:r>
      <w:r w:rsidRPr="00A5150B">
        <w:rPr>
          <w:rStyle w:val="a5"/>
          <w:b w:val="0"/>
          <w:bCs w:val="0"/>
        </w:rPr>
        <w:t>.</w:t>
      </w:r>
      <w:r>
        <w:rPr>
          <w:rStyle w:val="a5"/>
          <w:b w:val="0"/>
          <w:bCs w:val="0"/>
        </w:rPr>
        <w:t xml:space="preserve"> </w:t>
      </w:r>
    </w:p>
    <w:p w14:paraId="4E4A047C" w14:textId="77777777" w:rsidR="00B27EE3" w:rsidRDefault="00B713A9" w:rsidP="00A5150B">
      <w:pPr>
        <w:rPr>
          <w:rStyle w:val="a5"/>
          <w:b w:val="0"/>
          <w:bCs w:val="0"/>
        </w:rPr>
      </w:pPr>
      <w:r w:rsidRPr="00B713A9">
        <w:rPr>
          <w:rStyle w:val="a5"/>
          <w:b w:val="0"/>
          <w:bCs w:val="0"/>
        </w:rPr>
        <w:t>The article provides an empirical discussion of the application of deductive and inductive approaches to the principles that define urban areas, respectively.</w:t>
      </w:r>
      <w:r>
        <w:rPr>
          <w:rStyle w:val="a5"/>
          <w:b w:val="0"/>
          <w:bCs w:val="0"/>
        </w:rPr>
        <w:t xml:space="preserve">  </w:t>
      </w:r>
      <w:r w:rsidRPr="00B713A9">
        <w:rPr>
          <w:rStyle w:val="a5"/>
          <w:b w:val="0"/>
          <w:bCs w:val="0"/>
        </w:rPr>
        <w:t>The theoretical basis for this application is based on a theory of urban reform that was developed a hundred years ago: mobile data sets will provide the basis for defining the boundaries of urban areas</w:t>
      </w:r>
      <w:r>
        <w:rPr>
          <w:rStyle w:val="a5"/>
          <w:b w:val="0"/>
          <w:bCs w:val="0"/>
        </w:rPr>
        <w:t xml:space="preserve"> </w:t>
      </w:r>
      <w:r>
        <w:rPr>
          <w:rStyle w:val="a5"/>
          <w:b w:val="0"/>
          <w:bCs w:val="0"/>
        </w:rPr>
        <w:fldChar w:fldCharType="begin"/>
      </w:r>
      <w:r>
        <w:rPr>
          <w:rStyle w:val="a5"/>
          <w:b w:val="0"/>
          <w:bCs w:val="0"/>
        </w:rPr>
        <w:instrText xml:space="preserve"> ADDIN ZOTERO_ITEM CSL_CITATION {"citationID":"HdjPBj8P","properties":{"formattedCitation":"(Geddes, 1915)","plainCitation":"(Geddes, 1915)","noteIndex":0},"citationItems":[{"id":188,"uris":["http://zotero.org/users/11014702/items/VGZ8JCTB"],"itemData":{"id":188,"type":"book","event-place":"London","note":"Open Library ID: OL7136247M","number-of-pages":"xv, 409","publisher":"Williams","publisher-place":"London","source":"The Open Library","title":"Cities in evolution: an introduction to the town planning movement and to the study of civics.","title-short":"Cities in evolution","author":[{"family":"Geddes","given":"Sir Patrick"}],"issued":{"date-parts":[["1915"]]}}}],"schema":"https://github.com/citation-style-language/schema/raw/master/csl-citation.json"} </w:instrText>
      </w:r>
      <w:r>
        <w:rPr>
          <w:rStyle w:val="a5"/>
          <w:b w:val="0"/>
          <w:bCs w:val="0"/>
        </w:rPr>
        <w:fldChar w:fldCharType="separate"/>
      </w:r>
      <w:r w:rsidRPr="00C9699D">
        <w:rPr>
          <w:rStyle w:val="a5"/>
          <w:b w:val="0"/>
          <w:bCs w:val="0"/>
        </w:rPr>
        <w:t>(Geddes, 1915)</w:t>
      </w:r>
      <w:r>
        <w:rPr>
          <w:rStyle w:val="a5"/>
          <w:b w:val="0"/>
          <w:bCs w:val="0"/>
        </w:rPr>
        <w:fldChar w:fldCharType="end"/>
      </w:r>
      <w:r w:rsidRPr="00B713A9">
        <w:rPr>
          <w:rStyle w:val="a5"/>
          <w:b w:val="0"/>
          <w:bCs w:val="0"/>
        </w:rPr>
        <w:t>.</w:t>
      </w:r>
      <w:r>
        <w:rPr>
          <w:rStyle w:val="a5"/>
          <w:b w:val="0"/>
          <w:bCs w:val="0"/>
        </w:rPr>
        <w:t xml:space="preserve"> </w:t>
      </w:r>
    </w:p>
    <w:p w14:paraId="4405E8C1" w14:textId="089AEAFB" w:rsidR="00A5150B" w:rsidRDefault="00C9699D" w:rsidP="00A5150B">
      <w:pPr>
        <w:rPr>
          <w:rStyle w:val="a5"/>
          <w:b w:val="0"/>
          <w:bCs w:val="0"/>
        </w:rPr>
      </w:pPr>
      <w:r w:rsidRPr="00C9699D">
        <w:rPr>
          <w:rStyle w:val="a5"/>
          <w:b w:val="0"/>
          <w:bCs w:val="0"/>
        </w:rPr>
        <w:t>This work has had a profound influence on urban zoning, for example, and later researchers have drawn a very general principle from it that most of the time it is more appropriate to define regional sets first before zoning within a region</w:t>
      </w:r>
      <w:r w:rsidR="008066CF">
        <w:rPr>
          <w:rStyle w:val="a5"/>
          <w:b w:val="0"/>
          <w:bCs w:val="0"/>
        </w:rPr>
        <w:t>, and s</w:t>
      </w:r>
      <w:r w:rsidR="008066CF" w:rsidRPr="008066CF">
        <w:rPr>
          <w:rStyle w:val="a5"/>
          <w:b w:val="0"/>
          <w:bCs w:val="0"/>
        </w:rPr>
        <w:t>ome urban areas are polycentric</w:t>
      </w:r>
      <w:r w:rsidR="008066CF">
        <w:rPr>
          <w:rStyle w:val="a5"/>
          <w:b w:val="0"/>
          <w:bCs w:val="0"/>
        </w:rPr>
        <w:t>.</w:t>
      </w:r>
      <w:r>
        <w:rPr>
          <w:rStyle w:val="a5"/>
          <w:b w:val="0"/>
          <w:bCs w:val="0"/>
        </w:rPr>
        <w:t xml:space="preserve"> </w:t>
      </w:r>
      <w:r>
        <w:rPr>
          <w:rStyle w:val="a5"/>
          <w:b w:val="0"/>
          <w:bCs w:val="0"/>
        </w:rPr>
        <w:fldChar w:fldCharType="begin"/>
      </w:r>
      <w:r>
        <w:rPr>
          <w:rStyle w:val="a5"/>
          <w:b w:val="0"/>
          <w:bCs w:val="0"/>
        </w:rPr>
        <w:instrText xml:space="preserve"> ADDIN ZOTERO_ITEM CSL_CITATION {"citationID":"pU2lcd5g","properties":{"formattedCitation":"(Parr, 2005)","plainCitation":"(Parr, 2005)","noteIndex":0},"citationItems":[{"id":175,"uris":["http://zotero.org/users/11014702/items/YESD9HTS"],"itemData":{"id":175,"type":"article-journal","abstract":"Parr J. B. (2005) Perspectives on the city-region, Regional Studies 39 , 555-566. The significance of the city-region as a key feature of the space economy of a nation has been acknowledged for some time. Recently, however, there has been a spate of interest in the city-region, and the reasons for this are varied. The form of a typical city-region is discussed, with consideration given to its zonal structure and the accompanying inter-zonal interaction. Such interaction, which occurs with respect to trade, commuting, capital movements, etc., does not imply that the city-region represents a closed economy. The long-term evolution of the city-region is outlined, and a pattern of concentration followed by deconcentration is identified. Certain technical issues relating to the form of the city-region are then examined. Finally, there is a brief review of the different ways in which the city-region has been defined in the UK over recent years.","container-title":"Regional Studies","DOI":"10.1080/00343400500151798","journalAbbreviation":"Regional Studies","page":"555-566","source":"ResearchGate","title":"Perspectives on the City-Region","volume":"39","author":[{"family":"Parr","given":"John"}],"issued":{"date-parts":[["2005",2,1]]}}}],"schema":"https://github.com/citation-style-language/schema/raw/master/csl-citation.json"} </w:instrText>
      </w:r>
      <w:r>
        <w:rPr>
          <w:rStyle w:val="a5"/>
          <w:b w:val="0"/>
          <w:bCs w:val="0"/>
        </w:rPr>
        <w:fldChar w:fldCharType="separate"/>
      </w:r>
      <w:r w:rsidRPr="00C9699D">
        <w:rPr>
          <w:rFonts w:ascii="Calibri" w:hAnsi="Calibri" w:cs="Calibri"/>
        </w:rPr>
        <w:t>(Parr, 2005)</w:t>
      </w:r>
      <w:r>
        <w:rPr>
          <w:rStyle w:val="a5"/>
          <w:b w:val="0"/>
          <w:bCs w:val="0"/>
        </w:rPr>
        <w:fldChar w:fldCharType="end"/>
      </w:r>
      <w:r>
        <w:rPr>
          <w:rStyle w:val="a5"/>
          <w:rFonts w:hint="eastAsia"/>
          <w:b w:val="0"/>
          <w:bCs w:val="0"/>
        </w:rPr>
        <w:t>.</w:t>
      </w:r>
      <w:r>
        <w:rPr>
          <w:rStyle w:val="a5"/>
          <w:b w:val="0"/>
          <w:bCs w:val="0"/>
        </w:rPr>
        <w:t xml:space="preserve"> </w:t>
      </w:r>
    </w:p>
    <w:p w14:paraId="3A35622C" w14:textId="32B1FD2F" w:rsidR="00B27EE3" w:rsidRDefault="00B27EE3" w:rsidP="00A5150B">
      <w:pPr>
        <w:rPr>
          <w:rStyle w:val="a5"/>
          <w:b w:val="0"/>
          <w:bCs w:val="0"/>
        </w:rPr>
      </w:pPr>
      <w:r w:rsidRPr="00B27EE3">
        <w:rPr>
          <w:rStyle w:val="a5"/>
          <w:b w:val="0"/>
          <w:bCs w:val="0"/>
        </w:rPr>
        <w:t xml:space="preserve">New urban systems are emerging with increasingly polycentric geometries that challenge the traditional urban </w:t>
      </w:r>
      <w:proofErr w:type="spellStart"/>
      <w:r w:rsidRPr="00B27EE3">
        <w:rPr>
          <w:rStyle w:val="a5"/>
          <w:b w:val="0"/>
          <w:bCs w:val="0"/>
        </w:rPr>
        <w:t>center</w:t>
      </w:r>
      <w:proofErr w:type="spellEnd"/>
      <w:r w:rsidRPr="00B27EE3">
        <w:rPr>
          <w:rStyle w:val="a5"/>
          <w:b w:val="0"/>
          <w:bCs w:val="0"/>
        </w:rPr>
        <w:t xml:space="preserve"> model</w:t>
      </w:r>
      <w:r>
        <w:rPr>
          <w:rStyle w:val="a5"/>
          <w:b w:val="0"/>
          <w:bCs w:val="0"/>
        </w:rPr>
        <w:t xml:space="preserve"> </w:t>
      </w:r>
      <w:r>
        <w:rPr>
          <w:rStyle w:val="a5"/>
          <w:b w:val="0"/>
          <w:bCs w:val="0"/>
        </w:rPr>
        <w:fldChar w:fldCharType="begin"/>
      </w:r>
      <w:r>
        <w:rPr>
          <w:rStyle w:val="a5"/>
          <w:b w:val="0"/>
          <w:bCs w:val="0"/>
        </w:rPr>
        <w:instrText xml:space="preserve"> ADDIN ZOTERO_ITEM CSL_CITATION {"citationID":"L8iswrwG","properties":{"formattedCitation":"(Keil, 1994)","plainCitation":"(Keil, 1994)","noteIndex":0},"citationItems":[{"id":195,"uris":["http://zotero.org/users/11014702/items/35TANNHF"],"itemData":{"id":195,"type":"article-journal","container-title":"Environment and Planning D: Society and Space","DOI":"10.1068/d120131","ISSN":"0263-7758","issue":"2","journalAbbreviation":"Environ Plan D","language":"en","note":"publisher: SAGE Publications Ltd STM","page":"131-136","source":"SAGE Journals","title":"Global Sprawl: Urban form after Fordism?","title-short":"Global Sprawl","volume":"12","author":[{"family":"Keil","given":"Roger"}],"issued":{"date-parts":[["1994",4,1]]}}}],"schema":"https://github.com/citation-style-language/schema/raw/master/csl-citation.json"} </w:instrText>
      </w:r>
      <w:r>
        <w:rPr>
          <w:rStyle w:val="a5"/>
          <w:b w:val="0"/>
          <w:bCs w:val="0"/>
        </w:rPr>
        <w:fldChar w:fldCharType="separate"/>
      </w:r>
      <w:r w:rsidRPr="00B27EE3">
        <w:rPr>
          <w:rFonts w:ascii="Calibri" w:hAnsi="Calibri" w:cs="Calibri"/>
        </w:rPr>
        <w:t>(Keil, 1994)</w:t>
      </w:r>
      <w:r>
        <w:rPr>
          <w:rStyle w:val="a5"/>
          <w:b w:val="0"/>
          <w:bCs w:val="0"/>
        </w:rPr>
        <w:fldChar w:fldCharType="end"/>
      </w:r>
      <w:r w:rsidRPr="00B27EE3">
        <w:rPr>
          <w:rStyle w:val="a5"/>
          <w:b w:val="0"/>
          <w:bCs w:val="0"/>
        </w:rPr>
        <w:t>.</w:t>
      </w:r>
    </w:p>
    <w:p w14:paraId="0BF9BF1F" w14:textId="008F8041" w:rsidR="00A5150B" w:rsidRDefault="00A5150B" w:rsidP="00E5689B">
      <w:pPr>
        <w:pStyle w:val="a3"/>
        <w:rPr>
          <w:rStyle w:val="a5"/>
          <w:rFonts w:asciiTheme="minorHAnsi" w:eastAsiaTheme="minorEastAsia" w:hAnsiTheme="minorHAnsi" w:cstheme="minorBidi"/>
          <w:b w:val="0"/>
          <w:bCs w:val="0"/>
          <w:spacing w:val="0"/>
          <w:kern w:val="0"/>
          <w:sz w:val="22"/>
          <w:szCs w:val="22"/>
        </w:rPr>
      </w:pPr>
    </w:p>
    <w:p w14:paraId="1C37F0DE" w14:textId="4A1FBE38" w:rsidR="00C65DEC" w:rsidRDefault="00C65DEC" w:rsidP="00C65DEC">
      <w:r w:rsidRPr="00C65DEC">
        <w:t>One study suggests that urban planning needs to be reconsidered, requiring a new approach to define the "scale" of spatial practices to keep up with the evolving territorial organization of global capitalism by the late 20th century</w:t>
      </w:r>
      <w:r>
        <w:t xml:space="preserve"> </w:t>
      </w:r>
      <w:r>
        <w:fldChar w:fldCharType="begin"/>
      </w:r>
      <w:r>
        <w:instrText xml:space="preserve"> ADDIN ZOTERO_ITEM CSL_CITATION {"citationID":"KkPsXPYw","properties":{"formattedCitation":"(Brenner, 1999)","plainCitation":"(Brenner, 1999)","noteIndex":0},"citationItems":[{"id":181,"uris":["http://zotero.org/users/11014702/items/UNQUTVFV"],"itemData":{"id":181,"type":"article-journal","abstract":"In the rapidly growing literatures on globalisation, many authors have emphasised the apparent disembedding of social relations from their local-territorial pre-conditions. However, such arguments neglect the relatively fixed and immobile forms of territorial organisation upon which the current round of globalisation is premised, such as urban-regional agglomerations and territorial states. This article argues that processes of reterritorialisation—the reconfiguration and re-scaling of forms of territorial organisation such as cities and states—constitute an intrinsic moment of the current round of globalisation. Globalisation is conceived here as a reterritorialisation of both socioeconomic and political-institutional spaces that unfolds simultaneously upon multiple, superimposed geographical scales. The territorial organisation of contemporary urban spaces and state institutions must be viewed at once as a presupposition, a medium and an outcome of this highly conflictual dynamic of global spatial restructuring. On this basis, various dimensions of urban governance in contemporary Europe are analysed as expressions of a politics of scale that is emerging at the geographical interface between processes of urban restructuring and state territorial restructuring.","container-title":"Urban Studies","DOI":"10.1080/0042098993466","ISSN":"0042-0980, 1360-063X","issue":"3","journalAbbreviation":"Urban Studies","language":"en","page":"431-451","source":"DOI.org (Crossref)","title":"Globalisation as Reterritorialisation: The Re-scaling of Urban Governance in the European Union","title-short":"Globalisation as Reterritorialisation","volume":"36","author":[{"family":"Brenner","given":"Neil"}],"issued":{"date-parts":[["1999",3]]}}}],"schema":"https://github.com/citation-style-language/schema/raw/master/csl-citation.json"} </w:instrText>
      </w:r>
      <w:r>
        <w:fldChar w:fldCharType="separate"/>
      </w:r>
      <w:r w:rsidRPr="00C65DEC">
        <w:rPr>
          <w:rFonts w:ascii="Calibri" w:hAnsi="Calibri" w:cs="Calibri"/>
        </w:rPr>
        <w:t>(Brenner, 1999)</w:t>
      </w:r>
      <w:r>
        <w:fldChar w:fldCharType="end"/>
      </w:r>
      <w:r w:rsidRPr="00C65DEC">
        <w:t>.</w:t>
      </w:r>
    </w:p>
    <w:p w14:paraId="2AEAB25E" w14:textId="77777777" w:rsidR="006E5876" w:rsidRDefault="006E5876" w:rsidP="006E5876">
      <w:pPr>
        <w:pStyle w:val="a3"/>
        <w:rPr>
          <w:rStyle w:val="a5"/>
          <w:rFonts w:asciiTheme="minorHAnsi" w:eastAsiaTheme="minorEastAsia" w:hAnsiTheme="minorHAnsi" w:cstheme="minorBidi"/>
          <w:b w:val="0"/>
          <w:bCs w:val="0"/>
          <w:spacing w:val="0"/>
          <w:kern w:val="0"/>
          <w:sz w:val="22"/>
          <w:szCs w:val="22"/>
        </w:rPr>
      </w:pPr>
    </w:p>
    <w:p w14:paraId="42A695AB" w14:textId="3AA3B432" w:rsidR="006E5876" w:rsidRPr="006E5876" w:rsidRDefault="006E5876" w:rsidP="006E5876">
      <w:pPr>
        <w:pStyle w:val="a3"/>
        <w:rPr>
          <w:rStyle w:val="a5"/>
          <w:rFonts w:asciiTheme="minorHAnsi" w:eastAsiaTheme="minorEastAsia" w:hAnsiTheme="minorHAnsi" w:cstheme="minorBidi"/>
          <w:b w:val="0"/>
          <w:bCs w:val="0"/>
          <w:spacing w:val="0"/>
          <w:kern w:val="0"/>
          <w:sz w:val="22"/>
          <w:szCs w:val="22"/>
        </w:rPr>
      </w:pPr>
      <w:r w:rsidRPr="006E5876">
        <w:rPr>
          <w:rStyle w:val="a5"/>
          <w:rFonts w:asciiTheme="minorHAnsi" w:eastAsiaTheme="minorEastAsia" w:hAnsiTheme="minorHAnsi" w:cstheme="minorBidi"/>
          <w:b w:val="0"/>
          <w:bCs w:val="0"/>
          <w:spacing w:val="0"/>
          <w:kern w:val="0"/>
          <w:sz w:val="22"/>
          <w:szCs w:val="22"/>
        </w:rPr>
        <w:t>In the classic paper on re-scaling cities</w:t>
      </w:r>
      <w:r>
        <w:rPr>
          <w:rStyle w:val="a5"/>
          <w:rFonts w:asciiTheme="minorHAnsi" w:eastAsiaTheme="minorEastAsia" w:hAnsiTheme="minorHAnsi" w:cstheme="minorBidi"/>
          <w:b w:val="0"/>
          <w:bCs w:val="0"/>
          <w:spacing w:val="0"/>
          <w:kern w:val="0"/>
          <w:sz w:val="22"/>
          <w:szCs w:val="22"/>
        </w:rPr>
        <w:t xml:space="preserve"> </w:t>
      </w:r>
      <w:r>
        <w:rPr>
          <w:rStyle w:val="a5"/>
          <w:rFonts w:asciiTheme="minorHAnsi" w:eastAsiaTheme="minorEastAsia" w:hAnsiTheme="minorHAnsi" w:cstheme="minorBidi"/>
          <w:b w:val="0"/>
          <w:bCs w:val="0"/>
          <w:spacing w:val="0"/>
          <w:kern w:val="0"/>
          <w:sz w:val="22"/>
          <w:szCs w:val="22"/>
        </w:rPr>
        <w:fldChar w:fldCharType="begin"/>
      </w:r>
      <w:r>
        <w:rPr>
          <w:rStyle w:val="a5"/>
          <w:rFonts w:asciiTheme="minorHAnsi" w:eastAsiaTheme="minorEastAsia" w:hAnsiTheme="minorHAnsi" w:cstheme="minorBidi"/>
          <w:b w:val="0"/>
          <w:bCs w:val="0"/>
          <w:spacing w:val="0"/>
          <w:kern w:val="0"/>
          <w:sz w:val="22"/>
          <w:szCs w:val="22"/>
        </w:rPr>
        <w:instrText xml:space="preserve"> ADDIN ZOTERO_ITEM CSL_CITATION {"citationID":"P18tpDlE","properties":{"formattedCitation":"(Friedmann &amp; Wolff, 1982)","plainCitation":"(Friedmann &amp; Wolff, 1982)","noteIndex":0},"citationItems":[{"id":177,"uris":["http://zotero.org/users/11014702/items/U9X3CDXV"],"itemData":{"id":177,"type":"article-journal","container-title":"International Journal of Urban and Regional Research","DOI":"10.1111/j.1468-2427.1982.tb00384.x","ISSN":"1468-2427","issue":"3","language":"en","note":"_eprint: https://onlinelibrary.wiley.com/doi/pdf/10.1111/j.1468-2427.1982.tb00384.x","page":"309-344","source":"Wiley Online Library","title":"World city formation: an agenda for research and action","title-short":"World city formation","volume":"6","author":[{"family":"Friedmann","given":"John"},{"family":"Wolff","given":"Goetz"}],"issued":{"date-parts":[["1982"]]}}}],"schema":"https://github.com/citation-style-language/schema/raw/master/csl-citation.json"} </w:instrText>
      </w:r>
      <w:r>
        <w:rPr>
          <w:rStyle w:val="a5"/>
          <w:rFonts w:asciiTheme="minorHAnsi" w:eastAsiaTheme="minorEastAsia" w:hAnsiTheme="minorHAnsi" w:cstheme="minorBidi"/>
          <w:b w:val="0"/>
          <w:bCs w:val="0"/>
          <w:spacing w:val="0"/>
          <w:kern w:val="0"/>
          <w:sz w:val="22"/>
          <w:szCs w:val="22"/>
        </w:rPr>
        <w:fldChar w:fldCharType="separate"/>
      </w:r>
      <w:r w:rsidRPr="006E5876">
        <w:rPr>
          <w:rFonts w:ascii="Calibri" w:hAnsi="Calibri" w:cs="Calibri"/>
          <w:sz w:val="22"/>
        </w:rPr>
        <w:t>(Friedmann &amp; Wolff, 1982)</w:t>
      </w:r>
      <w:r>
        <w:rPr>
          <w:rStyle w:val="a5"/>
          <w:rFonts w:asciiTheme="minorHAnsi" w:eastAsiaTheme="minorEastAsia" w:hAnsiTheme="minorHAnsi" w:cstheme="minorBidi"/>
          <w:b w:val="0"/>
          <w:bCs w:val="0"/>
          <w:spacing w:val="0"/>
          <w:kern w:val="0"/>
          <w:sz w:val="22"/>
          <w:szCs w:val="22"/>
        </w:rPr>
        <w:fldChar w:fldCharType="end"/>
      </w:r>
      <w:r w:rsidRPr="006E5876">
        <w:rPr>
          <w:rStyle w:val="a5"/>
          <w:rFonts w:asciiTheme="minorHAnsi" w:eastAsiaTheme="minorEastAsia" w:hAnsiTheme="minorHAnsi" w:cstheme="minorBidi"/>
          <w:b w:val="0"/>
          <w:bCs w:val="0"/>
          <w:spacing w:val="0"/>
          <w:kern w:val="0"/>
          <w:sz w:val="22"/>
          <w:szCs w:val="22"/>
        </w:rPr>
        <w:t>, the following important points are expressed viz:</w:t>
      </w:r>
    </w:p>
    <w:p w14:paraId="0BC88BE7" w14:textId="77777777" w:rsidR="006E5876" w:rsidRPr="006E5876" w:rsidRDefault="006E5876" w:rsidP="006E5876">
      <w:pPr>
        <w:pStyle w:val="a3"/>
        <w:rPr>
          <w:rStyle w:val="a5"/>
          <w:rFonts w:asciiTheme="minorHAnsi" w:eastAsiaTheme="minorEastAsia" w:hAnsiTheme="minorHAnsi" w:cstheme="minorBidi"/>
          <w:b w:val="0"/>
          <w:bCs w:val="0"/>
          <w:spacing w:val="0"/>
          <w:kern w:val="0"/>
          <w:sz w:val="22"/>
          <w:szCs w:val="22"/>
        </w:rPr>
      </w:pPr>
      <w:r w:rsidRPr="006E5876">
        <w:rPr>
          <w:rStyle w:val="a5"/>
          <w:rFonts w:asciiTheme="minorHAnsi" w:eastAsiaTheme="minorEastAsia" w:hAnsiTheme="minorHAnsi" w:cstheme="minorBidi"/>
          <w:b w:val="0"/>
          <w:bCs w:val="0"/>
          <w:spacing w:val="0"/>
          <w:kern w:val="0"/>
          <w:sz w:val="22"/>
          <w:szCs w:val="22"/>
        </w:rPr>
        <w:t xml:space="preserve">The importance of understanding the changing territorial organization of cities and regions in the context of global capitalism, as this can impact the spatial distribution of economic activities, populations, and resources. </w:t>
      </w:r>
    </w:p>
    <w:p w14:paraId="27ABDB09" w14:textId="77777777" w:rsidR="006E5876" w:rsidRPr="006E5876" w:rsidRDefault="006E5876" w:rsidP="006E5876">
      <w:pPr>
        <w:pStyle w:val="a3"/>
        <w:rPr>
          <w:rStyle w:val="a5"/>
          <w:rFonts w:asciiTheme="minorHAnsi" w:eastAsiaTheme="minorEastAsia" w:hAnsiTheme="minorHAnsi" w:cstheme="minorBidi"/>
          <w:b w:val="0"/>
          <w:bCs w:val="0"/>
          <w:spacing w:val="0"/>
          <w:kern w:val="0"/>
          <w:sz w:val="22"/>
          <w:szCs w:val="22"/>
        </w:rPr>
      </w:pPr>
      <w:r w:rsidRPr="006E5876">
        <w:rPr>
          <w:rStyle w:val="a5"/>
          <w:rFonts w:asciiTheme="minorHAnsi" w:eastAsiaTheme="minorEastAsia" w:hAnsiTheme="minorHAnsi" w:cstheme="minorBidi"/>
          <w:b w:val="0"/>
          <w:bCs w:val="0"/>
          <w:spacing w:val="0"/>
          <w:kern w:val="0"/>
          <w:sz w:val="22"/>
          <w:szCs w:val="22"/>
        </w:rPr>
        <w:t xml:space="preserve">The need for a comprehensive and nuanced approach to studying world cities that takes into account multiple factors, such as political economy, culture, and social processes. </w:t>
      </w:r>
    </w:p>
    <w:p w14:paraId="5D43DFA8" w14:textId="06FEB201" w:rsidR="00A5150B" w:rsidRPr="00C9699D" w:rsidRDefault="006E5876" w:rsidP="006E5876">
      <w:pPr>
        <w:pStyle w:val="a3"/>
        <w:rPr>
          <w:rStyle w:val="a5"/>
          <w:rFonts w:asciiTheme="minorHAnsi" w:eastAsiaTheme="minorEastAsia" w:hAnsiTheme="minorHAnsi" w:cstheme="minorBidi"/>
          <w:b w:val="0"/>
          <w:bCs w:val="0"/>
          <w:spacing w:val="0"/>
          <w:kern w:val="0"/>
          <w:sz w:val="22"/>
          <w:szCs w:val="22"/>
        </w:rPr>
      </w:pPr>
      <w:r w:rsidRPr="006E5876">
        <w:rPr>
          <w:rStyle w:val="a5"/>
          <w:rFonts w:asciiTheme="minorHAnsi" w:eastAsiaTheme="minorEastAsia" w:hAnsiTheme="minorHAnsi" w:cstheme="minorBidi"/>
          <w:b w:val="0"/>
          <w:bCs w:val="0"/>
          <w:spacing w:val="0"/>
          <w:kern w:val="0"/>
          <w:sz w:val="22"/>
          <w:szCs w:val="22"/>
        </w:rPr>
        <w:t>The potential for world cities to be sites of both inequality and innovation, where the concentration of economic and social activities can create both opportunities and challenges for different segments of the population.</w:t>
      </w:r>
    </w:p>
    <w:p w14:paraId="1051471A" w14:textId="77777777" w:rsidR="006052C0" w:rsidRDefault="006052C0" w:rsidP="006052C0">
      <w:pPr>
        <w:shd w:val="clear" w:color="auto" w:fill="FFFFFF"/>
        <w:spacing w:after="0" w:line="240" w:lineRule="auto"/>
        <w:textAlignment w:val="baseline"/>
        <w:rPr>
          <w:rStyle w:val="a5"/>
          <w:sz w:val="28"/>
          <w:szCs w:val="28"/>
        </w:rPr>
      </w:pPr>
    </w:p>
    <w:p w14:paraId="31FA5B49" w14:textId="77777777" w:rsidR="006052C0" w:rsidRDefault="006052C0" w:rsidP="006052C0">
      <w:pPr>
        <w:shd w:val="clear" w:color="auto" w:fill="FFFFFF"/>
        <w:spacing w:after="0" w:line="240" w:lineRule="auto"/>
        <w:textAlignment w:val="baseline"/>
        <w:rPr>
          <w:rStyle w:val="a5"/>
          <w:sz w:val="28"/>
          <w:szCs w:val="28"/>
        </w:rPr>
      </w:pPr>
    </w:p>
    <w:p w14:paraId="710B80A5" w14:textId="77777777" w:rsidR="006052C0" w:rsidRDefault="006052C0" w:rsidP="006052C0">
      <w:pPr>
        <w:shd w:val="clear" w:color="auto" w:fill="FFFFFF"/>
        <w:spacing w:after="0" w:line="240" w:lineRule="auto"/>
        <w:textAlignment w:val="baseline"/>
        <w:rPr>
          <w:rStyle w:val="a5"/>
          <w:sz w:val="28"/>
          <w:szCs w:val="28"/>
        </w:rPr>
      </w:pPr>
    </w:p>
    <w:p w14:paraId="4462596A" w14:textId="6C8CCFC4" w:rsidR="006052C0" w:rsidRPr="006052C0" w:rsidRDefault="006052C0" w:rsidP="006052C0">
      <w:pPr>
        <w:shd w:val="clear" w:color="auto" w:fill="FFFFFF"/>
        <w:spacing w:after="0" w:line="240" w:lineRule="auto"/>
        <w:textAlignment w:val="baseline"/>
        <w:rPr>
          <w:rStyle w:val="a5"/>
          <w:sz w:val="28"/>
          <w:szCs w:val="28"/>
        </w:rPr>
      </w:pPr>
      <w:r w:rsidRPr="006052C0">
        <w:rPr>
          <w:rStyle w:val="a5"/>
          <w:sz w:val="28"/>
          <w:szCs w:val="28"/>
        </w:rPr>
        <w:t>planning methods</w:t>
      </w:r>
    </w:p>
    <w:p w14:paraId="71758453" w14:textId="77777777" w:rsidR="006052C0" w:rsidRPr="006052C0" w:rsidRDefault="006052C0" w:rsidP="006052C0"/>
    <w:p w14:paraId="6D9BD8E9" w14:textId="77777777" w:rsidR="00A5150B" w:rsidRPr="00C9699D" w:rsidRDefault="00A5150B" w:rsidP="00E5689B">
      <w:pPr>
        <w:pStyle w:val="a3"/>
        <w:rPr>
          <w:rStyle w:val="a5"/>
          <w:rFonts w:asciiTheme="minorHAnsi" w:eastAsiaTheme="minorEastAsia" w:hAnsiTheme="minorHAnsi" w:cstheme="minorBidi"/>
          <w:b w:val="0"/>
          <w:bCs w:val="0"/>
          <w:spacing w:val="0"/>
          <w:kern w:val="0"/>
          <w:sz w:val="22"/>
          <w:szCs w:val="22"/>
        </w:rPr>
      </w:pPr>
    </w:p>
    <w:p w14:paraId="5A6E7B4F" w14:textId="10D20DE8" w:rsidR="00A5150B" w:rsidRDefault="005A7C68" w:rsidP="00E5689B">
      <w:pPr>
        <w:pStyle w:val="a3"/>
        <w:rPr>
          <w:rStyle w:val="a5"/>
          <w:rFonts w:asciiTheme="minorHAnsi" w:eastAsiaTheme="minorEastAsia" w:hAnsiTheme="minorHAnsi" w:cstheme="minorBidi"/>
          <w:b w:val="0"/>
          <w:bCs w:val="0"/>
          <w:spacing w:val="0"/>
          <w:kern w:val="0"/>
          <w:sz w:val="22"/>
          <w:szCs w:val="22"/>
        </w:rPr>
      </w:pPr>
      <w:r w:rsidRPr="005A7C68">
        <w:rPr>
          <w:rStyle w:val="a5"/>
          <w:rFonts w:asciiTheme="minorHAnsi" w:eastAsiaTheme="minorEastAsia" w:hAnsiTheme="minorHAnsi" w:cstheme="minorBidi"/>
          <w:b w:val="0"/>
          <w:bCs w:val="0"/>
          <w:spacing w:val="0"/>
          <w:kern w:val="0"/>
          <w:sz w:val="22"/>
          <w:szCs w:val="22"/>
        </w:rPr>
        <w:t>Hierarchical Method</w:t>
      </w:r>
      <w:r>
        <w:rPr>
          <w:rStyle w:val="a5"/>
          <w:rFonts w:asciiTheme="minorHAnsi" w:eastAsiaTheme="minorEastAsia" w:hAnsiTheme="minorHAnsi" w:cstheme="minorBidi" w:hint="eastAsia"/>
          <w:b w:val="0"/>
          <w:bCs w:val="0"/>
          <w:spacing w:val="0"/>
          <w:kern w:val="0"/>
          <w:sz w:val="22"/>
          <w:szCs w:val="22"/>
        </w:rPr>
        <w:t>：</w:t>
      </w:r>
    </w:p>
    <w:p w14:paraId="6C5ECCF0" w14:textId="77777777" w:rsidR="005A7C68" w:rsidRDefault="005A7C68" w:rsidP="005A7C68">
      <w:r w:rsidRPr="005A7C68">
        <w:t xml:space="preserve">Hierarchical Method is a clustering method used in data analysis to group data objects based on their similarity. It is a type of unsupervised learning method where the aim is to identify natural groupings of data points without prior knowledge of their labels or categories. In hierarchical clustering, the data objects are grouped into a hierarchy of clusters, where each cluster is a subset of the previous cluster, until all the objects are assigned to a single cluster. </w:t>
      </w:r>
      <w:r w:rsidRPr="005A7C68">
        <w:lastRenderedPageBreak/>
        <w:t>There are two types of hierarchical methods: agglomerative and divisive. In agglomerative hierarchical clustering, each data point is initially considered as a separate cluster, and then the closest pairs of clusters are merged iteratively until a stopping criterion is met. In divisive hierarchical clustering, all the data points are initially assigned to a single cluster, and then the clusters are recursively divided into smaller sub-clusters until a stopping criterion is met</w:t>
      </w:r>
    </w:p>
    <w:p w14:paraId="656C27D7" w14:textId="33BEE71B" w:rsidR="005A7C68" w:rsidRDefault="005A7C68" w:rsidP="005A7C68">
      <w:r>
        <w:fldChar w:fldCharType="begin"/>
      </w:r>
      <w:r w:rsidR="00D81265">
        <w:instrText xml:space="preserve"> ADDIN ZOTERO_ITEM CSL_CITATION {"citationID":"mbSOgxUW","properties":{"formattedCitation":"(Gan et al., 2007a, 2007b; Han et al., 2012; Jain &amp; C. Dubes, 1988)","plainCitation":"(Gan et al., 2007a, 2007b; Han et al., 2012; Jain &amp; C. Dubes, 1988)","noteIndex":0},"citationItems":[{"id":261,"uris":["http://zotero.org/users/11014702/items/9Y2YG4Z8"],"itemData":{"id":261,"type":"book","edition":"by Prentice-Hall, Ine.  ‘A Division of Simon &amp; Schuster  Englewood Cliffs, New Jersey 07632","title":"Algorithms for clustering data","author":[{"family":"Jain","given":"A. K."},{"family":"C. Dubes","given":"Richard"}],"issued":{"date-parts":[["1988"]]}},"label":"page"},{"id":202,"uris":["http://zotero.org/users/11014702/items/YSSPLKXV"],"itemData":{"id":202,"type":"chapter","abstract":"In many applications of cluster analysis, the raw data, or actual measurements, are not used directly unless a probabilistic model for pattern generation is available (Jain and Dubes, 1988). Preparing data for cluster analysis requires some sort of transformation, such as standardization or normalization.Some commonly used data transformation methods for cluster analysis shall be discussed in this chapter. Some methods of data standardization are reviewed in Section 4.1.For convenience, let D* = {x1*, x2*, …, xn*} denote the d-dimensional raw data set. Then the data matrix is an n × d matrix given by(x1*,x2*,…,xn*)T=(x11*x12*</w:instrText>
      </w:r>
      <w:r w:rsidR="00D81265">
        <w:rPr>
          <w:rFonts w:ascii="MS Gothic" w:eastAsia="MS Gothic" w:hAnsi="MS Gothic" w:cs="MS Gothic" w:hint="eastAsia"/>
        </w:rPr>
        <w:instrText>⋯</w:instrText>
      </w:r>
      <w:r w:rsidR="00D81265">
        <w:instrText>x1d*x21*x22*</w:instrText>
      </w:r>
      <w:r w:rsidR="00D81265">
        <w:rPr>
          <w:rFonts w:ascii="MS Gothic" w:eastAsia="MS Gothic" w:hAnsi="MS Gothic" w:cs="MS Gothic" w:hint="eastAsia"/>
        </w:rPr>
        <w:instrText>⋯</w:instrText>
      </w:r>
      <w:r w:rsidR="00D81265">
        <w:instrText>x2d*</w:instrText>
      </w:r>
      <w:r w:rsidR="00D81265">
        <w:rPr>
          <w:rFonts w:ascii="MS Gothic" w:eastAsia="MS Gothic" w:hAnsi="MS Gothic" w:cs="MS Gothic" w:hint="eastAsia"/>
        </w:rPr>
        <w:instrText>⋮⋮⋱⋮</w:instrText>
      </w:r>
      <w:r w:rsidR="00D81265">
        <w:instrText>xn1*xn2*</w:instrText>
      </w:r>
      <w:r w:rsidR="00D81265">
        <w:rPr>
          <w:rFonts w:ascii="MS Gothic" w:eastAsia="MS Gothic" w:hAnsi="MS Gothic" w:cs="MS Gothic" w:hint="eastAsia"/>
        </w:rPr>
        <w:instrText>⋯</w:instrText>
      </w:r>
      <w:r w:rsidR="00D81265">
        <w:instrText xml:space="preserve">xnd*).(4.1)4.1 Data StandardizationData standardization makes data dimensionless. It is useful for defining standard indices. After standardization, all knowledge of the location and scale of the original data may be lost. It is necessary to standardize variables in cases where the dissimilarity measure, such as the Euclidean distance, is sensitive to the differences in the magnitudes or scales of the input variables (Milligan and Cooper, 1988). The approaches of standardization of variables are essentially of two types: global standardization and within-cluster standardization.Global standardization standardizes the variables across all elements in the data set. Within-cluster standardization refers to the standardization that occurs within clusters on each variable. Some forms of standardization can be used in global standardization and within-cluster standardization as well, but some forms of standardization can be used in global standardization only.It is impossible to directly standardize variables within clusters in cluster analysis, since the clusters are not known before standardization. To overcome this difficulty, other approaches must be taken.","collection-title":"ASA-SIAM Series on Statistics and Applied Mathematics","container-title":"Data Clustering: Theory, Algorithms, and Applications","ISBN":"978-0-89871-623-8","note":"DOI: 10.1137/1.9780898718348.ch4","page":"43-52","publisher":"Society for Industrial and Applied Mathematics","source":"epubs.siam.org (Atypon)","title":"4. Data Standardization and Transformation","URL":"https://epubs.siam.org/doi/10.1137/1.9780898718348.ch4","author":[{"family":"Gan","given":"Guojun"},{"family":"Ma","given":"Chaoqun"},{"family":"Wu","given":"Jianhong"}],"accessed":{"date-parts":[["2023",4,4]]},"issued":{"date-parts":[["2007",1]]}}},{"id":197,"uris":["http://zotero.org/users/11014702/items/JTHYYE6E"],"itemData":{"id":197,"type":"book","collection-title":"ASA-SIAM Series on Statistics and Applied Mathematics","ISBN":"978-0-89871-623-8","note":"DOI: 10.1137/1.9780898718348","number-of-pages":"471","publisher":"Society for Industrial and Applied Mathematics","source":"epubs.siam.org (Atypon)","title":"Data Clustering: Theory, Algorithms, and Applications","title-short":"Data Clustering","URL":"https://epubs.siam.org/doi/book/10.1137/1.9780898718348","author":[{"family":"Gan","given":"Guojun"},{"family":"Ma","given":"Chaoqun"},{"family":"Wu","given":"Jianhong"}],"accessed":{"date-parts":[["2023",4,4]]},"issued":{"date-parts":[["2007",1]]}},"label":"page"},{"id":226,"uris":["http://zotero.org/users/11014702/items/5QURG6YX"],"itemData":{"id":226,"type":"chapter","abstract":"This chapter introduces the book which deals with data mining (also known as knowledge discovery from data, or KDD). Data mining is the process of discovering interesting patterns from massive amounts of data. As a knowledge discovery process, it typically involves data cleaning, data integration, data selection, data transformation, pattern discovery, pattern evaluation, and knowledge presentation. The major dimensions of data mining are data, knowledge, technologies, and applications. The book focuses on fundamental data mining concepts and techniques for discovering interesting patterns from data in various applications. Prominent techniques for developing effective, efficient, and scalable data mining tools are focused on. This chapter discusses why data mining is in high demand and how it is part of the natural evolution of information technology. It defines data mining with respect to the knowledge discovery process. Next, data mining from many aspects, such as the kinds of data that can be mined, the kinds of knowledge to be mined, the kinds of technologies to be used and targeted applications are discussed which helps gain a multidimensional view of data mining. Data mining can be conducted on any kind of data as long as the data are meaningful for a target application, such as database data, data warehouse data, transactional data, and advanced data types. Finally major data mining research and development issues are outlined.","collection-title":"The Morgan Kaufmann Series in Data Management Systems","container-title":"Data Mining (Third Edition)","event-place":"Boston","ISBN":"978-0-12-381479-1","language":"en","note":"DOI: 10.1016/B978-0-12-381479-1.00001-0","page":"1-38","publisher":"Morgan Kaufmann","publisher-place":"Boston","source":"ScienceDirect","title":"1 - Introduction","URL":"https://www.sciencedirect.com/science/article/pii/B9780123814791000010","author":[{"family":"Han","given":"Jiawei"},{"family":"Kamber","given":"Micheline"},{"family":"Pei","given":"Jian"}],"editor":[{"family":"Han","given":"Jiawei"},{"family":"Kamber","given":"Micheline"},{"family":"Pei","given":"Jian"}],"accessed":{"date-parts":[["2023",4,4]]},"issued":{"date-parts":[["2012",1,1]]}}}],"schema":"https://github.com/citation-style-language/schema/raw/master/csl-citation.json"} </w:instrText>
      </w:r>
      <w:r>
        <w:fldChar w:fldCharType="separate"/>
      </w:r>
      <w:r w:rsidR="00D81265" w:rsidRPr="00D81265">
        <w:rPr>
          <w:rFonts w:ascii="Calibri" w:hAnsi="Calibri" w:cs="Calibri"/>
        </w:rPr>
        <w:t>(Gan et al., 2007a, 2007b; Han et al., 2012; Jain &amp; C. Dubes, 1988)</w:t>
      </w:r>
      <w:r>
        <w:fldChar w:fldCharType="end"/>
      </w:r>
      <w:r w:rsidRPr="005A7C68">
        <w:t>.</w:t>
      </w:r>
    </w:p>
    <w:p w14:paraId="6676E4FF" w14:textId="3DB4BBF8" w:rsidR="005A7C68" w:rsidRDefault="005A7C68" w:rsidP="005A7C68">
      <w:r w:rsidRPr="005A7C68">
        <w:t>The k-means clustering method is a popular unsupervised learning algorithm used to group data points into clusters based on their similarity. The algorithm works by first selecting a predetermined number of clusters (k) and randomly assigning each data point to one of the k clusters. Then, the algorithm iteratively adjusts the cluster centroids to minimize the sum of squared distances between each data point and its assigned centroid. This process continues until the centroids no longer change or a maximum number of iterations is reached. The result is a set of k clusters, where each data point belongs to the cluster with the closest centroid. The k-means algorithm is widely used in various fields such as image segmentation, data mining, and customer segmentation</w:t>
      </w:r>
      <w:r>
        <w:t xml:space="preserve"> </w:t>
      </w:r>
      <w:r>
        <w:fldChar w:fldCharType="begin"/>
      </w:r>
      <w:r w:rsidR="00D81265">
        <w:instrText xml:space="preserve"> ADDIN ZOTERO_ITEM CSL_CITATION {"citationID":"TSyCF3AQ","properties":{"formattedCitation":"(Jain &amp; C. Dubes, 1988; MacQueen, 1967)","plainCitation":"(Jain &amp; C. Dubes, 1988; MacQueen, 1967)","noteIndex":0},"citationItems":[{"id":261,"uris":["http://zotero.org/users/11014702/items/9Y2YG4Z8"],"itemData":{"id":261,"type":"book","edition":"by Prentice-Hall, Ine.  ‘A Division of Simon &amp; Schuster  Englewood Cliffs, New Jersey 07632","title":"Algorithms for clustering data","author":[{"family":"Jain","given":"A. K."},{"family":"C. Dubes","given":"Richard"}],"issued":{"date-parts":[["1988"]]}}},{"id":230,"uris":["http://zotero.org/users/11014702/items/KIMHR2B3"],"itemData":{"id":230,"type":"article-journal","container-title":"Proceedings of the Fifth Berkeley Symposium on Mathematical Statistics and Probability, Volume 1: Statistics","note":"publisher: University of California Press","page":"281-298","source":"projecteuclid.org","title":"Some methods for classification and analysis of multivariate observations","volume":"5.1","author":[{"family":"MacQueen","given":"J."}],"issued":{"date-parts":[["1967",1,1]]}}}],"schema":"https://github.com/citation-style-language/schema/raw/master/csl-citation.json"} </w:instrText>
      </w:r>
      <w:r>
        <w:fldChar w:fldCharType="separate"/>
      </w:r>
      <w:r w:rsidR="00D81265" w:rsidRPr="00D81265">
        <w:rPr>
          <w:rFonts w:ascii="Calibri" w:hAnsi="Calibri" w:cs="Calibri"/>
        </w:rPr>
        <w:t>(Jain &amp; C. Dubes, 1988; MacQueen, 1967)</w:t>
      </w:r>
      <w:r>
        <w:fldChar w:fldCharType="end"/>
      </w:r>
      <w:r w:rsidRPr="005A7C68">
        <w:t>.</w:t>
      </w:r>
    </w:p>
    <w:p w14:paraId="599BE5AB" w14:textId="4CC6C363" w:rsidR="00D81265" w:rsidRDefault="00D81265" w:rsidP="005A7C68"/>
    <w:p w14:paraId="2CC1C918" w14:textId="3E794D69" w:rsidR="00782DC6" w:rsidRDefault="00D81265" w:rsidP="005A7C68">
      <w:pPr>
        <w:rPr>
          <w:rFonts w:ascii="Calibri" w:hAnsi="Calibri" w:cs="Calibri"/>
        </w:rPr>
      </w:pPr>
      <w:r w:rsidRPr="00D81265">
        <w:rPr>
          <w:rFonts w:ascii="Calibri" w:hAnsi="Calibri" w:cs="Calibri"/>
        </w:rPr>
        <w:t>Supervised regionalization methods involve using prior knowledge or information to guide the regionalization process. These methods usually involve the use of a predefined set of administrative units or boundaries, which are then aggregated or disaggregated to create new regions. One example of a supervised regionalization method is the use of expert opinion or stakeholder input to define regions based on specific criteria or objectives. Another example is the use of a predetermined spatial framework, such as a transportation network or watershed, to define regional boundaries. Supervised regionalization methods can help ensure that the resulting regions are relevant and meaningful to the specific context and goals of the analysis</w:t>
      </w:r>
      <w:r>
        <w:rPr>
          <w:rFonts w:ascii="Calibri" w:hAnsi="Calibri" w:cs="Calibri"/>
        </w:rPr>
        <w:t xml:space="preserve"> </w:t>
      </w:r>
      <w:r>
        <w:rPr>
          <w:rFonts w:ascii="Calibri" w:hAnsi="Calibri" w:cs="Calibri"/>
        </w:rPr>
        <w:fldChar w:fldCharType="begin"/>
      </w:r>
      <w:r w:rsidR="00782DC6">
        <w:rPr>
          <w:rFonts w:ascii="Calibri" w:hAnsi="Calibri" w:cs="Calibri"/>
        </w:rPr>
        <w:instrText xml:space="preserve"> ADDIN ZOTERO_ITEM CSL_CITATION {"citationID":"2JDZdZjl","properties":{"formattedCitation":"(Duque et al., 2007; J. Rey et al., 2020)","plainCitation":"(Duque et al., 2007; J. Rey et al., 2020)","noteIndex":0},"citationItems":[{"id":24,"uris":["http://zotero.org/users/11014702/items/JZDC4MDY"],"itemData":{"id":24,"type":"article-journal","abstract":"This article reviews almost four decades of contributions on the subject of supervised regionalization methods. These methods aggregate a set of areas into a predefined number of spatially contiguous regions while optimizing certain aggregation criteria. The authors present a taxonomic scheme that classifies a wide range of regionalization methods into eight groups, based on the strategy applied for satisfying the spatial contiguity constraint. The article concludes by providing a qualitative comparison of these groups in terms of a set of certain characteristics, and by suggesting future lines of research for extending and improving these methods.","container-title":"International Regional Science Review","DOI":"10.1177/0160017607301605","ISSN":"0160-0176","issue":"3","language":"en","note":"publisher: SAGE Publications Inc","page":"195-220","source":"SAGE Journals","title":"Supervised Regionalization Methods: A Survey","title-short":"Supervised Regionalization Methods","volume":"30","author":[{"family":"Duque","given":"Juan Carlos"},{"family":"Ramos","given":"Raúl"},{"family":"Suriñach","given":"Jordi"}],"issued":{"date-parts":[["2007",7,1]]}}},{"id":268,"uris":["http://zotero.org/users/11014702/items/ZYQ24BSV"],"itemData":{"id":268,"type":"webpage","title":"Geographic Data Science with Python","URL":"https://geographicdata.science/book/intro.html","author":[{"family":"J. Rey","given":"Sergio"},{"family":"Arribas-Bel","given":"Dani"},{"family":"J. Wolf","given":"Levi"}],"accessed":{"date-parts":[["2023",4,4]]},"issued":{"date-parts":[["2020"]]}}}],"schema":"https://github.com/citation-style-language/schema/raw/master/csl-citation.json"} </w:instrText>
      </w:r>
      <w:r>
        <w:rPr>
          <w:rFonts w:ascii="Calibri" w:hAnsi="Calibri" w:cs="Calibri"/>
        </w:rPr>
        <w:fldChar w:fldCharType="separate"/>
      </w:r>
      <w:r w:rsidR="00782DC6" w:rsidRPr="00782DC6">
        <w:rPr>
          <w:rFonts w:ascii="Calibri" w:hAnsi="Calibri" w:cs="Calibri"/>
        </w:rPr>
        <w:t>(Duque et al., 2007; J. Rey et al., 2020)</w:t>
      </w:r>
      <w:r>
        <w:rPr>
          <w:rFonts w:ascii="Calibri" w:hAnsi="Calibri" w:cs="Calibri"/>
        </w:rPr>
        <w:fldChar w:fldCharType="end"/>
      </w:r>
      <w:r w:rsidRPr="00D81265">
        <w:rPr>
          <w:rFonts w:ascii="Calibri" w:hAnsi="Calibri" w:cs="Calibri"/>
        </w:rPr>
        <w:t>.</w:t>
      </w:r>
    </w:p>
    <w:p w14:paraId="79D66C82" w14:textId="320DBCD3" w:rsidR="00D81265" w:rsidRDefault="00D81265" w:rsidP="005A7C68">
      <w:pPr>
        <w:rPr>
          <w:rFonts w:ascii="Calibri" w:hAnsi="Calibri" w:cs="Calibri"/>
        </w:rPr>
      </w:pPr>
    </w:p>
    <w:p w14:paraId="5411BF65" w14:textId="1BCD9C01" w:rsidR="00D81265" w:rsidRDefault="00D81265" w:rsidP="005A7C68">
      <w:pPr>
        <w:rPr>
          <w:rFonts w:ascii="Calibri" w:hAnsi="Calibri" w:cs="Calibri"/>
        </w:rPr>
      </w:pPr>
      <w:r w:rsidRPr="00D81265">
        <w:rPr>
          <w:rFonts w:ascii="Calibri" w:hAnsi="Calibri" w:cs="Calibri"/>
        </w:rPr>
        <w:t xml:space="preserve">Spatial weights refer to a set of mathematical tools used in spatial analysis to measure the relationship between different spatial units. These tools allow analysts to quantify the degree of spatial autocorrelation, or similarity, between </w:t>
      </w:r>
      <w:proofErr w:type="spellStart"/>
      <w:r w:rsidRPr="00D81265">
        <w:rPr>
          <w:rFonts w:ascii="Calibri" w:hAnsi="Calibri" w:cs="Calibri"/>
        </w:rPr>
        <w:t>neighboring</w:t>
      </w:r>
      <w:proofErr w:type="spellEnd"/>
      <w:r w:rsidRPr="00D81265">
        <w:rPr>
          <w:rFonts w:ascii="Calibri" w:hAnsi="Calibri" w:cs="Calibri"/>
        </w:rPr>
        <w:t xml:space="preserve"> units. Spatial weights are used in a wide range of applications, including geographic information systems (GIS), regional science, and economics. They are particularly useful in cluster analysis and spatial regression </w:t>
      </w:r>
      <w:proofErr w:type="spellStart"/>
      <w:r w:rsidRPr="00D81265">
        <w:rPr>
          <w:rFonts w:ascii="Calibri" w:hAnsi="Calibri" w:cs="Calibri"/>
        </w:rPr>
        <w:t>modeling</w:t>
      </w:r>
      <w:proofErr w:type="spellEnd"/>
      <w:r w:rsidRPr="00D81265">
        <w:rPr>
          <w:rFonts w:ascii="Calibri" w:hAnsi="Calibri" w:cs="Calibri"/>
        </w:rPr>
        <w:t>, where they help to account for spatial dependence and heterogeneity in the data. There are several different types of spatial weights, including distance-based weights, contiguity-based weights, and gravity-based weights. The choice of spatial weights depends on the specific research question and the characteristics of the data</w:t>
      </w:r>
      <w:r>
        <w:rPr>
          <w:rFonts w:ascii="Calibri" w:hAnsi="Calibri" w:cs="Calibri"/>
        </w:rPr>
        <w:t xml:space="preserve"> </w:t>
      </w:r>
      <w:r w:rsidR="00782DC6">
        <w:rPr>
          <w:rFonts w:ascii="Calibri" w:hAnsi="Calibri" w:cs="Calibri"/>
        </w:rPr>
        <w:fldChar w:fldCharType="begin"/>
      </w:r>
      <w:r w:rsidR="00782DC6">
        <w:rPr>
          <w:rFonts w:ascii="Calibri" w:hAnsi="Calibri" w:cs="Calibri"/>
        </w:rPr>
        <w:instrText xml:space="preserve"> ADDIN ZOTERO_ITEM CSL_CITATION {"citationID":"8cUoCKlN","properties":{"formattedCitation":"(Anselin &amp; Getis, 1992; Getis, 2009; J. Rey et al., 2020)","plainCitation":"(Anselin &amp; Getis, 1992; Getis, 2009; J. Rey et al., 2020)","noteIndex":0},"citationItems":[{"id":94,"uris":["http://zotero.org/users/11014702/items/ZQ5WVM55"],"itemData":{"id":94,"type":"article-journal","container-title":", 26(1), 19–33. doi:10.1007/bf01581478","issue":", 26(1), 19–33. doi:10.1007/bf01581478","title":"Spatial statistical analysis and geographic information systems.","author":[{"family":"Anselin","given":"Luc"},{"family":"Getis","given":"Arthur"}],"issued":{"date-parts":[["1992"]]}}},{"id":267,"uris":["http://zotero.org/users/11014702/items/JPTERNKK"],"itemData":{"id":267,"type":"article-journal","abstract":"The impetus for Cliff and Ord's landmark article, “The Problem of Spatial Autocorrelation,” was to avoid the problem of topological invariance in the spatial weights matrix. The problem and three points of view on it – theoretical, topological, and empirical – are discussed.","container-title":"Geographical Analysis","DOI":"10.1111/j.1538-4632.2009.00768.x","ISSN":"1538-4632","issue":"4","language":"en","note":"_eprint: https://onlinelibrary.wiley.com/doi/pdf/10.1111/j.1538-4632.2009.00768.x","page":"404-410","source":"Wiley Online Library","title":"Spatial Weights Matrices","volume":"41","author":[{"family":"Getis","given":"Arthur"}],"issued":{"date-parts":[["2009"]]}}},{"id":268,"uris":["http://zotero.org/users/11014702/items/ZYQ24BSV"],"itemData":{"id":268,"type":"webpage","title":"Geographic Data Science with Python","URL":"https://geographicdata.science/book/intro.html","author":[{"family":"J. Rey","given":"Sergio"},{"family":"Arribas-Bel","given":"Dani"},{"family":"J. Wolf","given":"Levi"}],"accessed":{"date-parts":[["2023",4,4]]},"issued":{"date-parts":[["2020"]]}}}],"schema":"https://github.com/citation-style-language/schema/raw/master/csl-citation.json"} </w:instrText>
      </w:r>
      <w:r w:rsidR="00782DC6">
        <w:rPr>
          <w:rFonts w:ascii="Calibri" w:hAnsi="Calibri" w:cs="Calibri"/>
        </w:rPr>
        <w:fldChar w:fldCharType="separate"/>
      </w:r>
      <w:r w:rsidR="00782DC6" w:rsidRPr="00782DC6">
        <w:rPr>
          <w:rFonts w:ascii="Calibri" w:hAnsi="Calibri" w:cs="Calibri"/>
        </w:rPr>
        <w:t>(Anselin &amp; Getis, 1992; Getis, 2009; J. Rey et al., 2020)</w:t>
      </w:r>
      <w:r w:rsidR="00782DC6">
        <w:rPr>
          <w:rFonts w:ascii="Calibri" w:hAnsi="Calibri" w:cs="Calibri"/>
        </w:rPr>
        <w:fldChar w:fldCharType="end"/>
      </w:r>
      <w:r w:rsidRPr="00D81265">
        <w:rPr>
          <w:rFonts w:ascii="Calibri" w:hAnsi="Calibri" w:cs="Calibri"/>
        </w:rPr>
        <w:t>.</w:t>
      </w:r>
    </w:p>
    <w:p w14:paraId="57915FE5" w14:textId="341518FD" w:rsidR="00782DC6" w:rsidRDefault="00782DC6" w:rsidP="005A7C68">
      <w:pPr>
        <w:rPr>
          <w:rFonts w:ascii="Calibri" w:hAnsi="Calibri" w:cs="Calibri"/>
        </w:rPr>
      </w:pPr>
    </w:p>
    <w:p w14:paraId="286C6379" w14:textId="20F70580" w:rsidR="00782DC6" w:rsidRDefault="00782DC6" w:rsidP="005A7C68">
      <w:pPr>
        <w:rPr>
          <w:rFonts w:ascii="Calibri" w:hAnsi="Calibri" w:cs="Calibri"/>
        </w:rPr>
      </w:pPr>
      <w:r w:rsidRPr="00782DC6">
        <w:rPr>
          <w:rFonts w:ascii="Calibri" w:hAnsi="Calibri" w:cs="Calibri"/>
        </w:rPr>
        <w:t xml:space="preserve">Isoperimetric quotient is a mathematical concept that measures the degree of compactness of a geographical unit, such as a district or a region. It is calculated by dividing the area of the unit by the square of its perimeter. The isoperimetric quotient is often used in redistricting and regionalization studies to evaluate the compactness of administrative units and ensure that they are not gerrymandered or irregularly shaped. A higher isoperimetric </w:t>
      </w:r>
      <w:r w:rsidRPr="00782DC6">
        <w:rPr>
          <w:rFonts w:ascii="Calibri" w:hAnsi="Calibri" w:cs="Calibri"/>
        </w:rPr>
        <w:lastRenderedPageBreak/>
        <w:t>quotient indicates a more compact and regular shape, while a lower quotient suggests a more irregular and dispersed shape</w:t>
      </w:r>
      <w:r>
        <w:rPr>
          <w:rFonts w:ascii="Calibri" w:hAnsi="Calibri" w:cs="Calibri"/>
        </w:rPr>
        <w:t xml:space="preserve"> </w:t>
      </w:r>
      <w:r>
        <w:rPr>
          <w:rFonts w:ascii="Calibri" w:hAnsi="Calibri" w:cs="Calibri"/>
        </w:rPr>
        <w:fldChar w:fldCharType="begin"/>
      </w:r>
      <w:r>
        <w:rPr>
          <w:rFonts w:ascii="Calibri" w:hAnsi="Calibri" w:cs="Calibri"/>
        </w:rPr>
        <w:instrText xml:space="preserve"> ADDIN ZOTERO_ITEM CSL_CITATION {"citationID":"4GBb05da","properties":{"formattedCitation":"(Horn et al., 1993; J. Rey et al., 2020)","plainCitation":"(Horn et al., 1993; J. Rey et al., 2020)","noteIndex":0},"citationItems":[{"id":270,"uris":["http://zotero.org/users/11014702/items/BQT4INQA"],"itemData":{"id":270,"type":"article-journal","abstract":"This is the fourth comparative study of compactness measures, as applied to political districting. We review the studies of Manninen, Young and Niemi and consolidate their listings into a single, more refined taxonomy that includes additional measures. We critique certain measures and conclude, with Niemi, that no single measure is perfect. While a few measures may be useful in comparing several redistricting plans for a single state, we argue that the prime value of quantifiable compactness is not in testing for gerrymandering, but as a criterion in a procedure designed to remove discretion from districting. From this perspective, a measure must be understandable and computable by the general public. The area/perimeter-squared measures are sound and workable when used with a pre-published catalogue of district ‘building blocks’, listing their areas and perimeters, and with data modified to eliminate excessive perimeter due to geography.","container-title":"Political Geography","DOI":"10.1016/0962-6298(93)90031-2","ISSN":"0962-6298","issue":"2","journalAbbreviation":"Political Geography","language":"en","page":"103-120","source":"ScienceDirect","title":"Practical application of district compactness","volume":"12","author":[{"family":"Horn","given":"David L."},{"family":"Hampton","given":"Charles R."},{"family":"Vandenberg","given":"Anthony J."}],"issued":{"date-parts":[["1993",3,1]]}}},{"id":268,"uris":["http://zotero.org/users/11014702/items/ZYQ24BSV"],"itemData":{"id":268,"type":"webpage","title":"Geographic Data Science with Python","URL":"https://geographicdata.science/book/intro.html","author":[{"family":"J. Rey","given":"Sergio"},{"family":"Arribas-Bel","given":"Dani"},{"family":"J. Wolf","given":"Levi"}],"accessed":{"date-parts":[["2023",4,4]]},"issued":{"date-parts":[["2020"]]}}}],"schema":"https://github.com/citation-style-language/schema/raw/master/csl-citation.json"} </w:instrText>
      </w:r>
      <w:r>
        <w:rPr>
          <w:rFonts w:ascii="Calibri" w:hAnsi="Calibri" w:cs="Calibri"/>
        </w:rPr>
        <w:fldChar w:fldCharType="separate"/>
      </w:r>
      <w:r w:rsidRPr="00782DC6">
        <w:rPr>
          <w:rFonts w:ascii="Calibri" w:hAnsi="Calibri" w:cs="Calibri"/>
        </w:rPr>
        <w:t>(Horn et al., 1993; J. Rey et al., 2020)</w:t>
      </w:r>
      <w:r>
        <w:rPr>
          <w:rFonts w:ascii="Calibri" w:hAnsi="Calibri" w:cs="Calibri"/>
        </w:rPr>
        <w:fldChar w:fldCharType="end"/>
      </w:r>
      <w:r w:rsidRPr="00782DC6">
        <w:rPr>
          <w:rFonts w:ascii="Calibri" w:hAnsi="Calibri" w:cs="Calibri"/>
        </w:rPr>
        <w:t>.</w:t>
      </w:r>
      <w:r>
        <w:rPr>
          <w:rFonts w:ascii="Calibri" w:hAnsi="Calibri" w:cs="Calibri"/>
        </w:rPr>
        <w:t xml:space="preserve"> </w:t>
      </w:r>
    </w:p>
    <w:p w14:paraId="192B1278" w14:textId="24704A9B" w:rsidR="006052C0" w:rsidRDefault="006052C0" w:rsidP="005A7C68">
      <w:pPr>
        <w:rPr>
          <w:rFonts w:ascii="Calibri" w:hAnsi="Calibri" w:cs="Calibri"/>
        </w:rPr>
      </w:pPr>
    </w:p>
    <w:p w14:paraId="02EADAF4" w14:textId="06DE706D" w:rsidR="006052C0" w:rsidRDefault="006052C0" w:rsidP="005A7C68">
      <w:pPr>
        <w:rPr>
          <w:rFonts w:ascii="Calibri" w:hAnsi="Calibri" w:cs="Calibri"/>
        </w:rPr>
      </w:pPr>
    </w:p>
    <w:p w14:paraId="1E8BB867" w14:textId="77777777" w:rsidR="006052C0" w:rsidRDefault="006052C0" w:rsidP="005A7C68">
      <w:pPr>
        <w:rPr>
          <w:rFonts w:ascii="Calibri" w:hAnsi="Calibri" w:cs="Calibri"/>
        </w:rPr>
      </w:pPr>
    </w:p>
    <w:p w14:paraId="4359CC21" w14:textId="78ABB49A" w:rsidR="006052C0" w:rsidRPr="006052C0" w:rsidRDefault="006052C0" w:rsidP="006052C0">
      <w:pPr>
        <w:shd w:val="clear" w:color="auto" w:fill="FFFFFF"/>
        <w:spacing w:after="0" w:line="240" w:lineRule="auto"/>
        <w:textAlignment w:val="baseline"/>
        <w:rPr>
          <w:rStyle w:val="a5"/>
          <w:sz w:val="28"/>
          <w:szCs w:val="28"/>
        </w:rPr>
      </w:pPr>
      <w:r w:rsidRPr="006052C0">
        <w:rPr>
          <w:rStyle w:val="a5"/>
          <w:sz w:val="28"/>
          <w:szCs w:val="28"/>
        </w:rPr>
        <w:t>The case of Lisbon</w:t>
      </w:r>
    </w:p>
    <w:p w14:paraId="5D94E4A9" w14:textId="77777777" w:rsidR="00782DC6" w:rsidRDefault="00782DC6" w:rsidP="005A7C68">
      <w:pPr>
        <w:rPr>
          <w:rFonts w:ascii="Calibri" w:hAnsi="Calibri" w:cs="Calibri"/>
        </w:rPr>
      </w:pPr>
    </w:p>
    <w:p w14:paraId="4D8E38B0" w14:textId="0F9E7B62" w:rsidR="00FB7D88" w:rsidRPr="00FB7D88" w:rsidRDefault="005859AB" w:rsidP="00FB7D88">
      <w:pPr>
        <w:pStyle w:val="a3"/>
        <w:rPr>
          <w:rStyle w:val="a5"/>
          <w:rFonts w:asciiTheme="minorHAnsi" w:eastAsiaTheme="minorEastAsia" w:hAnsiTheme="minorHAnsi" w:cstheme="minorBidi"/>
          <w:b w:val="0"/>
          <w:bCs w:val="0"/>
          <w:spacing w:val="0"/>
          <w:kern w:val="0"/>
          <w:sz w:val="22"/>
          <w:szCs w:val="22"/>
        </w:rPr>
      </w:pPr>
      <w:r w:rsidRPr="005859AB">
        <w:rPr>
          <w:rStyle w:val="a5"/>
          <w:rFonts w:asciiTheme="minorHAnsi" w:eastAsiaTheme="minorEastAsia" w:hAnsiTheme="minorHAnsi" w:cstheme="minorBidi"/>
          <w:b w:val="0"/>
          <w:bCs w:val="0"/>
          <w:spacing w:val="0"/>
          <w:kern w:val="0"/>
          <w:sz w:val="22"/>
          <w:szCs w:val="22"/>
        </w:rPr>
        <w:t xml:space="preserve">Portuguese </w:t>
      </w:r>
      <w:r w:rsidR="00BB129C" w:rsidRPr="00BB129C">
        <w:rPr>
          <w:rStyle w:val="a5"/>
          <w:rFonts w:asciiTheme="minorHAnsi" w:eastAsiaTheme="minorEastAsia" w:hAnsiTheme="minorHAnsi" w:cstheme="minorBidi"/>
          <w:b w:val="0"/>
          <w:bCs w:val="0"/>
          <w:spacing w:val="0"/>
          <w:kern w:val="0"/>
          <w:sz w:val="22"/>
          <w:szCs w:val="22"/>
        </w:rPr>
        <w:t>Law No. 56/2012, of November 8</w:t>
      </w:r>
      <w:r w:rsidR="00BB129C">
        <w:rPr>
          <w:rStyle w:val="a5"/>
          <w:rFonts w:asciiTheme="minorHAnsi" w:eastAsiaTheme="minorEastAsia" w:hAnsiTheme="minorHAnsi" w:cstheme="minorBidi"/>
          <w:b w:val="0"/>
          <w:bCs w:val="0"/>
          <w:spacing w:val="0"/>
          <w:kern w:val="0"/>
          <w:sz w:val="22"/>
          <w:szCs w:val="22"/>
        </w:rPr>
        <w:t xml:space="preserve"> </w:t>
      </w:r>
      <w:r w:rsidRPr="005859AB">
        <w:rPr>
          <w:rStyle w:val="a5"/>
          <w:rFonts w:asciiTheme="minorHAnsi" w:eastAsiaTheme="minorEastAsia" w:hAnsiTheme="minorHAnsi" w:cstheme="minorBidi"/>
          <w:b w:val="0"/>
          <w:bCs w:val="0"/>
          <w:spacing w:val="0"/>
          <w:kern w:val="0"/>
          <w:sz w:val="22"/>
          <w:szCs w:val="22"/>
        </w:rPr>
        <w:t xml:space="preserve">established a new administrative reform for the City of Lisbon and resulted in the decentralization of power from the Lisbon City Hall to each of the 24 Junta de </w:t>
      </w:r>
      <w:proofErr w:type="spellStart"/>
      <w:r w:rsidRPr="005859AB">
        <w:rPr>
          <w:rStyle w:val="a5"/>
          <w:rFonts w:asciiTheme="minorHAnsi" w:eastAsiaTheme="minorEastAsia" w:hAnsiTheme="minorHAnsi" w:cstheme="minorBidi"/>
          <w:b w:val="0"/>
          <w:bCs w:val="0"/>
          <w:spacing w:val="0"/>
          <w:kern w:val="0"/>
          <w:sz w:val="22"/>
          <w:szCs w:val="22"/>
        </w:rPr>
        <w:t>Freguesia</w:t>
      </w:r>
      <w:proofErr w:type="spellEnd"/>
      <w:r w:rsidRPr="005859AB">
        <w:rPr>
          <w:rStyle w:val="a5"/>
          <w:rFonts w:asciiTheme="minorHAnsi" w:eastAsiaTheme="minorEastAsia" w:hAnsiTheme="minorHAnsi" w:cstheme="minorBidi"/>
          <w:b w:val="0"/>
          <w:bCs w:val="0"/>
          <w:spacing w:val="0"/>
          <w:kern w:val="0"/>
          <w:sz w:val="22"/>
          <w:szCs w:val="22"/>
        </w:rPr>
        <w:t xml:space="preserve"> composing municipalities.</w:t>
      </w:r>
      <w:r w:rsidR="00FB7D88">
        <w:rPr>
          <w:rStyle w:val="a5"/>
          <w:rFonts w:asciiTheme="minorHAnsi" w:eastAsiaTheme="minorEastAsia" w:hAnsiTheme="minorHAnsi" w:cstheme="minorBidi"/>
          <w:b w:val="0"/>
          <w:bCs w:val="0"/>
          <w:spacing w:val="0"/>
          <w:kern w:val="0"/>
          <w:sz w:val="22"/>
          <w:szCs w:val="22"/>
        </w:rPr>
        <w:t xml:space="preserve"> </w:t>
      </w:r>
      <w:r w:rsidR="00FB7D88" w:rsidRPr="00FB7D88">
        <w:rPr>
          <w:rStyle w:val="a5"/>
          <w:rFonts w:asciiTheme="minorHAnsi" w:eastAsiaTheme="minorEastAsia" w:hAnsiTheme="minorHAnsi" w:cstheme="minorBidi"/>
          <w:b w:val="0"/>
          <w:bCs w:val="0"/>
          <w:spacing w:val="0"/>
          <w:kern w:val="0"/>
          <w:sz w:val="22"/>
          <w:szCs w:val="22"/>
        </w:rPr>
        <w:t>The administrative reorganization responds to the need to modernize and adapt the governance model of the city of Lisbon, which, moreover, stems from the fact that the city is the national capital and seat of national government institutions, as well as from the size and territorial dissonance of the existing parishes in the county.</w:t>
      </w:r>
    </w:p>
    <w:p w14:paraId="6421A6C1" w14:textId="77777777" w:rsidR="00FB7D88" w:rsidRPr="00FB7D88" w:rsidRDefault="00FB7D88" w:rsidP="00FB7D88">
      <w:pPr>
        <w:pStyle w:val="a3"/>
        <w:rPr>
          <w:rStyle w:val="a5"/>
          <w:rFonts w:asciiTheme="minorHAnsi" w:eastAsiaTheme="minorEastAsia" w:hAnsiTheme="minorHAnsi" w:cstheme="minorBidi"/>
          <w:b w:val="0"/>
          <w:bCs w:val="0"/>
          <w:spacing w:val="0"/>
          <w:kern w:val="0"/>
          <w:sz w:val="22"/>
          <w:szCs w:val="22"/>
        </w:rPr>
      </w:pPr>
    </w:p>
    <w:p w14:paraId="38CA0F46" w14:textId="46143753" w:rsidR="00A5150B" w:rsidRDefault="00A5150B" w:rsidP="00E5689B">
      <w:pPr>
        <w:pStyle w:val="a3"/>
        <w:rPr>
          <w:rStyle w:val="a5"/>
          <w:rFonts w:asciiTheme="minorHAnsi" w:eastAsiaTheme="minorEastAsia" w:hAnsiTheme="minorHAnsi" w:cstheme="minorBidi"/>
          <w:b w:val="0"/>
          <w:bCs w:val="0"/>
          <w:spacing w:val="0"/>
          <w:kern w:val="0"/>
          <w:sz w:val="22"/>
          <w:szCs w:val="22"/>
        </w:rPr>
      </w:pPr>
    </w:p>
    <w:p w14:paraId="2F9E36C8" w14:textId="5C4814AE" w:rsidR="007C56DC" w:rsidRDefault="0012374A" w:rsidP="007C56DC">
      <w:r w:rsidRPr="0012374A">
        <w:t xml:space="preserve">Administrative decentralization at the municipal level, through diocesan groupings and the composition of </w:t>
      </w:r>
      <w:proofErr w:type="spellStart"/>
      <w:r w:rsidRPr="0012374A">
        <w:t>neighboring</w:t>
      </w:r>
      <w:proofErr w:type="spellEnd"/>
      <w:r w:rsidRPr="0012374A">
        <w:t xml:space="preserve"> administrative entities, will allow the Chamber to focus fundamentally on connections and private relations with other municipalities (“Lisbon Region”), the central government and other public human agency. It is up to the chamber of commerce to define, implement and oversee a work agenda covering a range of issues such as urban regeneration policy, planning, transport, energy and more</w:t>
      </w:r>
      <w:r w:rsidR="00BB129C">
        <w:t xml:space="preserve"> </w:t>
      </w:r>
      <w:r w:rsidR="00BB129C">
        <w:fldChar w:fldCharType="begin"/>
      </w:r>
      <w:r w:rsidR="00BB129C">
        <w:instrText xml:space="preserve"> ADDIN ZOTERO_ITEM CSL_CITATION {"citationID":"20nleb9W","properties":{"formattedCitation":"({\\i{}LISBON STRATEGIC CHART 2010-2024}, 2009)","plainCitation":"(LISBON STRATEGIC CHART 2010-2024, 2009)","noteIndex":0},"citationItems":[{"id":273,"uris":["http://zotero.org/users/11014702/items/3G5R6QTL"],"itemData":{"id":273,"type":"bill","authority":"CM-LISBOA","title":"LISBON STRATEGIC CHART 2010-2024","issued":{"date-parts":[["2009"]]}}}],"schema":"https://github.com/citation-style-language/schema/raw/master/csl-citation.json"} </w:instrText>
      </w:r>
      <w:r w:rsidR="00BB129C">
        <w:fldChar w:fldCharType="separate"/>
      </w:r>
      <w:r w:rsidR="00BB129C" w:rsidRPr="00BB129C">
        <w:rPr>
          <w:rFonts w:ascii="Calibri" w:hAnsi="Calibri" w:cs="Calibri"/>
          <w:szCs w:val="24"/>
        </w:rPr>
        <w:t>(</w:t>
      </w:r>
      <w:r w:rsidR="00BB129C" w:rsidRPr="00BB129C">
        <w:rPr>
          <w:rFonts w:ascii="Calibri" w:hAnsi="Calibri" w:cs="Calibri"/>
          <w:i/>
          <w:iCs/>
          <w:szCs w:val="24"/>
        </w:rPr>
        <w:t>LISBON STRATEGIC CHART 2010-2024</w:t>
      </w:r>
      <w:r w:rsidR="00BB129C" w:rsidRPr="00BB129C">
        <w:rPr>
          <w:rFonts w:ascii="Calibri" w:hAnsi="Calibri" w:cs="Calibri"/>
          <w:szCs w:val="24"/>
        </w:rPr>
        <w:t>, 2009)</w:t>
      </w:r>
      <w:r w:rsidR="00BB129C">
        <w:fldChar w:fldCharType="end"/>
      </w:r>
      <w:r w:rsidRPr="0012374A">
        <w:t>.</w:t>
      </w:r>
    </w:p>
    <w:p w14:paraId="54F7ACDC" w14:textId="3CAF61FE" w:rsidR="0012374A" w:rsidRDefault="0012374A" w:rsidP="007C56DC"/>
    <w:p w14:paraId="2F4F2098" w14:textId="3F12E8AB" w:rsidR="0012374A" w:rsidRDefault="005859AB" w:rsidP="007C56DC">
      <w:r w:rsidRPr="005859AB">
        <w:t xml:space="preserve">Constructive pressure in the Second Ring is very high (85% increase over two decades). In fact, the number of dwellings in the entire metropolitan area grew by 46%, which means that the growth rate is 7 times the population growth rate. The problem of decentralization is not only in the old city </w:t>
      </w:r>
      <w:proofErr w:type="spellStart"/>
      <w:r w:rsidRPr="005859AB">
        <w:t>center</w:t>
      </w:r>
      <w:proofErr w:type="spellEnd"/>
      <w:r w:rsidRPr="005859AB">
        <w:t xml:space="preserve"> in fact, the </w:t>
      </w:r>
      <w:proofErr w:type="spellStart"/>
      <w:r w:rsidRPr="005859AB">
        <w:t>center</w:t>
      </w:r>
      <w:proofErr w:type="spellEnd"/>
      <w:r w:rsidRPr="005859AB">
        <w:t xml:space="preserve"> of the first ring is also losing its vitality. Apparently, the city </w:t>
      </w:r>
      <w:proofErr w:type="spellStart"/>
      <w:r w:rsidRPr="005859AB">
        <w:t>center</w:t>
      </w:r>
      <w:proofErr w:type="spellEnd"/>
      <w:r w:rsidRPr="005859AB">
        <w:t xml:space="preserve"> itself has not started (like other European cities) any kind of sustained population recovery process</w:t>
      </w:r>
      <w:r>
        <w:t xml:space="preserve">. </w:t>
      </w:r>
      <w:r w:rsidRPr="005859AB">
        <w:t>The urbanization of Lisbon exists in a fragmented form.</w:t>
      </w:r>
      <w:r w:rsidRPr="005859AB">
        <w:t xml:space="preserve"> </w:t>
      </w:r>
      <w:r>
        <w:t xml:space="preserve"> </w:t>
      </w:r>
      <w:r>
        <w:fldChar w:fldCharType="begin"/>
      </w:r>
      <w:r>
        <w:instrText xml:space="preserve"> ADDIN ZOTERO_ITEM CSL_CITATION {"citationID":"Sj9NU6e7","properties":{"formattedCitation":"(Seixas, 2002)","plainCitation":"(Seixas, 2002)","noteIndex":0},"citationItems":[{"id":56,"uris":["http://zotero.org/users/11014702/items/TNKXX3VK"],"itemData":{"id":56,"type":"article-journal","title":"Metropolitan governance and urban planning in Lisbon: the challenge of integration","author":[{"family":"Seixas","given":"João"}],"issued":{"date-parts":[["2002"]]}}}],"schema":"https://github.com/citation-style-language/schema/raw/master/csl-citation.json"} </w:instrText>
      </w:r>
      <w:r>
        <w:fldChar w:fldCharType="separate"/>
      </w:r>
      <w:r w:rsidRPr="005859AB">
        <w:rPr>
          <w:rFonts w:ascii="Calibri" w:hAnsi="Calibri" w:cs="Calibri"/>
        </w:rPr>
        <w:t>(</w:t>
      </w:r>
      <w:proofErr w:type="spellStart"/>
      <w:r w:rsidRPr="005859AB">
        <w:rPr>
          <w:rFonts w:ascii="Calibri" w:hAnsi="Calibri" w:cs="Calibri"/>
        </w:rPr>
        <w:t>Seixas</w:t>
      </w:r>
      <w:proofErr w:type="spellEnd"/>
      <w:r w:rsidRPr="005859AB">
        <w:rPr>
          <w:rFonts w:ascii="Calibri" w:hAnsi="Calibri" w:cs="Calibri"/>
        </w:rPr>
        <w:t>, 2002)</w:t>
      </w:r>
      <w:r>
        <w:fldChar w:fldCharType="end"/>
      </w:r>
      <w:r>
        <w:t xml:space="preserve">. </w:t>
      </w:r>
    </w:p>
    <w:p w14:paraId="5374AF3A" w14:textId="77777777" w:rsidR="005859AB" w:rsidRDefault="005859AB" w:rsidP="007C56DC"/>
    <w:p w14:paraId="1AD38145" w14:textId="77777777" w:rsidR="005859AB" w:rsidRPr="00C9699D" w:rsidRDefault="005859AB" w:rsidP="005859AB">
      <w:pPr>
        <w:pStyle w:val="a3"/>
        <w:rPr>
          <w:rStyle w:val="a5"/>
          <w:rFonts w:asciiTheme="minorHAnsi" w:eastAsiaTheme="minorEastAsia" w:hAnsiTheme="minorHAnsi" w:cstheme="minorBidi"/>
          <w:b w:val="0"/>
          <w:bCs w:val="0"/>
          <w:spacing w:val="0"/>
          <w:kern w:val="0"/>
          <w:sz w:val="22"/>
          <w:szCs w:val="22"/>
        </w:rPr>
      </w:pPr>
      <w:r w:rsidRPr="00EB4525">
        <w:rPr>
          <w:rStyle w:val="a5"/>
          <w:rFonts w:asciiTheme="minorHAnsi" w:eastAsiaTheme="minorEastAsia" w:hAnsiTheme="minorHAnsi" w:cstheme="minorBidi"/>
          <w:b w:val="0"/>
          <w:bCs w:val="0"/>
          <w:spacing w:val="0"/>
          <w:kern w:val="0"/>
          <w:sz w:val="22"/>
          <w:szCs w:val="22"/>
        </w:rPr>
        <w:t xml:space="preserve">In November 2012, the Portuguese Law nr.56 initiated a new administrative reform in Lisbon, which led to the decentralization of resources, staff, and jurisdictions from the City Hall of Lisbon to the 24 Junta de </w:t>
      </w:r>
      <w:proofErr w:type="spellStart"/>
      <w:r w:rsidRPr="00EB4525">
        <w:rPr>
          <w:rStyle w:val="a5"/>
          <w:rFonts w:asciiTheme="minorHAnsi" w:eastAsiaTheme="minorEastAsia" w:hAnsiTheme="minorHAnsi" w:cstheme="minorBidi"/>
          <w:b w:val="0"/>
          <w:bCs w:val="0"/>
          <w:spacing w:val="0"/>
          <w:kern w:val="0"/>
          <w:sz w:val="22"/>
          <w:szCs w:val="22"/>
        </w:rPr>
        <w:t>Freguesia</w:t>
      </w:r>
      <w:proofErr w:type="spellEnd"/>
      <w:r w:rsidRPr="00EB4525">
        <w:rPr>
          <w:rStyle w:val="a5"/>
          <w:rFonts w:asciiTheme="minorHAnsi" w:eastAsiaTheme="minorEastAsia" w:hAnsiTheme="minorHAnsi" w:cstheme="minorBidi"/>
          <w:b w:val="0"/>
          <w:bCs w:val="0"/>
          <w:spacing w:val="0"/>
          <w:kern w:val="0"/>
          <w:sz w:val="22"/>
          <w:szCs w:val="22"/>
        </w:rPr>
        <w:t xml:space="preserve"> comprising the municipality. This transfer of power increased the material, human, financial, and infrastructural resources available to each Parish Council, the administrative body with greater proximity to the citizens</w:t>
      </w:r>
      <w:r>
        <w:rPr>
          <w:rStyle w:val="a5"/>
          <w:rFonts w:asciiTheme="minorHAnsi" w:eastAsiaTheme="minorEastAsia" w:hAnsiTheme="minorHAnsi" w:cstheme="minorBidi"/>
          <w:b w:val="0"/>
          <w:bCs w:val="0"/>
          <w:spacing w:val="0"/>
          <w:kern w:val="0"/>
          <w:sz w:val="22"/>
          <w:szCs w:val="22"/>
        </w:rPr>
        <w:fldChar w:fldCharType="begin"/>
      </w:r>
      <w:r>
        <w:rPr>
          <w:rStyle w:val="a5"/>
          <w:rFonts w:asciiTheme="minorHAnsi" w:eastAsiaTheme="minorEastAsia" w:hAnsiTheme="minorHAnsi" w:cstheme="minorBidi"/>
          <w:b w:val="0"/>
          <w:bCs w:val="0"/>
          <w:spacing w:val="0"/>
          <w:kern w:val="0"/>
          <w:sz w:val="22"/>
          <w:szCs w:val="22"/>
        </w:rPr>
        <w:instrText xml:space="preserve"> ADDIN ZOTERO_ITEM CSL_CITATION {"citationID":"M89Yd29k","properties":{"formattedCitation":"(Jo\\uc0\\u227{}o &amp; Andr\\uc0\\u233{}, 2015)","plainCitation":"(João &amp; André, 2015)","noteIndex":0},"citationItems":[{"id":11,"uris":["http://zotero.org/users/11014702/items/LY6LLQKN"],"itemData":{"id":11,"type":"document","abstract":"Through the last years, across Europe, governance models have been in crisis.\nThe severe financial crisis, the challenges created by the globalization phenomena, and\nthe highly increased and unorganized population in the big European cities, are some of\nthe reasons why the current governance models have been discredited. The welfare state\ncrisis has created an opportunity for changes in the governance of European countries\nand the debate about closeness policies has began.\nWhile across Europe, the second half of the XX century provided new\nadministrative and governance paradigms, Lisbon took a while longer to change it's own\ngovernance paradigm. The Portuguese Law nr.56 of November, 8th of 2012 established\nthe new administrative reform of the Lisbon city, and generated a decentralization\nprocess of equipment, staff, and jurisdictions from the City Hall of Lisbon to each of the\n24 Junta de Freguesia that form the municipality.\nEach Parish Council, the administrative organ with higher closeness to the\ncitizens, had it's power reinforced and had increased material, human, financial and\ninfrastructural resources. Among the jurisdictions received by the Parish Council there\nis the management of collective equipment (related to schools, sports, markets and fairs,\nand culture), which are this study's object of analysis.\nThis report aims to understand if there were advantages in the decentralization\nprocess, analysing if such administrative reform brought a new equipment management\nparadigm, and if it is more efficient, integrated and adequate to citizen's needs.","language":"Portuguese","publisher":"UNIVERSITY OF LISBON","title":"THE ADMINISTRATIVE REFORM OF LISBON THE NEW MANAGEMENT OF COLLECTIVE URBAN EQUIPMENTS OF PROXIMITY","author":[{"family":"João","given":"L.L.S."},{"family":"André","given":"I.M."}],"issued":{"date-parts":[["2015"]]}}}],"schema":"https://github.com/citation-style-language/schema/raw/master/csl-citation.json"} </w:instrText>
      </w:r>
      <w:r>
        <w:rPr>
          <w:rStyle w:val="a5"/>
          <w:rFonts w:asciiTheme="minorHAnsi" w:eastAsiaTheme="minorEastAsia" w:hAnsiTheme="minorHAnsi" w:cstheme="minorBidi"/>
          <w:b w:val="0"/>
          <w:bCs w:val="0"/>
          <w:spacing w:val="0"/>
          <w:kern w:val="0"/>
          <w:sz w:val="22"/>
          <w:szCs w:val="22"/>
        </w:rPr>
        <w:fldChar w:fldCharType="separate"/>
      </w:r>
      <w:r w:rsidRPr="00EB4525">
        <w:rPr>
          <w:rFonts w:ascii="Calibri" w:hAnsi="Calibri" w:cs="Calibri"/>
          <w:sz w:val="22"/>
          <w:szCs w:val="24"/>
        </w:rPr>
        <w:t>(João &amp; André, 2015)</w:t>
      </w:r>
      <w:r>
        <w:rPr>
          <w:rStyle w:val="a5"/>
          <w:rFonts w:asciiTheme="minorHAnsi" w:eastAsiaTheme="minorEastAsia" w:hAnsiTheme="minorHAnsi" w:cstheme="minorBidi"/>
          <w:b w:val="0"/>
          <w:bCs w:val="0"/>
          <w:spacing w:val="0"/>
          <w:kern w:val="0"/>
          <w:sz w:val="22"/>
          <w:szCs w:val="22"/>
        </w:rPr>
        <w:fldChar w:fldCharType="end"/>
      </w:r>
      <w:r w:rsidRPr="00EB4525">
        <w:rPr>
          <w:rStyle w:val="a5"/>
          <w:rFonts w:asciiTheme="minorHAnsi" w:eastAsiaTheme="minorEastAsia" w:hAnsiTheme="minorHAnsi" w:cstheme="minorBidi"/>
          <w:b w:val="0"/>
          <w:bCs w:val="0"/>
          <w:spacing w:val="0"/>
          <w:kern w:val="0"/>
          <w:sz w:val="22"/>
          <w:szCs w:val="22"/>
        </w:rPr>
        <w:t>.</w:t>
      </w:r>
    </w:p>
    <w:p w14:paraId="3A3EF14E" w14:textId="1BBC0D23" w:rsidR="005A7C68" w:rsidRDefault="005A7C68" w:rsidP="007C56DC"/>
    <w:p w14:paraId="1850BC5A" w14:textId="6C568ADB" w:rsidR="005A7C68" w:rsidRDefault="005A7C68" w:rsidP="007C56DC"/>
    <w:p w14:paraId="73972FF1" w14:textId="31289068" w:rsidR="005A7C68" w:rsidRDefault="00433E38" w:rsidP="007C56DC">
      <w:r w:rsidRPr="00433E38">
        <w:t xml:space="preserve">How, between 2009 and 2012, the Lisbon City Council, with the decisive participation of </w:t>
      </w:r>
      <w:proofErr w:type="spellStart"/>
      <w:r w:rsidRPr="00433E38">
        <w:t>Seixas</w:t>
      </w:r>
      <w:proofErr w:type="spellEnd"/>
      <w:r w:rsidRPr="00433E38">
        <w:t>, has been preparing and approving an administrative reform, both vertically to the parishes and horizontally to the municipal departments. reorganize</w:t>
      </w:r>
      <w:r>
        <w:fldChar w:fldCharType="begin"/>
      </w:r>
      <w:r>
        <w:instrText xml:space="preserve"> ADDIN ZOTERO_ITEM CSL_CITATION {"citationID":"seHCbWiP","properties":{"formattedCitation":"(Marcuse, 2010)","plainCitation":"(Marcuse, 2010)","noteIndex":0},"citationItems":[{"id":276,"uris":["http://zotero.org/users/11014702/items/ND48JWAZ"],"itemData":{"id":276,"type":"article-journal","container-title":"City: Analysis of Urban Trends","issue":"14 (1-2), pp. 4-12.","title":"In Defense of Theory in Practice","author":[{"family":"Marcuse","given":"P."}],"issued":{"date-parts":[["2010"]]}}}],"schema":"https://github.com/citation-style-language/schema/raw/master/csl-citation.json"} </w:instrText>
      </w:r>
      <w:r>
        <w:fldChar w:fldCharType="separate"/>
      </w:r>
      <w:r w:rsidRPr="00433E38">
        <w:rPr>
          <w:rFonts w:ascii="Calibri" w:hAnsi="Calibri" w:cs="Calibri"/>
        </w:rPr>
        <w:t>(Marcuse, 2010)</w:t>
      </w:r>
      <w:r>
        <w:fldChar w:fldCharType="end"/>
      </w:r>
      <w:r w:rsidRPr="00433E38">
        <w:t>.</w:t>
      </w:r>
    </w:p>
    <w:p w14:paraId="066D45A7" w14:textId="7C38A5FE" w:rsidR="005A7C68" w:rsidRDefault="005A7C68" w:rsidP="007C56DC"/>
    <w:p w14:paraId="2444F4AA" w14:textId="68B2169E" w:rsidR="00433E38" w:rsidRDefault="008C6205" w:rsidP="007C56DC">
      <w:r w:rsidRPr="008C6205">
        <w:t>Lisbon is a city without government or metropolitan institutions with significant powers and constraints. Central government continues to influence city decision-making, while municipal institutions are weak and lack management resources. Parish councils, which should be a far more important institution, have little power to intervene. Therefore, there is clearly a need for public administration reform to facilitate the modernization of public services (for example, through administrative decentralization), which demonstrates possible solutions to improve governance in the Portuguese capital</w:t>
      </w:r>
      <w:r>
        <w:fldChar w:fldCharType="begin"/>
      </w:r>
      <w:r>
        <w:instrText xml:space="preserve"> ADDIN ZOTERO_ITEM CSL_CITATION {"citationID":"7OZuQbgU","properties":{"formattedCitation":"(Seixas, 2013)","plainCitation":"(Seixas, 2013)","noteIndex":0},"citationItems":[{"id":277,"uris":["http://zotero.org/users/11014702/items/HDUB8R85"],"itemData":{"id":277,"type":"article-journal","title":"A Cidade na Encruzilhada - Repensar a Cidade e a sua Política. Porto: Edições Afrontamento.","author":[{"family":"Seixas","given":"João"}],"issued":{"date-parts":[["2013"]]}}}],"schema":"https://github.com/citation-style-language/schema/raw/master/csl-citation.json"} </w:instrText>
      </w:r>
      <w:r>
        <w:fldChar w:fldCharType="separate"/>
      </w:r>
      <w:r w:rsidRPr="008C6205">
        <w:rPr>
          <w:rFonts w:ascii="Calibri" w:hAnsi="Calibri" w:cs="Calibri"/>
        </w:rPr>
        <w:t>(</w:t>
      </w:r>
      <w:proofErr w:type="spellStart"/>
      <w:r w:rsidRPr="008C6205">
        <w:rPr>
          <w:rFonts w:ascii="Calibri" w:hAnsi="Calibri" w:cs="Calibri"/>
        </w:rPr>
        <w:t>Seixas</w:t>
      </w:r>
      <w:proofErr w:type="spellEnd"/>
      <w:r w:rsidRPr="008C6205">
        <w:rPr>
          <w:rFonts w:ascii="Calibri" w:hAnsi="Calibri" w:cs="Calibri"/>
        </w:rPr>
        <w:t>, 2013)</w:t>
      </w:r>
      <w:r>
        <w:fldChar w:fldCharType="end"/>
      </w:r>
      <w:r>
        <w:t>.</w:t>
      </w:r>
    </w:p>
    <w:p w14:paraId="131A9EB7" w14:textId="7F479ADC" w:rsidR="008C6205" w:rsidRDefault="008C6205" w:rsidP="007C56DC"/>
    <w:p w14:paraId="790CD597" w14:textId="6899494B" w:rsidR="008C6205" w:rsidRDefault="008C6205" w:rsidP="007C56DC">
      <w:r w:rsidRPr="008C6205">
        <w:t xml:space="preserve">In 2000, in the publication ''A </w:t>
      </w:r>
      <w:proofErr w:type="spellStart"/>
      <w:r w:rsidRPr="008C6205">
        <w:t>Cidade</w:t>
      </w:r>
      <w:proofErr w:type="spellEnd"/>
      <w:r w:rsidRPr="008C6205">
        <w:t xml:space="preserve"> </w:t>
      </w:r>
      <w:proofErr w:type="spellStart"/>
      <w:r w:rsidRPr="008C6205">
        <w:t>Não</w:t>
      </w:r>
      <w:proofErr w:type="spellEnd"/>
      <w:r w:rsidRPr="008C6205">
        <w:t xml:space="preserve"> </w:t>
      </w:r>
      <w:proofErr w:type="spellStart"/>
      <w:r w:rsidRPr="008C6205">
        <w:t>Governada</w:t>
      </w:r>
      <w:proofErr w:type="spellEnd"/>
      <w:r w:rsidRPr="008C6205">
        <w:t xml:space="preserve">'', João </w:t>
      </w:r>
      <w:proofErr w:type="spellStart"/>
      <w:r w:rsidRPr="008C6205">
        <w:t>Seixas</w:t>
      </w:r>
      <w:proofErr w:type="spellEnd"/>
      <w:r w:rsidRPr="008C6205">
        <w:t xml:space="preserve"> summarized the main challenges facing the governing bodies of the urban territory. The greater civic awareness of society and the changes that were taking place in the governance of some European cities, led to the realization of this study, which was given the name ''Strategic Charter'' and was formally presented to the Lisbon City Council on the 3rd of July 2009.</w:t>
      </w:r>
    </w:p>
    <w:p w14:paraId="5B9DBF73" w14:textId="4DC68C9F" w:rsidR="006052C0" w:rsidRDefault="006052C0" w:rsidP="007C56DC"/>
    <w:p w14:paraId="550D948A" w14:textId="7E725B21" w:rsidR="006052C0" w:rsidRDefault="006052C0" w:rsidP="007C56DC">
      <w:r w:rsidRPr="006052C0">
        <w:t>The Lisbon administrative reform marks a new, genuine administrative reform. Not only a question of border boundaries, not limited to the merging, creation or separation of regions, but also brings different perceptions of local power. Proximity and its value for deepening citizen participation, even to counter citizens’ distrust of political institutions</w:t>
      </w:r>
      <w:r>
        <w:fldChar w:fldCharType="begin"/>
      </w:r>
      <w:r>
        <w:instrText xml:space="preserve"> ADDIN ZOTERO_ITEM CSL_CITATION {"citationID":"3oUY4mQw","properties":{"formattedCitation":"(Borges &amp; Lopes, 2021)","plainCitation":"(Borges &amp; Lopes, 2021)","noteIndex":0},"citationItems":[{"id":12,"uris":["http://zotero.org/users/11014702/items/66HX524L"],"itemData":{"id":12,"type":"document","abstract":"The last few months have been particularly demanding and have largely prevented the conclusion of this work in the time initially foreseen and agreed upon, so my first thanks go to Professor Raúl Lopes for his patience and understanding, besides, of course, what he has taught me and the pleasure I had learning from him. We also take this space to give a note about the civic and political participation of its author even as a warning to navigation, without which we would not have a clear conscience. The author had, for many years, active participation in the city of Lisbon's municipal politics. First, and even before the Administrative Reform of Lisbon, as member of the executive of the Parish Council of São João (now extinct and aggregated to Penha de França), having promoted debates and reflections around the proposals then under discussion. He even participated, as a citizen, in the thematic Municipal Assembly alluded to in this work. He was, in the mandate from 2013 to 2017, member of the Parish Assembly of Penha de França and substitute councilman of the City Council (chaired first by António Costa and then by Fernando Medina) where, despite not having portfolio, he followed almost all the discussions that followed the implementation of the reform. More recently, in the municipal mandate 2017 to 2021, he was effective municipal deputy and, since April 2018, in replacement of André Moz Caldas (current Secretary of State of the Presidency of the Council of Ministers who then resigned to preside over OPART, EPE), President of the Parish Council of Alvalade. Having stood as a candidate in the September 26, 2021 elections, he lost, thus returning to his status as a citizen and basic militant of the Socialist Party. At this point, I also thank all those who have collaborated, over the years and in this work, so that the understanding of the mechanisms of construction of municipal politics was familiar to me, which will no doubt have helped in the final redaction that is now presented. Any faults it may have, and there will certainly be many, are due only to me.","language":"Portuguese","publisher":"ISCTE-IUL","title":"The Lisbon Administrative Reform of 2013","author":[{"family":"Borges","given":"José António Barbosa"},{"family":"Lopes","given":"Raul Manuel Gonçalves"}],"issued":{"date-parts":[["2021",11]]}}}],"schema":"https://github.com/citation-style-language/schema/raw/master/csl-citation.json"} </w:instrText>
      </w:r>
      <w:r>
        <w:fldChar w:fldCharType="separate"/>
      </w:r>
      <w:r w:rsidRPr="006052C0">
        <w:rPr>
          <w:rFonts w:ascii="Calibri" w:hAnsi="Calibri" w:cs="Calibri"/>
        </w:rPr>
        <w:t>(Borges &amp; Lopes, 2021)</w:t>
      </w:r>
      <w:r>
        <w:fldChar w:fldCharType="end"/>
      </w:r>
      <w:r w:rsidRPr="006052C0">
        <w:t>.</w:t>
      </w:r>
    </w:p>
    <w:p w14:paraId="041F0803" w14:textId="35831ADB" w:rsidR="000C6313" w:rsidRDefault="000C6313" w:rsidP="007C56DC"/>
    <w:p w14:paraId="01AA0D24" w14:textId="21675367" w:rsidR="000C6313" w:rsidRPr="00433E38" w:rsidRDefault="000C6313" w:rsidP="007C56DC">
      <w:r>
        <w:t>T</w:t>
      </w:r>
      <w:r w:rsidRPr="000C6313">
        <w:t>he map of the parishes of Lisbon dated back to the last reform, carried out in 1959</w:t>
      </w:r>
      <w:r>
        <w:t xml:space="preserve"> (</w:t>
      </w:r>
      <w:r w:rsidRPr="000C6313">
        <w:t>Decree-Law nº 42.142, of February 7, 1959</w:t>
      </w:r>
      <w:r>
        <w:t>)</w:t>
      </w:r>
      <w:r w:rsidRPr="000C6313">
        <w:t>, within a framework of a very different city, whether from a social, economic or demographic point of view. In this regard, and in order to understand the dissimilarities, it should be noted that if in 1960 Lisbon had more than eight hundred thousand inhabitants, in 2011 the population did not exceed five hundred and fifty thousand, which means a drop of about thirty-one percent of inhabitants. In half a century the city was completely different in its human geography</w:t>
      </w:r>
      <w:r>
        <w:t xml:space="preserve"> </w:t>
      </w:r>
      <w:r>
        <w:fldChar w:fldCharType="begin"/>
      </w:r>
      <w:r>
        <w:instrText xml:space="preserve"> ADDIN ZOTERO_ITEM CSL_CITATION {"citationID":"eUIbOY9o","properties":{"formattedCitation":"(Borges &amp; Lopes, 2021)","plainCitation":"(Borges &amp; Lopes, 2021)","noteIndex":0},"citationItems":[{"id":12,"uris":["http://zotero.org/users/11014702/items/66HX524L"],"itemData":{"id":12,"type":"document","abstract":"The last few months have been particularly demanding and have largely prevented the conclusion of this work in the time initially foreseen and agreed upon, so my first thanks go to Professor Raúl Lopes for his patience and understanding, besides, of course, what he has taught me and the pleasure I had learning from him. We also take this space to give a note about the civic and political participation of its author even as a warning to navigation, without which we would not have a clear conscience. The author had, for many years, active participation in the city of Lisbon's municipal politics. First, and even before the Administrative Reform of Lisbon, as member of the executive of the Parish Council of São João (now extinct and aggregated to Penha de França), having promoted debates and reflections around the proposals then under discussion. He even participated, as a citizen, in the thematic Municipal Assembly alluded to in this work. He was, in the mandate from 2013 to 2017, member of the Parish Assembly of Penha de França and substitute councilman of the City Council (chaired first by António Costa and then by Fernando Medina) where, despite not having portfolio, he followed almost all the discussions that followed the implementation of the reform. More recently, in the municipal mandate 2017 to 2021, he was effective municipal deputy and, since April 2018, in replacement of André Moz Caldas (current Secretary of State of the Presidency of the Council of Ministers who then resigned to preside over OPART, EPE), President of the Parish Council of Alvalade. Having stood as a candidate in the September 26, 2021 elections, he lost, thus returning to his status as a citizen and basic militant of the Socialist Party. At this point, I also thank all those who have collaborated, over the years and in this work, so that the understanding of the mechanisms of construction of municipal politics was familiar to me, which will no doubt have helped in the final redaction that is now presented. Any faults it may have, and there will certainly be many, are due only to me.","language":"Portuguese","publisher":"ISCTE-IUL","title":"The Lisbon Administrative Reform of 2013","author":[{"family":"Borges","given":"José António Barbosa"},{"family":"Lopes","given":"Raul Manuel Gonçalves"}],"issued":{"date-parts":[["2021",11]]}}}],"schema":"https://github.com/citation-style-language/schema/raw/master/csl-citation.json"} </w:instrText>
      </w:r>
      <w:r>
        <w:fldChar w:fldCharType="separate"/>
      </w:r>
      <w:r w:rsidRPr="000C6313">
        <w:rPr>
          <w:rFonts w:ascii="Calibri" w:hAnsi="Calibri" w:cs="Calibri"/>
        </w:rPr>
        <w:t>(Borges &amp; Lopes, 2021)</w:t>
      </w:r>
      <w:r>
        <w:fldChar w:fldCharType="end"/>
      </w:r>
      <w:r w:rsidRPr="000C6313">
        <w:t>.</w:t>
      </w:r>
      <w:r>
        <w:t xml:space="preserve"> </w:t>
      </w:r>
    </w:p>
    <w:p w14:paraId="41FFD48E" w14:textId="77777777" w:rsidR="005A7C68" w:rsidRPr="00433E38" w:rsidRDefault="005A7C68" w:rsidP="007C56DC"/>
    <w:p w14:paraId="6876169C" w14:textId="00989748" w:rsidR="0057753D" w:rsidRPr="00433E38" w:rsidRDefault="000C6313" w:rsidP="0076747A">
      <w:r w:rsidRPr="000C6313">
        <w:t xml:space="preserve">After obtaining the opinion and information, respectively, from the Council of Province of Estremadura and the Civil Government of Lisbon and obtaining the agreement of the Patriarchate in the sense of the corresponding adjustment of the parish </w:t>
      </w:r>
      <w:proofErr w:type="gramStart"/>
      <w:r w:rsidRPr="000C6313">
        <w:t>division</w:t>
      </w:r>
      <w:r>
        <w:t>(</w:t>
      </w:r>
      <w:proofErr w:type="gramEnd"/>
      <w:r w:rsidRPr="000C6313">
        <w:t>Decree-Law nº 42.142, of February 7, 1959</w:t>
      </w:r>
      <w:r>
        <w:t>)</w:t>
      </w:r>
    </w:p>
    <w:p w14:paraId="26D690E9" w14:textId="0A9FCDB1" w:rsidR="005A7C68" w:rsidRDefault="005A7C68" w:rsidP="00563BE0"/>
    <w:p w14:paraId="2FA2B879" w14:textId="79AD966A" w:rsidR="00C53A2D" w:rsidRDefault="00BB129C" w:rsidP="00563BE0">
      <w:r w:rsidRPr="00BB129C">
        <w:t>A variety of reasons are underpinning this growing consensus that the city's formerly more local administrative structure seems outdated.</w:t>
      </w:r>
      <w:r>
        <w:t xml:space="preserve"> </w:t>
      </w:r>
      <w:r w:rsidR="00C53A2D" w:rsidRPr="00C53A2D">
        <w:t>This perspective – formed since the 1970s and even included in the proposals of the 1992 Lisbon Strategic Plan – was reinforced, both politically and socially</w:t>
      </w:r>
      <w:r w:rsidR="00C53A2D">
        <w:t xml:space="preserve"> </w:t>
      </w:r>
      <w:r w:rsidR="00C53A2D">
        <w:fldChar w:fldCharType="begin"/>
      </w:r>
      <w:r w:rsidR="00C53A2D">
        <w:instrText xml:space="preserve"> ADDIN ZOTERO_ITEM CSL_CITATION {"citationID":"J0uBHRD1","properties":{"formattedCitation":"(Seixas, 2019)","plainCitation":"(Seixas, 2019)","noteIndex":0},"citationItems":[{"id":8,"uris":["http://zotero.org/users/11014702/items/C72CGUD7"],"itemData":{"id":8,"type":"document","abstract":"1. Substance: the politics of proximity in the contemporary city\nUrban territories are at a historical crossroads. The changes and\nrestructuring underway have multiple origins as well as wide-ranging consequences\nconfiguring a radically new panorama of territorial challenges. Challenges that range from\nnew functionalities in urban life, work, mobility and consumption; to pressures in vital sectors such as\nto the pressures on vital sectors such as housing; to the difficult efforts to mitigate climate change.\nmitigation efforts. And they also include the difficulties of action on the part of the welfare state and the\nState and its own capacity for political exercise and implementation of public policies.\nThese changes are being felt increasingly intensely at the different scales of urban systems\nThese changes are being felt increasingly intensely at different scales of urban systems, and have made pressing the need for reinterpretation and revision of the structures and scales of urban governance.\nstructures and scales of urban governance (Bagnasco and Le Galés 2000, Jouve and Booth 2004,\nSeixas and Albet 2012, Subirats 2016). Today, such reinterpretation is recognized as essential\nby the European Union's own agendas (CEC 2011, CEU 2016).\nIn these debates, political proximity - to the most relevant territories - as well as\ninstitutional and social subsidiarity have been positioned as key concepts for the future\nof city governance.\nLisbon is no exception to this moment of geopolitical crossroads. As such, the review of the\nthe political capacity of its structures has become an essential exercise, from the scale of the metropolis\nscale of the metropolis to the scale of the parishes and of course to the municipal scale. Here\nis reflected in the process developed from 2009 onwards and which led to the reform of the\nclosest political structures in the municipality of Lisbon - usually referred to as the Lisbon\nas Lisbon Administrative Reform (RAL).","language":"Portuguese","publisher":"CICS.NOVA, Faculty of Social Sciences and Humanities, New University of Lisbon","title":"The political-administrative reform of Lisbon: substance, evolution and reflection on decentralization processes in Portugal","author":[{"family":"Seixas","given":"João"}],"issued":{"date-parts":[["2019"]]}}}],"schema":"https://github.com/citation-style-language/schema/raw/master/csl-citation.json"} </w:instrText>
      </w:r>
      <w:r w:rsidR="00C53A2D">
        <w:fldChar w:fldCharType="separate"/>
      </w:r>
      <w:r w:rsidR="00C53A2D" w:rsidRPr="00C53A2D">
        <w:rPr>
          <w:rFonts w:ascii="Calibri" w:hAnsi="Calibri" w:cs="Calibri"/>
        </w:rPr>
        <w:t>(</w:t>
      </w:r>
      <w:proofErr w:type="spellStart"/>
      <w:r w:rsidR="00C53A2D" w:rsidRPr="00C53A2D">
        <w:rPr>
          <w:rFonts w:ascii="Calibri" w:hAnsi="Calibri" w:cs="Calibri"/>
        </w:rPr>
        <w:t>Seixas</w:t>
      </w:r>
      <w:proofErr w:type="spellEnd"/>
      <w:r w:rsidR="00C53A2D" w:rsidRPr="00C53A2D">
        <w:rPr>
          <w:rFonts w:ascii="Calibri" w:hAnsi="Calibri" w:cs="Calibri"/>
        </w:rPr>
        <w:t>, 2019)</w:t>
      </w:r>
      <w:r w:rsidR="00C53A2D">
        <w:fldChar w:fldCharType="end"/>
      </w:r>
      <w:r w:rsidR="00C53A2D" w:rsidRPr="00C53A2D">
        <w:t>.</w:t>
      </w:r>
    </w:p>
    <w:p w14:paraId="1370589F" w14:textId="77777777" w:rsidR="00BB129C" w:rsidRDefault="00BB129C" w:rsidP="00563BE0"/>
    <w:p w14:paraId="56364435" w14:textId="03A606D1" w:rsidR="00C53A2D" w:rsidRPr="00C53A2D" w:rsidRDefault="00C53A2D" w:rsidP="00C53A2D"/>
    <w:sectPr w:rsidR="00C53A2D" w:rsidRPr="00C53A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784E"/>
    <w:multiLevelType w:val="multilevel"/>
    <w:tmpl w:val="476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0355A"/>
    <w:multiLevelType w:val="hybridMultilevel"/>
    <w:tmpl w:val="FA38C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5E"/>
    <w:rsid w:val="000C6313"/>
    <w:rsid w:val="0012374A"/>
    <w:rsid w:val="00125250"/>
    <w:rsid w:val="001D161A"/>
    <w:rsid w:val="001F49C9"/>
    <w:rsid w:val="00433E38"/>
    <w:rsid w:val="004B37C8"/>
    <w:rsid w:val="00563BE0"/>
    <w:rsid w:val="0057753D"/>
    <w:rsid w:val="005859AB"/>
    <w:rsid w:val="005A7C68"/>
    <w:rsid w:val="005E7639"/>
    <w:rsid w:val="006052C0"/>
    <w:rsid w:val="006E5876"/>
    <w:rsid w:val="00707802"/>
    <w:rsid w:val="0073071C"/>
    <w:rsid w:val="0076747A"/>
    <w:rsid w:val="00782DC6"/>
    <w:rsid w:val="007C56DC"/>
    <w:rsid w:val="008066CF"/>
    <w:rsid w:val="008C6205"/>
    <w:rsid w:val="008F785E"/>
    <w:rsid w:val="009C0E46"/>
    <w:rsid w:val="00A5150B"/>
    <w:rsid w:val="00A811DD"/>
    <w:rsid w:val="00B27EE3"/>
    <w:rsid w:val="00B713A9"/>
    <w:rsid w:val="00BB129C"/>
    <w:rsid w:val="00BE35EA"/>
    <w:rsid w:val="00C53A2D"/>
    <w:rsid w:val="00C65DEC"/>
    <w:rsid w:val="00C9699D"/>
    <w:rsid w:val="00D81265"/>
    <w:rsid w:val="00E5689B"/>
    <w:rsid w:val="00EB4525"/>
    <w:rsid w:val="00EC1DDB"/>
    <w:rsid w:val="00F3185E"/>
    <w:rsid w:val="00FB7D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1300"/>
  <w15:chartTrackingRefBased/>
  <w15:docId w15:val="{0C85596C-3698-4B56-80E7-8AE825B1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568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56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5689B"/>
    <w:rPr>
      <w:rFonts w:asciiTheme="majorHAnsi" w:eastAsiaTheme="majorEastAsia" w:hAnsiTheme="majorHAnsi" w:cstheme="majorBidi"/>
      <w:spacing w:val="-10"/>
      <w:kern w:val="28"/>
      <w:sz w:val="56"/>
      <w:szCs w:val="56"/>
    </w:rPr>
  </w:style>
  <w:style w:type="character" w:styleId="a5">
    <w:name w:val="Strong"/>
    <w:basedOn w:val="a0"/>
    <w:uiPriority w:val="22"/>
    <w:qFormat/>
    <w:rsid w:val="00E5689B"/>
    <w:rPr>
      <w:b/>
      <w:bCs/>
    </w:rPr>
  </w:style>
  <w:style w:type="character" w:customStyle="1" w:styleId="10">
    <w:name w:val="标题 1 字符"/>
    <w:basedOn w:val="a0"/>
    <w:link w:val="1"/>
    <w:uiPriority w:val="9"/>
    <w:rsid w:val="00E5689B"/>
    <w:rPr>
      <w:rFonts w:ascii="Times New Roman" w:eastAsia="Times New Roman" w:hAnsi="Times New Roman" w:cs="Times New Roman"/>
      <w:b/>
      <w:bCs/>
      <w:kern w:val="36"/>
      <w:sz w:val="48"/>
      <w:szCs w:val="48"/>
    </w:rPr>
  </w:style>
  <w:style w:type="character" w:customStyle="1" w:styleId="fn">
    <w:name w:val="fn"/>
    <w:basedOn w:val="a0"/>
    <w:rsid w:val="00E5689B"/>
  </w:style>
  <w:style w:type="character" w:customStyle="1" w:styleId="11">
    <w:name w:val="副标题1"/>
    <w:basedOn w:val="a0"/>
    <w:rsid w:val="00E5689B"/>
  </w:style>
  <w:style w:type="paragraph" w:styleId="a6">
    <w:name w:val="List Paragraph"/>
    <w:basedOn w:val="a"/>
    <w:uiPriority w:val="34"/>
    <w:qFormat/>
    <w:rsid w:val="007C56DC"/>
    <w:pPr>
      <w:ind w:left="720"/>
      <w:contextualSpacing/>
    </w:pPr>
  </w:style>
  <w:style w:type="paragraph" w:styleId="a7">
    <w:name w:val="Normal (Web)"/>
    <w:basedOn w:val="a"/>
    <w:uiPriority w:val="99"/>
    <w:semiHidden/>
    <w:unhideWhenUsed/>
    <w:rsid w:val="00782DC6"/>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semiHidden/>
    <w:unhideWhenUsed/>
    <w:rsid w:val="00782DC6"/>
    <w:rPr>
      <w:color w:val="0000FF"/>
      <w:u w:val="single"/>
    </w:rPr>
  </w:style>
  <w:style w:type="paragraph" w:styleId="a9">
    <w:name w:val="Bibliography"/>
    <w:basedOn w:val="a"/>
    <w:next w:val="a"/>
    <w:uiPriority w:val="37"/>
    <w:semiHidden/>
    <w:unhideWhenUsed/>
    <w:rsid w:val="00C5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4840">
      <w:bodyDiv w:val="1"/>
      <w:marLeft w:val="0"/>
      <w:marRight w:val="0"/>
      <w:marTop w:val="0"/>
      <w:marBottom w:val="0"/>
      <w:divBdr>
        <w:top w:val="none" w:sz="0" w:space="0" w:color="auto"/>
        <w:left w:val="none" w:sz="0" w:space="0" w:color="auto"/>
        <w:bottom w:val="none" w:sz="0" w:space="0" w:color="auto"/>
        <w:right w:val="none" w:sz="0" w:space="0" w:color="auto"/>
      </w:divBdr>
      <w:divsChild>
        <w:div w:id="826047481">
          <w:marLeft w:val="0"/>
          <w:marRight w:val="0"/>
          <w:marTop w:val="0"/>
          <w:marBottom w:val="0"/>
          <w:divBdr>
            <w:top w:val="none" w:sz="0" w:space="0" w:color="auto"/>
            <w:left w:val="none" w:sz="0" w:space="0" w:color="auto"/>
            <w:bottom w:val="none" w:sz="0" w:space="0" w:color="auto"/>
            <w:right w:val="none" w:sz="0" w:space="0" w:color="auto"/>
          </w:divBdr>
        </w:div>
        <w:div w:id="566038803">
          <w:marLeft w:val="0"/>
          <w:marRight w:val="0"/>
          <w:marTop w:val="0"/>
          <w:marBottom w:val="0"/>
          <w:divBdr>
            <w:top w:val="none" w:sz="0" w:space="0" w:color="auto"/>
            <w:left w:val="none" w:sz="0" w:space="0" w:color="auto"/>
            <w:bottom w:val="none" w:sz="0" w:space="0" w:color="auto"/>
            <w:right w:val="none" w:sz="0" w:space="0" w:color="auto"/>
          </w:divBdr>
        </w:div>
      </w:divsChild>
    </w:div>
    <w:div w:id="696934623">
      <w:bodyDiv w:val="1"/>
      <w:marLeft w:val="0"/>
      <w:marRight w:val="0"/>
      <w:marTop w:val="0"/>
      <w:marBottom w:val="0"/>
      <w:divBdr>
        <w:top w:val="none" w:sz="0" w:space="0" w:color="auto"/>
        <w:left w:val="none" w:sz="0" w:space="0" w:color="auto"/>
        <w:bottom w:val="none" w:sz="0" w:space="0" w:color="auto"/>
        <w:right w:val="none" w:sz="0" w:space="0" w:color="auto"/>
      </w:divBdr>
      <w:divsChild>
        <w:div w:id="464814044">
          <w:marLeft w:val="0"/>
          <w:marRight w:val="0"/>
          <w:marTop w:val="0"/>
          <w:marBottom w:val="0"/>
          <w:divBdr>
            <w:top w:val="none" w:sz="0" w:space="0" w:color="auto"/>
            <w:left w:val="none" w:sz="0" w:space="0" w:color="auto"/>
            <w:bottom w:val="none" w:sz="0" w:space="0" w:color="auto"/>
            <w:right w:val="none" w:sz="0" w:space="0" w:color="auto"/>
          </w:divBdr>
        </w:div>
        <w:div w:id="945650524">
          <w:marLeft w:val="0"/>
          <w:marRight w:val="0"/>
          <w:marTop w:val="0"/>
          <w:marBottom w:val="0"/>
          <w:divBdr>
            <w:top w:val="none" w:sz="0" w:space="0" w:color="auto"/>
            <w:left w:val="none" w:sz="0" w:space="0" w:color="auto"/>
            <w:bottom w:val="none" w:sz="0" w:space="0" w:color="auto"/>
            <w:right w:val="none" w:sz="0" w:space="0" w:color="auto"/>
          </w:divBdr>
        </w:div>
      </w:divsChild>
    </w:div>
    <w:div w:id="1371805655">
      <w:bodyDiv w:val="1"/>
      <w:marLeft w:val="0"/>
      <w:marRight w:val="0"/>
      <w:marTop w:val="0"/>
      <w:marBottom w:val="0"/>
      <w:divBdr>
        <w:top w:val="none" w:sz="0" w:space="0" w:color="auto"/>
        <w:left w:val="none" w:sz="0" w:space="0" w:color="auto"/>
        <w:bottom w:val="none" w:sz="0" w:space="0" w:color="auto"/>
        <w:right w:val="none" w:sz="0" w:space="0" w:color="auto"/>
      </w:divBdr>
    </w:div>
    <w:div w:id="1402410461">
      <w:bodyDiv w:val="1"/>
      <w:marLeft w:val="0"/>
      <w:marRight w:val="0"/>
      <w:marTop w:val="0"/>
      <w:marBottom w:val="0"/>
      <w:divBdr>
        <w:top w:val="none" w:sz="0" w:space="0" w:color="auto"/>
        <w:left w:val="none" w:sz="0" w:space="0" w:color="auto"/>
        <w:bottom w:val="none" w:sz="0" w:space="0" w:color="auto"/>
        <w:right w:val="none" w:sz="0" w:space="0" w:color="auto"/>
      </w:divBdr>
    </w:div>
    <w:div w:id="1446847512">
      <w:bodyDiv w:val="1"/>
      <w:marLeft w:val="0"/>
      <w:marRight w:val="0"/>
      <w:marTop w:val="0"/>
      <w:marBottom w:val="0"/>
      <w:divBdr>
        <w:top w:val="none" w:sz="0" w:space="0" w:color="auto"/>
        <w:left w:val="none" w:sz="0" w:space="0" w:color="auto"/>
        <w:bottom w:val="none" w:sz="0" w:space="0" w:color="auto"/>
        <w:right w:val="none" w:sz="0" w:space="0" w:color="auto"/>
      </w:divBdr>
      <w:divsChild>
        <w:div w:id="56636351">
          <w:marLeft w:val="0"/>
          <w:marRight w:val="0"/>
          <w:marTop w:val="0"/>
          <w:marBottom w:val="0"/>
          <w:divBdr>
            <w:top w:val="none" w:sz="0" w:space="0" w:color="auto"/>
            <w:left w:val="none" w:sz="0" w:space="0" w:color="auto"/>
            <w:bottom w:val="none" w:sz="0" w:space="0" w:color="auto"/>
            <w:right w:val="none" w:sz="0" w:space="0" w:color="auto"/>
          </w:divBdr>
        </w:div>
        <w:div w:id="1028869851">
          <w:marLeft w:val="0"/>
          <w:marRight w:val="0"/>
          <w:marTop w:val="0"/>
          <w:marBottom w:val="0"/>
          <w:divBdr>
            <w:top w:val="none" w:sz="0" w:space="0" w:color="auto"/>
            <w:left w:val="none" w:sz="0" w:space="0" w:color="auto"/>
            <w:bottom w:val="none" w:sz="0" w:space="0" w:color="auto"/>
            <w:right w:val="none" w:sz="0" w:space="0" w:color="auto"/>
          </w:divBdr>
        </w:div>
      </w:divsChild>
    </w:div>
    <w:div w:id="1509059885">
      <w:bodyDiv w:val="1"/>
      <w:marLeft w:val="0"/>
      <w:marRight w:val="0"/>
      <w:marTop w:val="0"/>
      <w:marBottom w:val="0"/>
      <w:divBdr>
        <w:top w:val="none" w:sz="0" w:space="0" w:color="auto"/>
        <w:left w:val="none" w:sz="0" w:space="0" w:color="auto"/>
        <w:bottom w:val="none" w:sz="0" w:space="0" w:color="auto"/>
        <w:right w:val="none" w:sz="0" w:space="0" w:color="auto"/>
      </w:divBdr>
      <w:divsChild>
        <w:div w:id="1391614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358355">
              <w:marLeft w:val="0"/>
              <w:marRight w:val="0"/>
              <w:marTop w:val="0"/>
              <w:marBottom w:val="0"/>
              <w:divBdr>
                <w:top w:val="none" w:sz="0" w:space="0" w:color="auto"/>
                <w:left w:val="none" w:sz="0" w:space="0" w:color="auto"/>
                <w:bottom w:val="none" w:sz="0" w:space="0" w:color="auto"/>
                <w:right w:val="none" w:sz="0" w:space="0" w:color="auto"/>
              </w:divBdr>
              <w:divsChild>
                <w:div w:id="1048184094">
                  <w:marLeft w:val="0"/>
                  <w:marRight w:val="0"/>
                  <w:marTop w:val="0"/>
                  <w:marBottom w:val="0"/>
                  <w:divBdr>
                    <w:top w:val="none" w:sz="0" w:space="0" w:color="auto"/>
                    <w:left w:val="none" w:sz="0" w:space="0" w:color="auto"/>
                    <w:bottom w:val="none" w:sz="0" w:space="0" w:color="auto"/>
                    <w:right w:val="none" w:sz="0" w:space="0" w:color="auto"/>
                  </w:divBdr>
                  <w:divsChild>
                    <w:div w:id="445928679">
                      <w:marLeft w:val="0"/>
                      <w:marRight w:val="0"/>
                      <w:marTop w:val="0"/>
                      <w:marBottom w:val="0"/>
                      <w:divBdr>
                        <w:top w:val="none" w:sz="0" w:space="0" w:color="auto"/>
                        <w:left w:val="none" w:sz="0" w:space="0" w:color="auto"/>
                        <w:bottom w:val="none" w:sz="0" w:space="0" w:color="auto"/>
                        <w:right w:val="none" w:sz="0" w:space="0" w:color="auto"/>
                      </w:divBdr>
                      <w:divsChild>
                        <w:div w:id="1034306600">
                          <w:marLeft w:val="0"/>
                          <w:marRight w:val="0"/>
                          <w:marTop w:val="0"/>
                          <w:marBottom w:val="0"/>
                          <w:divBdr>
                            <w:top w:val="none" w:sz="0" w:space="0" w:color="auto"/>
                            <w:left w:val="none" w:sz="0" w:space="0" w:color="auto"/>
                            <w:bottom w:val="none" w:sz="0" w:space="0" w:color="auto"/>
                            <w:right w:val="none" w:sz="0" w:space="0" w:color="auto"/>
                          </w:divBdr>
                        </w:div>
                        <w:div w:id="1188980995">
                          <w:marLeft w:val="0"/>
                          <w:marRight w:val="0"/>
                          <w:marTop w:val="0"/>
                          <w:marBottom w:val="0"/>
                          <w:divBdr>
                            <w:top w:val="none" w:sz="0" w:space="0" w:color="auto"/>
                            <w:left w:val="none" w:sz="0" w:space="0" w:color="auto"/>
                            <w:bottom w:val="none" w:sz="0" w:space="0" w:color="auto"/>
                            <w:right w:val="none" w:sz="0" w:space="0" w:color="auto"/>
                          </w:divBdr>
                        </w:div>
                        <w:div w:id="12569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6901</Words>
  <Characters>39342</Characters>
  <Application>Microsoft Office Word</Application>
  <DocSecurity>0</DocSecurity>
  <Lines>327</Lines>
  <Paragraphs>92</Paragraphs>
  <ScaleCrop>false</ScaleCrop>
  <Company/>
  <LinksUpToDate>false</LinksUpToDate>
  <CharactersWithSpaces>46151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Desmond</dc:creator>
  <cp:keywords/>
  <dc:description/>
  <cp:lastModifiedBy>Liu Desmond</cp:lastModifiedBy>
  <cp:revision>8</cp:revision>
  <dcterms:created xsi:type="dcterms:W3CDTF">2023-03-31T19:17:00Z</dcterms:created>
  <dcterms:modified xsi:type="dcterms:W3CDTF">2023-04-04T23:02:00Z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id="biwqz5Fa"/&gt;&lt;style id="http://www.zotero.org/styles/apa" locale="en-US" hasBibliography="1" bibliographyStyleHasBeenSet="1"/&gt;&lt;prefs&gt;&lt;pref name="fieldType" value="Field"/&gt;&lt;/prefs&gt;&lt;/data&gt;</vt:lpwstr>
  </property>
</Properties>
</file>