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commentReference w:id="0"/>
      </w:r>
    </w:p>
    <w:p>
      <w:pPr>
        <w:sectPr>
          <w:type w:val="nextPage"/>
          <w:pgSz w:w="12240" w:h="15840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Para la transformacion de datos se tiene en cuenta lo siguiente: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Si se hace la transformaacion de forma de la variable satisfaccion [1-4] = 0 y [5-10] = 1, se tiene muy pocas observaciones para el primer caso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Para tratar de correguir eso se convirtio de la siguiente manera satisfaccion [1-5] = 0 y [6-10] = 1 </w:t>
      </w:r>
    </w:p>
    <w:p>
      <w:pPr>
        <w:sectPr>
          <w:type w:val="continuous"/>
          <w:pgSz w:w="12240" w:h="15840"/>
          <w:pgMar w:left="1134" w:right="567" w:header="0" w:top="567" w:footer="0" w:bottom="567" w:gutter="0"/>
          <w:pgNumType w:fmt="decimal"/>
          <w:formProt w:val="false"/>
          <w:textDirection w:val="lrTb"/>
        </w:sectPr>
      </w:pPr>
    </w:p>
    <w:p>
      <w:pPr>
        <w:pStyle w:val="Heading1"/>
        <w:bidi w:val="0"/>
        <w:jc w:val="left"/>
        <w:rPr/>
      </w:pPr>
      <w:r>
        <w:rPr/>
        <w:t>Modelo</w:t>
      </w:r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left"/>
        <w:rPr/>
      </w:pPr>
      <w:r>
        <w:rPr/>
        <w:t>Logit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Por el criterio de AIC es mejor usar el Logit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En cambio agua (servicio y calidad no son significativos)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Ingreso familiar como logaritmo no es significativa y provoca que otras variables no sean significativas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Gasto total, no es significativo, pero si se toma logaritmo si lo es, esta ultima inclusion al modelo provoca que las variables servicio de internet y el numero de pisos de la vivienda no sean significativas al 5% </w:t>
      </w:r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left"/>
        <w:rPr/>
      </w:pPr>
      <w:r>
        <w:rPr/>
        <w:t>Probit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Modelo con todas las variables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Las mismas variables son significativas para un modelo probit</w:t>
      </w:r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2"/>
        <w:bidi w:val="0"/>
        <w:jc w:val="left"/>
        <w:rPr/>
      </w:pPr>
      <w:r>
        <w:rPr/>
        <w:t>Modelos para los 3 distritos</w:t>
      </w:r>
    </w:p>
    <w:p>
      <w:pPr>
        <w:pStyle w:val="TextBody"/>
        <w:bidi w:val="0"/>
        <w:spacing w:lineRule="auto" w:line="276" w:before="0" w:after="150"/>
        <w:jc w:val="left"/>
        <w:rPr/>
      </w:pPr>
      <w:r>
        <w:rPr/>
        <w:t>Por el Criterio de AIC, el modelo elegido es el de tipo Logit.</w:t>
      </w:r>
    </w:p>
    <w:p>
      <w:pPr>
        <w:pStyle w:val="TextBody"/>
        <w:bidi w:val="0"/>
        <w:spacing w:before="0" w:after="0"/>
        <w:jc w:val="center"/>
        <w:rPr/>
      </w:pPr>
      <w:r>
        <w:rPr>
          <w:rStyle w:val="StrongEmphasis"/>
        </w:rPr>
        <w:t>Modelos Logit</w:t>
      </w:r>
      <w:r>
        <w:rPr/>
        <w:t xml:space="preserve"> </w:t>
      </w:r>
    </w:p>
    <w:tbl>
      <w:tblPr>
        <w:tblW w:w="8884" w:type="dxa"/>
        <w:jc w:val="left"/>
        <w:tblInd w:w="0" w:type="dxa"/>
        <w:tblCellMar>
          <w:top w:w="0" w:type="dxa"/>
          <w:left w:w="0" w:type="dxa"/>
          <w:bottom w:w="28" w:type="dxa"/>
          <w:right w:w="0" w:type="dxa"/>
        </w:tblCellMar>
      </w:tblPr>
      <w:tblGrid>
        <w:gridCol w:w="2806"/>
        <w:gridCol w:w="2191"/>
        <w:gridCol w:w="1921"/>
        <w:gridCol w:w="1966"/>
      </w:tblGrid>
      <w:tr>
        <w:trPr/>
        <w:tc>
          <w:tcPr>
            <w:tcW w:w="8884" w:type="dxa"/>
            <w:gridSpan w:val="4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78" w:type="dxa"/>
            <w:gridSpan w:val="3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Emphasis"/>
              </w:rPr>
              <w:t>Dependent variable:</w:t>
            </w:r>
            <w:r>
              <w:rPr/>
              <w:t xml:space="preserve">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78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78" w:type="dxa"/>
            <w:gridSpan w:val="3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satisfaccion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Huancayo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Chilca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El Tambo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(1)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(2)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(3) </w:t>
            </w:r>
          </w:p>
        </w:tc>
      </w:tr>
      <w:tr>
        <w:trPr/>
        <w:tc>
          <w:tcPr>
            <w:tcW w:w="8884" w:type="dxa"/>
            <w:gridSpan w:val="4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sentimiento_serguridad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5.277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(0.708)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1.943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(0.464)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2.110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(0.298)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covid_positivo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3.864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(0.911)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covid_sintomas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0.791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(0.339)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covid_depresion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-0.999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(0.477)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-0.509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(0.292)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covid_desempleo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-2.046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(0.517)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servicio_agua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2.289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(0.864)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servicio_desague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3.329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(1.935)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1.775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(0.766)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cal_servicio_mant_parq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0.367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(0.197)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0.630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(0.130)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cal_servicio_telefono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-0.353 (0.216)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0.739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(0.196)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cal_servicio_electricidad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0.676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(0.149)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cal_servicio_desague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0.769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(0.301)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-0.334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(0.187)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muni_recojo_basura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-3.365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(1.453)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-1.241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(0.623)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alr_parques_recreativas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1.056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(0.463)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alr_calles_pavimentadas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1.579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(0.558)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-1.428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(0.469)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alr_auxilio_rap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0.817</w:t>
            </w:r>
            <w:r>
              <w:rPr>
                <w:position w:val="7"/>
                <w:sz w:val="17"/>
              </w:rPr>
              <w:t>*</w:t>
            </w:r>
            <w:r>
              <w:rPr/>
              <w:t xml:space="preserve"> (0.469)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1.193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(0.466)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total_gasto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-0.0004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(0.0001)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f_menor18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-0.411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(0.180)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f_mujer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-0.527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(0.189)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f_hombre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-0.294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(0.119)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jefe_ocu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-1.200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(0.319)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0.263 (0.160)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idiomas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1.561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(0.352)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hogar_ingresos_cuantos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0.492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(0.118)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genero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0.711</w:t>
            </w:r>
            <w:r>
              <w:rPr>
                <w:position w:val="7"/>
                <w:sz w:val="17"/>
              </w:rPr>
              <w:t>**</w:t>
            </w:r>
            <w:r>
              <w:rPr/>
              <w:t xml:space="preserve"> (0.281)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Constant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-0.021 (1.659)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-7.091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(2.430)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-4.779</w:t>
            </w:r>
            <w:r>
              <w:rPr>
                <w:position w:val="7"/>
                <w:sz w:val="17"/>
              </w:rPr>
              <w:t>***</w:t>
            </w:r>
            <w:r>
              <w:rPr/>
              <w:t xml:space="preserve"> (1.169) </w:t>
            </w:r>
          </w:p>
        </w:tc>
      </w:tr>
      <w:tr>
        <w:trPr/>
        <w:tc>
          <w:tcPr>
            <w:tcW w:w="8884" w:type="dxa"/>
            <w:gridSpan w:val="4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Observations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288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281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522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Log Likelihood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-68.852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-95.384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-189.454 </w:t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Akaike Inf. Crit. </w:t>
            </w:r>
          </w:p>
        </w:tc>
        <w:tc>
          <w:tcPr>
            <w:tcW w:w="219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159.704 </w:t>
            </w:r>
          </w:p>
        </w:tc>
        <w:tc>
          <w:tcPr>
            <w:tcW w:w="1921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216.768 </w:t>
            </w:r>
          </w:p>
        </w:tc>
        <w:tc>
          <w:tcPr>
            <w:tcW w:w="196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404.908 </w:t>
            </w:r>
          </w:p>
        </w:tc>
      </w:tr>
      <w:tr>
        <w:trPr/>
        <w:tc>
          <w:tcPr>
            <w:tcW w:w="8884" w:type="dxa"/>
            <w:gridSpan w:val="4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06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Emphasis"/>
              </w:rPr>
              <w:t>Note:</w:t>
            </w:r>
            <w:r>
              <w:rPr/>
              <w:t xml:space="preserve"> </w:t>
            </w:r>
          </w:p>
        </w:tc>
        <w:tc>
          <w:tcPr>
            <w:tcW w:w="6078" w:type="dxa"/>
            <w:gridSpan w:val="3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Style w:val="Emphasis"/>
              </w:rPr>
              <w:t xml:space="preserve">p&lt;0.1; </w:t>
            </w:r>
            <w:r>
              <w:rPr>
                <w:rStyle w:val="StrongEmphasis"/>
              </w:rPr>
              <w:t xml:space="preserve">p&lt;0.05; </w:t>
            </w:r>
            <w:r>
              <w:rPr/>
              <w:t xml:space="preserve">p&lt;0.01 </w:t>
            </w:r>
          </w:p>
        </w:tc>
      </w:tr>
    </w:tbl>
    <w:p>
      <w:pPr>
        <w:pStyle w:val="TextBody"/>
        <w:bidi w:val="0"/>
        <w:spacing w:lineRule="auto" w:line="276" w:before="0" w:after="15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Heading1"/>
        <w:bidi w:val="0"/>
        <w:spacing w:before="300" w:after="150"/>
        <w:jc w:val="left"/>
        <w:rPr/>
      </w:pPr>
      <w:r>
        <w:rPr/>
        <w:t>Precios hedonicos</w:t>
      </w:r>
    </w:p>
    <w:sectPr>
      <w:type w:val="continuous"/>
      <w:pgSz w:w="12240" w:h="15840"/>
      <w:pgMar w:left="1134" w:right="567" w:header="0" w:top="567" w:footer="0" w:bottom="567" w:gutter="0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0-12-25T22:31:26Z" w:initials="">
    <w:p>
      <w:r>
        <w:t>HTML: &lt;meta http-equiv="X-UA-Compatible" content="IE=EDGE"&gt;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monospace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40"/>
    </w:pPr>
    <w:rPr>
      <w:rFonts w:ascii="Helvetica Neue;Helvetica;Arial;sans-serif" w:hAnsi="Helvetica Neue;Helvetica;Arial;sans-serif" w:eastAsia="Helvetica Neue;Helvetica;Arial;sans-serif" w:cs="Helvetica Neue;Helvetica;Arial;sans-serif"/>
      <w:color w:val="333333"/>
      <w:sz w:val="21"/>
      <w:szCs w:val="21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lineRule="auto" w:line="264" w:before="300" w:after="150"/>
      <w:outlineLvl w:val="0"/>
    </w:pPr>
    <w:rPr>
      <w:rFonts w:ascii="inherit" w:hAnsi="inherit" w:eastAsia="inherit" w:cs="inherit"/>
      <w:b/>
      <w:bCs/>
      <w:sz w:val="51"/>
      <w:szCs w:val="51"/>
    </w:rPr>
  </w:style>
  <w:style w:type="paragraph" w:styleId="Heading2">
    <w:name w:val="Heading 2"/>
    <w:basedOn w:val="Heading"/>
    <w:next w:val="TextBody"/>
    <w:qFormat/>
    <w:pPr>
      <w:spacing w:lineRule="auto" w:line="264" w:before="300" w:after="150"/>
      <w:outlineLvl w:val="1"/>
    </w:pPr>
    <w:rPr>
      <w:rFonts w:ascii="inherit" w:hAnsi="inherit" w:eastAsia="inherit" w:cs="inherit"/>
      <w:b/>
      <w:bCs/>
      <w:sz w:val="45"/>
      <w:szCs w:val="45"/>
    </w:rPr>
  </w:style>
  <w:style w:type="paragraph" w:styleId="Heading3">
    <w:name w:val="Heading 3"/>
    <w:basedOn w:val="Heading"/>
    <w:next w:val="TextBody"/>
    <w:qFormat/>
    <w:pPr>
      <w:spacing w:lineRule="auto" w:line="264" w:before="300" w:after="150"/>
      <w:outlineLvl w:val="2"/>
    </w:pPr>
    <w:rPr>
      <w:rFonts w:ascii="inherit" w:hAnsi="inherit" w:eastAsia="inherit" w:cs="inherit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lineRule="auto" w:line="264" w:before="150" w:after="150"/>
      <w:outlineLvl w:val="3"/>
    </w:pPr>
    <w:rPr>
      <w:rFonts w:ascii="inherit" w:hAnsi="inherit" w:eastAsia="inherit" w:cs="inherit"/>
      <w:b/>
      <w:bCs/>
      <w:sz w:val="27"/>
      <w:szCs w:val="27"/>
    </w:rPr>
  </w:style>
  <w:style w:type="paragraph" w:styleId="Heading5">
    <w:name w:val="Heading 5"/>
    <w:basedOn w:val="Heading"/>
    <w:next w:val="TextBody"/>
    <w:qFormat/>
    <w:pPr>
      <w:spacing w:lineRule="auto" w:line="264" w:before="150" w:after="150"/>
      <w:outlineLvl w:val="4"/>
    </w:pPr>
    <w:rPr>
      <w:rFonts w:ascii="inherit" w:hAnsi="inherit" w:eastAsia="inherit" w:cs="inherit"/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lineRule="auto" w:line="264" w:before="150" w:after="150"/>
      <w:outlineLvl w:val="5"/>
    </w:pPr>
    <w:rPr>
      <w:rFonts w:ascii="inherit" w:hAnsi="inherit" w:eastAsia="inherit" w:cs="inherit"/>
      <w:b/>
      <w:bCs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Definition">
    <w:name w:val="Definition"/>
    <w:qFormat/>
    <w:rPr>
      <w:i/>
      <w:iCs/>
    </w:rPr>
  </w:style>
  <w:style w:type="character" w:styleId="SourceText">
    <w:name w:val="Source Text"/>
    <w:qFormat/>
    <w:rPr>
      <w:rFonts w:ascii="monospace;monospace" w:hAnsi="monospace;monospace" w:eastAsia="monospace;monospace" w:cs="monospace;monospace"/>
    </w:rPr>
  </w:style>
  <w:style w:type="character" w:styleId="UserEntry">
    <w:name w:val="User Entry"/>
    <w:qFormat/>
    <w:rPr>
      <w:rFonts w:ascii="monospace;monospace" w:hAnsi="monospace;monospace" w:eastAsia="monospace;monospace" w:cs="monospace;monospace"/>
    </w:rPr>
  </w:style>
  <w:style w:type="character" w:styleId="Example">
    <w:name w:val="Example"/>
    <w:qFormat/>
    <w:rPr>
      <w:rFonts w:ascii="monospace;monospace" w:hAnsi="monospace;monospace" w:eastAsia="monospace;monospace" w:cs="monospace;monospac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strike w:val="false"/>
      <w:dstrike w:val="false"/>
      <w:color w:val="337AB7"/>
      <w:u w:val="none"/>
      <w:effect w:val="none"/>
      <w:lang w:val="zxx" w:eastAsia="zxx" w:bidi="zxx"/>
    </w:rPr>
  </w:style>
  <w:style w:type="character" w:styleId="VisitedInternetLink">
    <w:name w:val="FollowedHyperlink"/>
    <w:rPr>
      <w:strike w:val="false"/>
      <w:dstrike w:val="false"/>
      <w:color w:val="337AB7"/>
      <w:u w:val="none"/>
      <w:effect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5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monospace;monospace" w:hAnsi="monospace;monospace" w:eastAsia="monospace;monospace" w:cs="monospace;monospace"/>
      <w:sz w:val="20"/>
      <w:szCs w:val="20"/>
    </w:rPr>
  </w:style>
  <w:style w:type="paragraph" w:styleId="ListContents">
    <w:name w:val="List Contents"/>
    <w:basedOn w:val="Normal"/>
    <w:qFormat/>
    <w:pPr>
      <w:spacing w:lineRule="auto" w:line="340"/>
      <w:ind w:left="567" w:hanging="0"/>
    </w:pPr>
    <w:rPr/>
  </w:style>
  <w:style w:type="paragraph" w:styleId="ListHeading">
    <w:name w:val="List Heading"/>
    <w:basedOn w:val="Normal"/>
    <w:next w:val="ListContents"/>
    <w:qFormat/>
    <w:pPr>
      <w:spacing w:lineRule="auto" w:line="340"/>
      <w:ind w:hanging="0"/>
    </w:pPr>
    <w:rPr>
      <w:b/>
      <w:bCs/>
    </w:rPr>
  </w:style>
  <w:style w:type="paragraph" w:styleId="Quotations">
    <w:name w:val="Quotations"/>
    <w:basedOn w:val="Normal"/>
    <w:qFormat/>
    <w:pPr>
      <w:pBdr>
        <w:left w:val="single" w:sz="30" w:space="15" w:color="EEEEEE"/>
      </w:pBdr>
      <w:spacing w:before="0" w:after="300"/>
      <w:ind w:left="567" w:right="567" w:hanging="0"/>
    </w:pPr>
    <w:rPr>
      <w:sz w:val="26"/>
      <w:szCs w:val="26"/>
    </w:rPr>
  </w:style>
  <w:style w:type="paragraph" w:styleId="Quotationspullright">
    <w:name w:val="Quotations.pull-right"/>
    <w:basedOn w:val="Quotations"/>
    <w:qFormat/>
    <w:pPr>
      <w:pBdr>
        <w:left w:val="nil"/>
        <w:right w:val="single" w:sz="30" w:space="11" w:color="EEEEEE"/>
      </w:pBdr>
      <w:jc w:val="right"/>
    </w:pPr>
    <w:rPr/>
  </w:style>
  <w:style w:type="paragraph" w:styleId="Heading1title">
    <w:name w:val="Heading 1.title"/>
    <w:basedOn w:val="Heading1"/>
    <w:qFormat/>
    <w:pPr>
      <w:ind w:hanging="0"/>
      <w:outlineLvl w:val="9"/>
    </w:pPr>
    <w:rPr>
      <w:sz w:val="57"/>
      <w:szCs w:val="57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301</Words>
  <Characters>1889</Characters>
  <CharactersWithSpaces>2175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model.utf8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</vt:lpwstr>
  </property>
</Properties>
</file>