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D3D"/>
          <w:sz w:val="44"/>
          <w:szCs w:val="44"/>
        </w:rPr>
        <w:t xml:space="preserve">LUC ARNAULD TIENOUE KAMOLOGNE</w:t>
      </w:r>
    </w:p>
    <w:p>
      <w:pPr>
        <w:spacing w:after="20"/>
        <w:jc w:val="center"/>
      </w:pPr>
      <w:r>
        <w:rPr>
          <w:color w:val="333333"/>
          <w:sz w:val="26"/>
          <w:szCs w:val="26"/>
        </w:rPr>
        <w:t xml:space="preserve">Portfolio de cas &amp; d'expériences professionnelles</w:t>
      </w:r>
    </w:p>
    <w:p>
      <w:pPr>
        <w:spacing w:after="300"/>
        <w:jc w:val="center"/>
      </w:pPr>
      <w:r>
        <w:rPr>
          <w:i/>
          <w:iCs/>
          <w:color w:val="595959"/>
          <w:sz w:val="20"/>
          <w:szCs w:val="20"/>
        </w:rPr>
        <w:t xml:space="preserve">Préparation candidature McKinsey &amp; Company — Business Analyst / Junior Associate / Fellow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5F3" w:val="clear"/>
            <w:tcMar>
              <w:top w:type="dxa" w:w="80"/>
              <w:left w:type="dxa" w:w="120"/>
              <w:bottom w:type="dxa" w:w="80"/>
              <w:right w:type="dxa" w:w="120"/>
            </w:tcMar>
          </w:tcPr>
          <w:p>
            <w:r>
              <w:rPr>
                <w:color w:val="595959"/>
                <w:sz w:val="20"/>
                <w:szCs w:val="20"/>
              </w:rPr>
              <w:t xml:space="preserve">Téléphone</w:t>
            </w:r>
          </w:p>
        </w:tc>
        <w:tc>
          <w:tcPr>
            <w:tcW w:type="dxa" w:w="4500"/>
            <w:tcMar>
              <w:top w:type="dxa" w:w="80"/>
              <w:left w:type="dxa" w:w="120"/>
              <w:bottom w:type="dxa" w:w="80"/>
              <w:right w:type="dxa" w:w="120"/>
            </w:tcMar>
          </w:tcPr>
          <w:p>
            <w:r>
              <w:rPr>
                <w:b/>
                <w:bCs/>
                <w:sz w:val="20"/>
                <w:szCs w:val="20"/>
              </w:rPr>
              <w:t xml:space="preserve">+237 656 759 409</w:t>
            </w:r>
          </w:p>
        </w:tc>
      </w:tr>
      <w:tr>
        <w:tc>
          <w:tcPr>
            <w:tcW w:type="dxa" w:w="4500"/>
            <w:shd w:fill="F2F5F3" w:val="clear"/>
            <w:tcMar>
              <w:top w:type="dxa" w:w="80"/>
              <w:left w:type="dxa" w:w="120"/>
              <w:bottom w:type="dxa" w:w="80"/>
              <w:right w:type="dxa" w:w="120"/>
            </w:tcMar>
          </w:tcPr>
          <w:p>
            <w:r>
              <w:rPr>
                <w:color w:val="595959"/>
                <w:sz w:val="20"/>
                <w:szCs w:val="20"/>
              </w:rPr>
              <w:t xml:space="preserve">Email</w:t>
            </w:r>
          </w:p>
        </w:tc>
        <w:tc>
          <w:tcPr>
            <w:tcW w:type="dxa" w:w="4500"/>
            <w:tcMar>
              <w:top w:type="dxa" w:w="80"/>
              <w:left w:type="dxa" w:w="120"/>
              <w:bottom w:type="dxa" w:w="80"/>
              <w:right w:type="dxa" w:w="120"/>
            </w:tcMar>
          </w:tcPr>
          <w:p>
            <w:r>
              <w:rPr>
                <w:b/>
                <w:bCs/>
                <w:sz w:val="20"/>
                <w:szCs w:val="20"/>
              </w:rPr>
              <w:t xml:space="preserve">tienoueluc@outlook.fr</w:t>
            </w:r>
          </w:p>
        </w:tc>
      </w:tr>
      <w:tr>
        <w:tc>
          <w:tcPr>
            <w:tcW w:type="dxa" w:w="4500"/>
            <w:shd w:fill="F2F5F3" w:val="clear"/>
            <w:tcMar>
              <w:top w:type="dxa" w:w="80"/>
              <w:left w:type="dxa" w:w="120"/>
              <w:bottom w:type="dxa" w:w="80"/>
              <w:right w:type="dxa" w:w="120"/>
            </w:tcMar>
          </w:tcPr>
          <w:p>
            <w:r>
              <w:rPr>
                <w:color w:val="595959"/>
                <w:sz w:val="20"/>
                <w:szCs w:val="20"/>
              </w:rPr>
              <w:t xml:space="preserve">LinkedIn</w:t>
            </w:r>
          </w:p>
        </w:tc>
        <w:tc>
          <w:tcPr>
            <w:tcW w:type="dxa" w:w="4500"/>
            <w:tcMar>
              <w:top w:type="dxa" w:w="80"/>
              <w:left w:type="dxa" w:w="120"/>
              <w:bottom w:type="dxa" w:w="80"/>
              <w:right w:type="dxa" w:w="120"/>
            </w:tcMar>
          </w:tcPr>
          <w:p>
            <w:r>
              <w:rPr>
                <w:b/>
                <w:bCs/>
                <w:sz w:val="20"/>
                <w:szCs w:val="20"/>
              </w:rPr>
              <w:t xml:space="preserve">linkedin.com/in/luc-tienoue-a1b77519a</w:t>
            </w:r>
          </w:p>
        </w:tc>
      </w:tr>
      <w:tr>
        <w:tc>
          <w:tcPr>
            <w:tcW w:type="dxa" w:w="4500"/>
            <w:shd w:fill="F2F5F3" w:val="clear"/>
            <w:tcMar>
              <w:top w:type="dxa" w:w="80"/>
              <w:left w:type="dxa" w:w="120"/>
              <w:bottom w:type="dxa" w:w="80"/>
              <w:right w:type="dxa" w:w="120"/>
            </w:tcMar>
          </w:tcPr>
          <w:p>
            <w:r>
              <w:rPr>
                <w:color w:val="595959"/>
                <w:sz w:val="20"/>
                <w:szCs w:val="20"/>
              </w:rPr>
              <w:t xml:space="preserve">Langues parlées</w:t>
            </w:r>
          </w:p>
        </w:tc>
        <w:tc>
          <w:tcPr>
            <w:tcW w:type="dxa" w:w="4500"/>
            <w:tcMar>
              <w:top w:type="dxa" w:w="80"/>
              <w:left w:type="dxa" w:w="120"/>
              <w:bottom w:type="dxa" w:w="80"/>
              <w:right w:type="dxa" w:w="120"/>
            </w:tcMar>
          </w:tcPr>
          <w:p>
            <w:r>
              <w:rPr>
                <w:b/>
                <w:bCs/>
                <w:sz w:val="20"/>
                <w:szCs w:val="20"/>
              </w:rPr>
              <w:t xml:space="preserve">Français (natif), Anglais (B1)</w:t>
            </w:r>
          </w:p>
        </w:tc>
      </w:tr>
      <w:tr>
        <w:tc>
          <w:tcPr>
            <w:tcW w:type="dxa" w:w="4500"/>
            <w:shd w:fill="F2F5F3" w:val="clear"/>
            <w:tcMar>
              <w:top w:type="dxa" w:w="80"/>
              <w:left w:type="dxa" w:w="120"/>
              <w:bottom w:type="dxa" w:w="80"/>
              <w:right w:type="dxa" w:w="120"/>
            </w:tcMar>
          </w:tcPr>
          <w:p>
            <w:r>
              <w:rPr>
                <w:color w:val="595959"/>
                <w:sz w:val="20"/>
                <w:szCs w:val="20"/>
              </w:rPr>
              <w:t xml:space="preserve">Lieu de travail préféré</w:t>
            </w:r>
          </w:p>
        </w:tc>
        <w:tc>
          <w:tcPr>
            <w:tcW w:type="dxa" w:w="4500"/>
            <w:tcMar>
              <w:top w:type="dxa" w:w="80"/>
              <w:left w:type="dxa" w:w="120"/>
              <w:bottom w:type="dxa" w:w="80"/>
              <w:right w:type="dxa" w:w="120"/>
            </w:tcMar>
          </w:tcPr>
          <w:p>
            <w:r>
              <w:rPr>
                <w:b/>
                <w:bCs/>
                <w:sz w:val="20"/>
                <w:szCs w:val="20"/>
              </w:rPr>
              <w:t xml:space="preserve">Hybride</w:t>
            </w:r>
          </w:p>
        </w:tc>
      </w:tr>
      <w:tr>
        <w:tc>
          <w:tcPr>
            <w:tcW w:type="dxa" w:w="4500"/>
            <w:shd w:fill="F2F5F3" w:val="clear"/>
            <w:tcMar>
              <w:top w:type="dxa" w:w="80"/>
              <w:left w:type="dxa" w:w="120"/>
              <w:bottom w:type="dxa" w:w="80"/>
              <w:right w:type="dxa" w:w="120"/>
            </w:tcMar>
          </w:tcPr>
          <w:p>
            <w:r>
              <w:rPr>
                <w:color w:val="595959"/>
                <w:sz w:val="20"/>
                <w:szCs w:val="20"/>
              </w:rPr>
              <w:t xml:space="preserve">Disponibilité</w:t>
            </w:r>
          </w:p>
        </w:tc>
        <w:tc>
          <w:tcPr>
            <w:tcW w:type="dxa" w:w="4500"/>
            <w:tcMar>
              <w:top w:type="dxa" w:w="80"/>
              <w:left w:type="dxa" w:w="120"/>
              <w:bottom w:type="dxa" w:w="80"/>
              <w:right w:type="dxa" w:w="120"/>
            </w:tcMar>
          </w:tcPr>
          <w:p>
            <w:r>
              <w:rPr>
                <w:b/>
                <w:bCs/>
                <w:sz w:val="20"/>
                <w:szCs w:val="20"/>
              </w:rPr>
              <w:t xml:space="preserve">Immédiate</w:t>
            </w:r>
          </w:p>
        </w:tc>
      </w:tr>
    </w:tbl>
    <w:p>
      <w:pPr>
        <w:spacing w:after="200"/>
      </w:pPr>
    </w:p>
    <w:p>
      <w:pPr>
        <w:pStyle w:val="Heading1"/>
        <w:pBdr>
          <w:bottom w:val="single" w:color="1F4D3D" w:sz="6" w:space="4"/>
        </w:pBdr>
        <w:spacing w:after="160" w:before="360"/>
      </w:pPr>
      <w:r>
        <w:rPr>
          <w:b/>
          <w:bCs/>
          <w:color w:val="1F4D3D"/>
          <w:sz w:val="30"/>
          <w:szCs w:val="30"/>
        </w:rPr>
        <w:t xml:space="preserve">Profil</w:t>
      </w:r>
    </w:p>
    <w:p>
      <w:pPr>
        <w:spacing w:after="140" w:line="300"/>
      </w:pPr>
      <w:r>
        <w:rPr>
          <w:sz w:val="22"/>
          <w:szCs w:val="22"/>
        </w:rPr>
        <w:t xml:space="preserve">Formateur en Power BI, Excel et analyse de données depuis près d'un an, après une expérience antérieure en tant que commercial BtoB. Membre de l'IIBA (International Institute of Business Analysis). Basé à Douala, Cameroun.</w:t>
      </w:r>
    </w:p>
    <w:p>
      <w:pPr>
        <w:spacing w:after="140" w:line="300"/>
      </w:pPr>
      <w:r>
        <w:rPr>
          <w:sz w:val="22"/>
          <w:szCs w:val="22"/>
        </w:rPr>
        <w:t xml:space="preserve">Objectif : intégrer McKinsey &amp; Company sur une piste Business Analyst, Junior Associate ou Fellow, avec une préparation active à la structuration de problèmes, au chiffrage sous contrainte de temps et à la communication de recommandations à des décideurs non-techniques.</w:t>
      </w:r>
    </w:p>
    <w:p>
      <w:pPr>
        <w:spacing w:after="60" w:before="160"/>
      </w:pPr>
      <w:r>
        <w:rPr>
          <w:b/>
          <w:bCs/>
          <w:i/>
          <w:iCs/>
          <w:color w:val="333333"/>
          <w:sz w:val="22"/>
          <w:szCs w:val="22"/>
        </w:rPr>
        <w:t xml:space="preserve">Compétences clés</w:t>
      </w:r>
    </w:p>
    <w:p>
      <w:pPr>
        <w:pStyle w:val="ListParagraph"/>
        <w:numPr>
          <w:ilvl w:val="0"/>
          <w:numId w:val="2"/>
        </w:numPr>
        <w:spacing w:after="60" w:line="280"/>
      </w:pPr>
      <w:r>
        <w:rPr>
          <w:sz w:val="22"/>
          <w:szCs w:val="22"/>
        </w:rPr>
        <w:t xml:space="preserve">Structuration de problèmes : issue tree, MECE, cadre de profitabilité (Revenus = Prix × Volume ; Coûts = Fixes + Variables)</w:t>
      </w:r>
    </w:p>
    <w:p>
      <w:pPr>
        <w:pStyle w:val="ListParagraph"/>
        <w:numPr>
          <w:ilvl w:val="0"/>
          <w:numId w:val="2"/>
        </w:numPr>
        <w:spacing w:after="60" w:line="280"/>
      </w:pPr>
      <w:r>
        <w:rPr>
          <w:sz w:val="22"/>
          <w:szCs w:val="22"/>
        </w:rPr>
        <w:t xml:space="preserve">Chiffrage et market sizing sous contrainte de temps, avec validation systématique des résultats (sanity-check)</w:t>
      </w:r>
    </w:p>
    <w:p>
      <w:pPr>
        <w:pStyle w:val="ListParagraph"/>
        <w:numPr>
          <w:ilvl w:val="0"/>
          <w:numId w:val="2"/>
        </w:numPr>
        <w:spacing w:after="60" w:line="280"/>
      </w:pPr>
      <w:r>
        <w:rPr>
          <w:sz w:val="22"/>
          <w:szCs w:val="22"/>
        </w:rPr>
        <w:t xml:space="preserve">Analyse de données et Power BI : conception de tableaux de bord, formation de plus de 20 professionnels</w:t>
      </w:r>
    </w:p>
    <w:p>
      <w:pPr>
        <w:pStyle w:val="ListParagraph"/>
        <w:numPr>
          <w:ilvl w:val="0"/>
          <w:numId w:val="2"/>
        </w:numPr>
        <w:spacing w:after="60" w:line="280"/>
      </w:pPr>
      <w:r>
        <w:rPr>
          <w:sz w:val="22"/>
          <w:szCs w:val="22"/>
        </w:rPr>
        <w:t xml:space="preserve">Analyse de business case et de décision (frameworks BABOK) : parties prenantes, opportunité, arbitrages</w:t>
      </w:r>
    </w:p>
    <w:p>
      <w:pPr>
        <w:pStyle w:val="ListParagraph"/>
        <w:numPr>
          <w:ilvl w:val="0"/>
          <w:numId w:val="2"/>
        </w:numPr>
        <w:spacing w:after="60" w:line="280"/>
      </w:pPr>
      <w:r>
        <w:rPr>
          <w:sz w:val="22"/>
          <w:szCs w:val="22"/>
        </w:rPr>
        <w:t xml:space="preserve">Communication de recommandations à des audiences non-techniques (synthèse top-down)</w:t>
      </w:r>
    </w:p>
    <w:p>
      <w:pPr>
        <w:pStyle w:val="ListParagraph"/>
        <w:numPr>
          <w:ilvl w:val="0"/>
          <w:numId w:val="2"/>
        </w:numPr>
        <w:spacing w:after="60" w:line="280"/>
      </w:pPr>
      <w:r>
        <w:rPr>
          <w:sz w:val="22"/>
          <w:szCs w:val="22"/>
        </w:rPr>
        <w:t xml:space="preserve">Français langue maternelle ; Anglais B1 (intermédiaire), en progression active</w:t>
      </w:r>
    </w:p>
    <w:p>
      <w:pPr>
        <w:spacing w:after="100"/>
      </w:pPr>
    </w:p>
    <w:p>
      <w:pPr>
        <w:pStyle w:val="Heading1"/>
        <w:pBdr>
          <w:bottom w:val="single" w:color="1F4D3D" w:sz="6" w:space="4"/>
        </w:pBdr>
        <w:spacing w:after="160" w:before="360"/>
      </w:pPr>
      <w:r>
        <w:rPr>
          <w:b/>
          <w:bCs/>
          <w:color w:val="1F4D3D"/>
          <w:sz w:val="30"/>
          <w:szCs w:val="30"/>
        </w:rPr>
        <w:t xml:space="preserve">Cas 1 — Business Case : lancement d'un programme de micro-crédit mobile money</w:t>
      </w:r>
    </w:p>
    <w:p>
      <w:pPr>
        <w:spacing w:after="60" w:before="160"/>
      </w:pPr>
      <w:r>
        <w:rPr>
          <w:b/>
          <w:bCs/>
          <w:i/>
          <w:iCs/>
          <w:color w:val="333333"/>
          <w:sz w:val="22"/>
          <w:szCs w:val="22"/>
        </w:rPr>
        <w:t xml:space="preserve">Contexte</w:t>
      </w:r>
    </w:p>
    <w:p>
      <w:pPr>
        <w:spacing w:after="140" w:line="300"/>
      </w:pPr>
      <w:r>
        <w:rPr>
          <w:sz w:val="22"/>
          <w:szCs w:val="22"/>
        </w:rPr>
        <w:t xml:space="preserve">Un détaillant de taille moyenne à Douala, disposant d'une base de 40 000 clients fidèles (programme de fidélité), envisage de lancer un service de micro-crédit adossé au mobile money pour financer les achats de ses clients réguliers. La direction demande une estimation de la cible potentielle et une recommandation sur l'opportunité de lancer le programme.</w:t>
      </w:r>
    </w:p>
    <w:p>
      <w:pPr>
        <w:spacing w:after="60" w:before="160"/>
      </w:pPr>
      <w:r>
        <w:rPr>
          <w:b/>
          <w:bCs/>
          <w:i/>
          <w:iCs/>
          <w:color w:val="333333"/>
          <w:sz w:val="22"/>
          <w:szCs w:val="22"/>
        </w:rPr>
        <w:t xml:space="preserve">Approche</w:t>
      </w:r>
    </w:p>
    <w:p>
      <w:pPr>
        <w:spacing w:after="140" w:line="300"/>
      </w:pPr>
      <w:r>
        <w:rPr>
          <w:sz w:val="22"/>
          <w:szCs w:val="22"/>
        </w:rPr>
        <w:t xml:space="preserve">Analyse des parties prenantes (le détaillant, les clients, l'opérateur de mobile money partenaire), puis segmentation en entonnoir de la base de clients pour isoler la cible réellement adressable, en posant des hypothèses explicites à chaque étape plutôt que de traiter l'ensemble de la base comme cible potentielle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5F3" w:val="clear"/>
            <w:tcMar>
              <w:top w:type="dxa" w:w="80"/>
              <w:left w:type="dxa" w:w="120"/>
              <w:bottom w:type="dxa" w:w="80"/>
              <w:right w:type="dxa" w:w="120"/>
            </w:tcMar>
          </w:tcPr>
          <w:p>
            <w:r>
              <w:rPr>
                <w:color w:val="595959"/>
                <w:sz w:val="20"/>
                <w:szCs w:val="20"/>
              </w:rPr>
              <w:t xml:space="preserve">Base de clients fidèles</w:t>
            </w:r>
          </w:p>
        </w:tc>
        <w:tc>
          <w:tcPr>
            <w:tcW w:type="dxa" w:w="4500"/>
            <w:tcMar>
              <w:top w:type="dxa" w:w="80"/>
              <w:left w:type="dxa" w:w="120"/>
              <w:bottom w:type="dxa" w:w="80"/>
              <w:right w:type="dxa" w:w="120"/>
            </w:tcMar>
          </w:tcPr>
          <w:p>
            <w:r>
              <w:rPr>
                <w:b/>
                <w:bCs/>
                <w:sz w:val="20"/>
                <w:szCs w:val="20"/>
              </w:rPr>
              <w:t xml:space="preserve">40 000</w:t>
            </w:r>
          </w:p>
        </w:tc>
      </w:tr>
      <w:tr>
        <w:tc>
          <w:tcPr>
            <w:tcW w:type="dxa" w:w="4500"/>
            <w:shd w:fill="F2F5F3" w:val="clear"/>
            <w:tcMar>
              <w:top w:type="dxa" w:w="80"/>
              <w:left w:type="dxa" w:w="120"/>
              <w:bottom w:type="dxa" w:w="80"/>
              <w:right w:type="dxa" w:w="120"/>
            </w:tcMar>
          </w:tcPr>
          <w:p>
            <w:r>
              <w:rPr>
                <w:color w:val="595959"/>
                <w:sz w:val="20"/>
                <w:szCs w:val="20"/>
              </w:rPr>
              <w:t xml:space="preserve">Clients réguliers (90%)</w:t>
            </w:r>
          </w:p>
        </w:tc>
        <w:tc>
          <w:tcPr>
            <w:tcW w:type="dxa" w:w="4500"/>
            <w:tcMar>
              <w:top w:type="dxa" w:w="80"/>
              <w:left w:type="dxa" w:w="120"/>
              <w:bottom w:type="dxa" w:w="80"/>
              <w:right w:type="dxa" w:w="120"/>
            </w:tcMar>
          </w:tcPr>
          <w:p>
            <w:r>
              <w:rPr>
                <w:b/>
                <w:bCs/>
                <w:sz w:val="20"/>
                <w:szCs w:val="20"/>
              </w:rPr>
              <w:t xml:space="preserve">36 000</w:t>
            </w:r>
          </w:p>
        </w:tc>
      </w:tr>
      <w:tr>
        <w:tc>
          <w:tcPr>
            <w:tcW w:type="dxa" w:w="4500"/>
            <w:shd w:fill="F2F5F3" w:val="clear"/>
            <w:tcMar>
              <w:top w:type="dxa" w:w="80"/>
              <w:left w:type="dxa" w:w="120"/>
              <w:bottom w:type="dxa" w:w="80"/>
              <w:right w:type="dxa" w:w="120"/>
            </w:tcMar>
          </w:tcPr>
          <w:p>
            <w:r>
              <w:rPr>
                <w:color w:val="595959"/>
                <w:sz w:val="20"/>
                <w:szCs w:val="20"/>
              </w:rPr>
              <w:t xml:space="preserve">Usage du mobile money (23%)</w:t>
            </w:r>
          </w:p>
        </w:tc>
        <w:tc>
          <w:tcPr>
            <w:tcW w:type="dxa" w:w="4500"/>
            <w:tcMar>
              <w:top w:type="dxa" w:w="80"/>
              <w:left w:type="dxa" w:w="120"/>
              <w:bottom w:type="dxa" w:w="80"/>
              <w:right w:type="dxa" w:w="120"/>
            </w:tcMar>
          </w:tcPr>
          <w:p>
            <w:r>
              <w:rPr>
                <w:b/>
                <w:bCs/>
                <w:sz w:val="20"/>
                <w:szCs w:val="20"/>
              </w:rPr>
              <w:t xml:space="preserve">8 280</w:t>
            </w:r>
          </w:p>
        </w:tc>
      </w:tr>
      <w:tr>
        <w:tc>
          <w:tcPr>
            <w:tcW w:type="dxa" w:w="4500"/>
            <w:shd w:fill="F2F5F3" w:val="clear"/>
            <w:tcMar>
              <w:top w:type="dxa" w:w="80"/>
              <w:left w:type="dxa" w:w="120"/>
              <w:bottom w:type="dxa" w:w="80"/>
              <w:right w:type="dxa" w:w="120"/>
            </w:tcMar>
          </w:tcPr>
          <w:p>
            <w:r>
              <w:rPr>
                <w:color w:val="595959"/>
                <w:sz w:val="20"/>
                <w:szCs w:val="20"/>
              </w:rPr>
              <w:t xml:space="preserve">Intérêt pour un produit de crédit (30%)</w:t>
            </w:r>
          </w:p>
        </w:tc>
        <w:tc>
          <w:tcPr>
            <w:tcW w:type="dxa" w:w="4500"/>
            <w:tcMar>
              <w:top w:type="dxa" w:w="80"/>
              <w:left w:type="dxa" w:w="120"/>
              <w:bottom w:type="dxa" w:w="80"/>
              <w:right w:type="dxa" w:w="120"/>
            </w:tcMar>
          </w:tcPr>
          <w:p>
            <w:r>
              <w:rPr>
                <w:b/>
                <w:bCs/>
                <w:sz w:val="20"/>
                <w:szCs w:val="20"/>
              </w:rPr>
              <w:t xml:space="preserve">2 484</w:t>
            </w:r>
          </w:p>
        </w:tc>
      </w:tr>
      <w:tr>
        <w:tc>
          <w:tcPr>
            <w:tcW w:type="dxa" w:w="4500"/>
            <w:shd w:fill="F2F5F3" w:val="clear"/>
            <w:tcMar>
              <w:top w:type="dxa" w:w="80"/>
              <w:left w:type="dxa" w:w="120"/>
              <w:bottom w:type="dxa" w:w="80"/>
              <w:right w:type="dxa" w:w="120"/>
            </w:tcMar>
          </w:tcPr>
          <w:p>
            <w:r>
              <w:rPr>
                <w:color w:val="595959"/>
                <w:sz w:val="20"/>
                <w:szCs w:val="20"/>
              </w:rPr>
              <w:t xml:space="preserve">Éligibilité de base (5%)</w:t>
            </w:r>
          </w:p>
        </w:tc>
        <w:tc>
          <w:tcPr>
            <w:tcW w:type="dxa" w:w="4500"/>
            <w:tcMar>
              <w:top w:type="dxa" w:w="80"/>
              <w:left w:type="dxa" w:w="120"/>
              <w:bottom w:type="dxa" w:w="80"/>
              <w:right w:type="dxa" w:w="120"/>
            </w:tcMar>
          </w:tcPr>
          <w:p>
            <w:r>
              <w:rPr>
                <w:b/>
                <w:bCs/>
                <w:sz w:val="20"/>
                <w:szCs w:val="20"/>
              </w:rPr>
              <w:t xml:space="preserve">124 clients</w:t>
            </w:r>
          </w:p>
        </w:tc>
      </w:tr>
    </w:tbl>
    <w:p>
      <w:pPr>
        <w:spacing w:after="140"/>
      </w:pPr>
    </w:p>
    <w:p>
      <w:pPr>
        <w:spacing w:after="60" w:before="160"/>
      </w:pPr>
      <w:r>
        <w:rPr>
          <w:b/>
          <w:bCs/>
          <w:i/>
          <w:iCs/>
          <w:color w:val="333333"/>
          <w:sz w:val="22"/>
          <w:szCs w:val="22"/>
        </w:rPr>
        <w:t xml:space="preserve">Résultat et recommandation</w:t>
      </w:r>
    </w:p>
    <w:p>
      <w:pPr>
        <w:spacing w:after="140" w:line="300"/>
      </w:pPr>
      <w:r>
        <w:rPr>
          <w:sz w:val="22"/>
          <w:szCs w:val="22"/>
        </w:rPr>
        <w:t xml:space="preserve">Sur la base de ces hypothèses, la cible immédiatement adressable est estimée à 124 clients, soit environ 0,3% de la base totale — une taille trop réduite pour juger seule de la viabilité du programme.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5F3" w:val="clear"/>
            <w:tcMar>
              <w:top w:type="dxa" w:w="140"/>
              <w:left w:type="dxa" w:w="180"/>
              <w:bottom w:type="dxa" w:w="140"/>
              <w:right w:type="dxa" w:w="180"/>
            </w:tcMar>
          </w:tcPr>
          <w:p>
            <w:pPr>
              <w:spacing w:after="60"/>
            </w:pPr>
            <w:r>
              <w:rPr>
                <w:b/>
                <w:bCs/>
                <w:color w:val="1F4D3D"/>
                <w:sz w:val="20"/>
                <w:szCs w:val="20"/>
              </w:rPr>
              <w:t xml:space="preserve">Recommandation</w:t>
            </w:r>
          </w:p>
          <w:p>
            <w:pPr>
              <w:spacing w:after="0" w:line="280"/>
            </w:pPr>
            <w:r>
              <w:rPr>
                <w:sz w:val="21"/>
                <w:szCs w:val="21"/>
              </w:rPr>
              <w:t xml:space="preserve">Ne pas lancer le programme immédiatement, mais le faire mûrir en complétant l'analyse par trois éléments manquants : le coût de mise en place, le revenu attendu par client et le taux de risque de défaut. Le principal risque identifié est d'investir dans un produit financier pour une cible potentiellement trop restreinte pour être rentable à court terme.</w:t>
            </w:r>
          </w:p>
        </w:tc>
      </w:tr>
    </w:tbl>
    <w:p>
      <w:pPr>
        <w:spacing w:after="100"/>
      </w:pPr>
    </w:p>
    <w:p>
      <w:pPr>
        <w:spacing w:after="60" w:before="160"/>
      </w:pPr>
      <w:r>
        <w:rPr>
          <w:b/>
          <w:bCs/>
          <w:i/>
          <w:iCs/>
          <w:color w:val="333333"/>
          <w:sz w:val="22"/>
          <w:szCs w:val="22"/>
        </w:rPr>
        <w:t xml:space="preserve">Compétences mobilisées</w:t>
      </w:r>
    </w:p>
    <w:p>
      <w:pPr>
        <w:pStyle w:val="ListParagraph"/>
        <w:numPr>
          <w:ilvl w:val="0"/>
          <w:numId w:val="2"/>
        </w:numPr>
        <w:spacing w:after="60" w:line="280"/>
      </w:pPr>
      <w:r>
        <w:rPr>
          <w:sz w:val="22"/>
          <w:szCs w:val="22"/>
        </w:rPr>
        <w:t xml:space="preserve">Analyse de business case et arbitrage de décision (BABOK)</w:t>
      </w:r>
    </w:p>
    <w:p>
      <w:pPr>
        <w:pStyle w:val="ListParagraph"/>
        <w:numPr>
          <w:ilvl w:val="0"/>
          <w:numId w:val="2"/>
        </w:numPr>
        <w:spacing w:after="60" w:line="280"/>
      </w:pPr>
      <w:r>
        <w:rPr>
          <w:sz w:val="22"/>
          <w:szCs w:val="22"/>
        </w:rPr>
        <w:t xml:space="preserve">Segmentation de marché en entonnoir avec hypothèses explicites</w:t>
      </w:r>
    </w:p>
    <w:p>
      <w:pPr>
        <w:pStyle w:val="ListParagraph"/>
        <w:numPr>
          <w:ilvl w:val="0"/>
          <w:numId w:val="2"/>
        </w:numPr>
        <w:spacing w:after="60" w:line="280"/>
      </w:pPr>
      <w:r>
        <w:rPr>
          <w:sz w:val="22"/>
          <w:szCs w:val="22"/>
        </w:rPr>
        <w:t xml:space="preserve">Recommandation structurée en priorisant la conclusion (synthèse top-down)</w:t>
      </w:r>
    </w:p>
    <w:p>
      <w:pPr>
        <w:spacing w:after="100"/>
      </w:pPr>
    </w:p>
    <w:p>
      <w:pPr>
        <w:pStyle w:val="Heading1"/>
        <w:pBdr>
          <w:bottom w:val="single" w:color="1F4D3D" w:sz="6" w:space="4"/>
        </w:pBdr>
        <w:spacing w:after="160" w:before="360"/>
      </w:pPr>
      <w:r>
        <w:rPr>
          <w:b/>
          <w:bCs/>
          <w:color w:val="1F4D3D"/>
          <w:sz w:val="30"/>
          <w:szCs w:val="30"/>
        </w:rPr>
        <w:t xml:space="preserve">Cas 2 — Market Sizing : chiffre d'affaires des vendeuses de petit-déjeuner de rue à Douala</w:t>
      </w:r>
    </w:p>
    <w:p>
      <w:pPr>
        <w:spacing w:after="60" w:before="160"/>
      </w:pPr>
      <w:r>
        <w:rPr>
          <w:b/>
          <w:bCs/>
          <w:i/>
          <w:iCs/>
          <w:color w:val="333333"/>
          <w:sz w:val="22"/>
          <w:szCs w:val="22"/>
        </w:rPr>
        <w:t xml:space="preserve">Contexte</w:t>
      </w:r>
    </w:p>
    <w:p>
      <w:pPr>
        <w:spacing w:after="140" w:line="300"/>
      </w:pPr>
      <w:r>
        <w:rPr>
          <w:sz w:val="22"/>
          <w:szCs w:val="22"/>
        </w:rPr>
        <w:t xml:space="preserve">Estimation du chiffre d'affaires annuel généré par les vendeuses de rue de beignets-haricots-bouillie, un petit-déjeuner de rue très répandu à Douala, à titre d'exercice de dimensionnement de marché (market sizing).</w:t>
      </w:r>
    </w:p>
    <w:p>
      <w:pPr>
        <w:spacing w:after="60" w:before="160"/>
      </w:pPr>
      <w:r>
        <w:rPr>
          <w:b/>
          <w:bCs/>
          <w:i/>
          <w:iCs/>
          <w:color w:val="333333"/>
          <w:sz w:val="22"/>
          <w:szCs w:val="22"/>
        </w:rPr>
        <w:t xml:space="preserve">Approche</w:t>
      </w:r>
    </w:p>
    <w:p>
      <w:pPr>
        <w:spacing w:after="140" w:line="300"/>
      </w:pPr>
      <w:r>
        <w:rPr>
          <w:sz w:val="22"/>
          <w:szCs w:val="22"/>
        </w:rPr>
        <w:t xml:space="preserve">Construction ascendante (bottom-up) du nombre de vendeuses par type de point de vente, sur l'ensemble des 6 communes de Douala, plutôt qu'une estimation globale non justifiée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5F3" w:val="clear"/>
            <w:tcMar>
              <w:top w:type="dxa" w:w="80"/>
              <w:left w:type="dxa" w:w="120"/>
              <w:bottom w:type="dxa" w:w="80"/>
              <w:right w:type="dxa" w:w="120"/>
            </w:tcMar>
          </w:tcPr>
          <w:p>
            <w:r>
              <w:rPr>
                <w:color w:val="595959"/>
                <w:sz w:val="20"/>
                <w:szCs w:val="20"/>
              </w:rPr>
              <w:t xml:space="preserve">Marchés</w:t>
            </w:r>
          </w:p>
        </w:tc>
        <w:tc>
          <w:tcPr>
            <w:tcW w:type="dxa" w:w="4500"/>
            <w:tcMar>
              <w:top w:type="dxa" w:w="80"/>
              <w:left w:type="dxa" w:w="120"/>
              <w:bottom w:type="dxa" w:w="80"/>
              <w:right w:type="dxa" w:w="120"/>
            </w:tcMar>
          </w:tcPr>
          <w:p>
            <w:r>
              <w:rPr>
                <w:b/>
                <w:bCs/>
                <w:sz w:val="20"/>
                <w:szCs w:val="20"/>
              </w:rPr>
              <w:t xml:space="preserve">5 000 vendeuses</w:t>
            </w:r>
          </w:p>
        </w:tc>
      </w:tr>
      <w:tr>
        <w:tc>
          <w:tcPr>
            <w:tcW w:type="dxa" w:w="4500"/>
            <w:shd w:fill="F2F5F3" w:val="clear"/>
            <w:tcMar>
              <w:top w:type="dxa" w:w="80"/>
              <w:left w:type="dxa" w:w="120"/>
              <w:bottom w:type="dxa" w:w="80"/>
              <w:right w:type="dxa" w:w="120"/>
            </w:tcMar>
          </w:tcPr>
          <w:p>
            <w:r>
              <w:rPr>
                <w:color w:val="595959"/>
                <w:sz w:val="20"/>
                <w:szCs w:val="20"/>
              </w:rPr>
              <w:t xml:space="preserve">Abords des écoles</w:t>
            </w:r>
          </w:p>
        </w:tc>
        <w:tc>
          <w:tcPr>
            <w:tcW w:type="dxa" w:w="4500"/>
            <w:tcMar>
              <w:top w:type="dxa" w:w="80"/>
              <w:left w:type="dxa" w:w="120"/>
              <w:bottom w:type="dxa" w:w="80"/>
              <w:right w:type="dxa" w:w="120"/>
            </w:tcMar>
          </w:tcPr>
          <w:p>
            <w:r>
              <w:rPr>
                <w:b/>
                <w:bCs/>
                <w:sz w:val="20"/>
                <w:szCs w:val="20"/>
              </w:rPr>
              <w:t xml:space="preserve">20 000 vendeuses</w:t>
            </w:r>
          </w:p>
        </w:tc>
      </w:tr>
      <w:tr>
        <w:tc>
          <w:tcPr>
            <w:tcW w:type="dxa" w:w="4500"/>
            <w:shd w:fill="F2F5F3" w:val="clear"/>
            <w:tcMar>
              <w:top w:type="dxa" w:w="80"/>
              <w:left w:type="dxa" w:w="120"/>
              <w:bottom w:type="dxa" w:w="80"/>
              <w:right w:type="dxa" w:w="120"/>
            </w:tcMar>
          </w:tcPr>
          <w:p>
            <w:r>
              <w:rPr>
                <w:color w:val="595959"/>
                <w:sz w:val="20"/>
                <w:szCs w:val="20"/>
              </w:rPr>
              <w:t xml:space="preserve">Carrefours</w:t>
            </w:r>
          </w:p>
        </w:tc>
        <w:tc>
          <w:tcPr>
            <w:tcW w:type="dxa" w:w="4500"/>
            <w:tcMar>
              <w:top w:type="dxa" w:w="80"/>
              <w:left w:type="dxa" w:w="120"/>
              <w:bottom w:type="dxa" w:w="80"/>
              <w:right w:type="dxa" w:w="120"/>
            </w:tcMar>
          </w:tcPr>
          <w:p>
            <w:r>
              <w:rPr>
                <w:b/>
                <w:bCs/>
                <w:sz w:val="20"/>
                <w:szCs w:val="20"/>
              </w:rPr>
              <w:t xml:space="preserve">2 000 vendeuses</w:t>
            </w:r>
          </w:p>
        </w:tc>
      </w:tr>
      <w:tr>
        <w:tc>
          <w:tcPr>
            <w:tcW w:type="dxa" w:w="4500"/>
            <w:shd w:fill="F2F5F3" w:val="clear"/>
            <w:tcMar>
              <w:top w:type="dxa" w:w="80"/>
              <w:left w:type="dxa" w:w="120"/>
              <w:bottom w:type="dxa" w:w="80"/>
              <w:right w:type="dxa" w:w="120"/>
            </w:tcMar>
          </w:tcPr>
          <w:p>
            <w:r>
              <w:rPr>
                <w:color w:val="595959"/>
                <w:sz w:val="20"/>
                <w:szCs w:val="20"/>
              </w:rPr>
              <w:t xml:space="preserve">Autres emplacements</w:t>
            </w:r>
          </w:p>
        </w:tc>
        <w:tc>
          <w:tcPr>
            <w:tcW w:type="dxa" w:w="4500"/>
            <w:tcMar>
              <w:top w:type="dxa" w:w="80"/>
              <w:left w:type="dxa" w:w="120"/>
              <w:bottom w:type="dxa" w:w="80"/>
              <w:right w:type="dxa" w:w="120"/>
            </w:tcMar>
          </w:tcPr>
          <w:p>
            <w:r>
              <w:rPr>
                <w:b/>
                <w:bCs/>
                <w:sz w:val="20"/>
                <w:szCs w:val="20"/>
              </w:rPr>
              <w:t xml:space="preserve">500 vendeuses</w:t>
            </w:r>
          </w:p>
        </w:tc>
      </w:tr>
      <w:tr>
        <w:tc>
          <w:tcPr>
            <w:tcW w:type="dxa" w:w="4500"/>
            <w:shd w:fill="F2F5F3" w:val="clear"/>
            <w:tcMar>
              <w:top w:type="dxa" w:w="80"/>
              <w:left w:type="dxa" w:w="120"/>
              <w:bottom w:type="dxa" w:w="80"/>
              <w:right w:type="dxa" w:w="120"/>
            </w:tcMar>
          </w:tcPr>
          <w:p>
            <w:r>
              <w:rPr>
                <w:color w:val="595959"/>
                <w:sz w:val="20"/>
                <w:szCs w:val="20"/>
              </w:rPr>
              <w:t xml:space="preserve">Total</w:t>
            </w:r>
          </w:p>
        </w:tc>
        <w:tc>
          <w:tcPr>
            <w:tcW w:type="dxa" w:w="4500"/>
            <w:tcMar>
              <w:top w:type="dxa" w:w="80"/>
              <w:left w:type="dxa" w:w="120"/>
              <w:bottom w:type="dxa" w:w="80"/>
              <w:right w:type="dxa" w:w="120"/>
            </w:tcMar>
          </w:tcPr>
          <w:p>
            <w:r>
              <w:rPr>
                <w:b/>
                <w:bCs/>
                <w:sz w:val="20"/>
                <w:szCs w:val="20"/>
              </w:rPr>
              <w:t xml:space="preserve">27 500 vendeuses</w:t>
            </w:r>
          </w:p>
        </w:tc>
      </w:tr>
    </w:tbl>
    <w:p>
      <w:pPr>
        <w:spacing w:after="140"/>
      </w:pPr>
    </w:p>
    <w:p>
      <w:pPr>
        <w:spacing w:after="140" w:line="300"/>
      </w:pPr>
      <w:r>
        <w:rPr>
          <w:sz w:val="22"/>
          <w:szCs w:val="22"/>
        </w:rPr>
        <w:t xml:space="preserve">Hypothèses de vente : 50 clients par jour en moyenne par vendeuse, prix moyen de 250 FCFA par plat, activité 7 jours sur 7.</w:t>
      </w:r>
    </w:p>
    <w:p>
      <w:pPr>
        <w:spacing w:after="140" w:line="300"/>
      </w:pPr>
      <w:r>
        <w:rPr>
          <w:sz w:val="22"/>
          <w:szCs w:val="22"/>
        </w:rPr>
        <w:t xml:space="preserve">Calcul : CA journalier par vendeuse = 250 × 50 = 12 500 FCFA. CA journalier total = 12 500 × 27 500 = 343 750 000 FCFA. CA annuel = 343 750 000 × 365 ≈ 125,5 milliards de FCFA.</w:t>
      </w:r>
    </w:p>
    <w:p>
      <w:pPr>
        <w:spacing w:after="60" w:before="160"/>
      </w:pPr>
      <w:r>
        <w:rPr>
          <w:b/>
          <w:bCs/>
          <w:i/>
          <w:iCs/>
          <w:color w:val="333333"/>
          <w:sz w:val="22"/>
          <w:szCs w:val="22"/>
        </w:rPr>
        <w:t xml:space="preserve">Validation (sanity-check)</w:t>
      </w:r>
    </w:p>
    <w:p>
      <w:pPr>
        <w:spacing w:after="140" w:line="300"/>
      </w:pPr>
      <w:r>
        <w:rPr>
          <w:sz w:val="22"/>
          <w:szCs w:val="22"/>
        </w:rPr>
        <w:t xml:space="preserve">Rapporté à la population totale de Douala (environ 4 500 000 habitants), ce chiffre correspond à environ 27 900 FCFA dépensés par habitant et par an, soit environ 111 repas par personne et par an — un repas tous les trois jours en moyenne sur l'ensemble de la population. Un ordre de grandeur crédible pour un petit-déjeuner de rue bon marché et culturellement ancré, contrairement à une première estimation non vérifiée (100 000 vendeuses) qui aurait impliqué plus d'un repas par jour pour la totalité de la population — un résultat rejeté car implausible.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5F3" w:val="clear"/>
            <w:tcMar>
              <w:top w:type="dxa" w:w="140"/>
              <w:left w:type="dxa" w:w="180"/>
              <w:bottom w:type="dxa" w:w="140"/>
              <w:right w:type="dxa" w:w="180"/>
            </w:tcMar>
          </w:tcPr>
          <w:p>
            <w:pPr>
              <w:spacing w:after="60"/>
            </w:pPr>
            <w:r>
              <w:rPr>
                <w:b/>
                <w:bCs/>
                <w:color w:val="1F4D3D"/>
                <w:sz w:val="20"/>
                <w:szCs w:val="20"/>
              </w:rPr>
              <w:t xml:space="preserve">Conclusion</w:t>
            </w:r>
          </w:p>
          <w:p>
            <w:pPr>
              <w:spacing w:after="0" w:line="280"/>
            </w:pPr>
            <w:r>
              <w:rPr>
                <w:sz w:val="21"/>
                <w:szCs w:val="21"/>
              </w:rPr>
              <w:t xml:space="preserve">Les beignets-haricots-bouillie constituent un segment de petit-déjeuner de rue économiquement significatif à Douala, avec un chiffre d'affaires annuel estimé à environ 125,5 milliards de FCFA sur la base d'hypothèses raisonnables et vérifiées contre un repère de plausibilité externe.</w:t>
            </w:r>
          </w:p>
        </w:tc>
      </w:tr>
    </w:tbl>
    <w:p>
      <w:pPr>
        <w:spacing w:after="100"/>
      </w:pPr>
    </w:p>
    <w:p>
      <w:pPr>
        <w:spacing w:after="60" w:before="160"/>
      </w:pPr>
      <w:r>
        <w:rPr>
          <w:b/>
          <w:bCs/>
          <w:i/>
          <w:iCs/>
          <w:color w:val="333333"/>
          <w:sz w:val="22"/>
          <w:szCs w:val="22"/>
        </w:rPr>
        <w:t xml:space="preserve">Compétences mobilisées</w:t>
      </w:r>
    </w:p>
    <w:p>
      <w:pPr>
        <w:pStyle w:val="ListParagraph"/>
        <w:numPr>
          <w:ilvl w:val="0"/>
          <w:numId w:val="2"/>
        </w:numPr>
        <w:spacing w:after="60" w:line="280"/>
      </w:pPr>
      <w:r>
        <w:rPr>
          <w:sz w:val="22"/>
          <w:szCs w:val="22"/>
        </w:rPr>
        <w:t xml:space="preserve">Market sizing par construction ascendante (bottom-up)</w:t>
      </w:r>
    </w:p>
    <w:p>
      <w:pPr>
        <w:pStyle w:val="ListParagraph"/>
        <w:numPr>
          <w:ilvl w:val="0"/>
          <w:numId w:val="2"/>
        </w:numPr>
        <w:spacing w:after="60" w:line="280"/>
      </w:pPr>
      <w:r>
        <w:rPr>
          <w:sz w:val="22"/>
          <w:szCs w:val="22"/>
        </w:rPr>
        <w:t xml:space="preserve">Formulation d'hypothèses explicites et traçables</w:t>
      </w:r>
    </w:p>
    <w:p>
      <w:pPr>
        <w:pStyle w:val="ListParagraph"/>
        <w:numPr>
          <w:ilvl w:val="0"/>
          <w:numId w:val="2"/>
        </w:numPr>
        <w:spacing w:after="60" w:line="280"/>
      </w:pPr>
      <w:r>
        <w:rPr>
          <w:sz w:val="22"/>
          <w:szCs w:val="22"/>
        </w:rPr>
        <w:t xml:space="preserve">Validation croisée des résultats contre un repère externe (sanity-check)</w:t>
      </w:r>
    </w:p>
    <w:p>
      <w:pPr>
        <w:spacing w:after="100"/>
      </w:pPr>
    </w:p>
    <w:p>
      <w:pPr>
        <w:pStyle w:val="Heading1"/>
        <w:pBdr>
          <w:bottom w:val="single" w:color="1F4D3D" w:sz="6" w:space="4"/>
        </w:pBdr>
        <w:spacing w:after="160" w:before="360"/>
      </w:pPr>
      <w:r>
        <w:rPr>
          <w:b/>
          <w:bCs/>
          <w:color w:val="1F4D3D"/>
          <w:sz w:val="30"/>
          <w:szCs w:val="30"/>
        </w:rPr>
        <w:t xml:space="preserve">Cas 3 — Data Analytics : Dashboard Power BI, production et ventes (NutriDash Cameroun)</w:t>
      </w:r>
    </w:p>
    <w:p>
      <w:pPr>
        <w:spacing w:after="60" w:before="160"/>
      </w:pPr>
      <w:r>
        <w:rPr>
          <w:b/>
          <w:bCs/>
          <w:i/>
          <w:iCs/>
          <w:color w:val="333333"/>
          <w:sz w:val="22"/>
          <w:szCs w:val="22"/>
        </w:rPr>
        <w:t xml:space="preserve">Contexte</w:t>
      </w:r>
    </w:p>
    <w:p>
      <w:pPr>
        <w:spacing w:after="140" w:line="300"/>
      </w:pPr>
      <w:r>
        <w:rPr>
          <w:sz w:val="22"/>
          <w:szCs w:val="22"/>
        </w:rPr>
        <w:t xml:space="preserve">Mission Power BI pour une PME camerounaise de production de bouillie infantile (juin-juillet 2026) : concevoir un tableau de bord pilotant l'activité sur 12 mois de données (2024), couvrant la fabrication, les ventes sur 6 canaux de distribution et la rentabilité par produit et par canal.</w:t>
      </w:r>
    </w:p>
    <w:p>
      <w:pPr>
        <w:spacing w:after="60" w:before="160"/>
      </w:pPr>
      <w:r>
        <w:rPr>
          <w:b/>
          <w:bCs/>
          <w:i/>
          <w:iCs/>
          <w:color w:val="333333"/>
          <w:sz w:val="22"/>
          <w:szCs w:val="22"/>
        </w:rPr>
        <w:t xml:space="preserve">Compétences techniques mobilisées</w:t>
      </w:r>
    </w:p>
    <w:p>
      <w:pPr>
        <w:pStyle w:val="ListParagraph"/>
        <w:numPr>
          <w:ilvl w:val="0"/>
          <w:numId w:val="2"/>
        </w:numPr>
        <w:spacing w:after="60" w:line="280"/>
      </w:pPr>
      <w:r>
        <w:rPr>
          <w:sz w:val="22"/>
          <w:szCs w:val="22"/>
        </w:rPr>
        <w:t xml:space="preserve">Power Query : nettoyage et fusion de 3 tables sources (CSV), création de colonnes calculées</w:t>
      </w:r>
    </w:p>
    <w:p>
      <w:pPr>
        <w:pStyle w:val="ListParagraph"/>
        <w:numPr>
          <w:ilvl w:val="0"/>
          <w:numId w:val="2"/>
        </w:numPr>
        <w:spacing w:after="60" w:line="280"/>
      </w:pPr>
      <w:r>
        <w:rPr>
          <w:sz w:val="22"/>
          <w:szCs w:val="22"/>
        </w:rPr>
        <w:t xml:space="preserve">Modélisation : schéma en étoile, table de dates générée en DAX natif (CALENDAR())</w:t>
      </w:r>
    </w:p>
    <w:p>
      <w:pPr>
        <w:pStyle w:val="ListParagraph"/>
        <w:numPr>
          <w:ilvl w:val="0"/>
          <w:numId w:val="2"/>
        </w:numPr>
        <w:spacing w:after="60" w:line="280"/>
      </w:pPr>
      <w:r>
        <w:rPr>
          <w:sz w:val="22"/>
          <w:szCs w:val="22"/>
        </w:rPr>
        <w:t xml:space="preserve">DAX avancé : SUMX, CALCULATE, DIVIDE, COUNTROWS, DISTINCTCOUNT</w:t>
      </w:r>
    </w:p>
    <w:p>
      <w:pPr>
        <w:pStyle w:val="ListParagraph"/>
        <w:numPr>
          <w:ilvl w:val="0"/>
          <w:numId w:val="2"/>
        </w:numPr>
        <w:spacing w:after="60" w:line="280"/>
      </w:pPr>
      <w:r>
        <w:rPr>
          <w:sz w:val="22"/>
          <w:szCs w:val="22"/>
        </w:rPr>
        <w:t xml:space="preserve">Power BI Service : workspace dédié, tableau de bord interactif multi-pages</w:t>
      </w:r>
    </w:p>
    <w:p>
      <w:pPr>
        <w:pStyle w:val="ListParagraph"/>
        <w:numPr>
          <w:ilvl w:val="0"/>
          <w:numId w:val="2"/>
        </w:numPr>
        <w:spacing w:after="60" w:line="280"/>
      </w:pPr>
      <w:r>
        <w:rPr>
          <w:sz w:val="22"/>
          <w:szCs w:val="22"/>
        </w:rPr>
        <w:t xml:space="preserve">Sécurité des données : Row-Level Security (RLS) configurée par région (5 rôles — Centre, Littoral, Nord, Ouest, Sud)</w:t>
      </w:r>
    </w:p>
    <w:p>
      <w:pPr>
        <w:spacing w:after="60" w:before="160"/>
      </w:pPr>
      <w:r>
        <w:rPr>
          <w:b/>
          <w:bCs/>
          <w:i/>
          <w:iCs/>
          <w:color w:val="333333"/>
          <w:sz w:val="22"/>
          <w:szCs w:val="22"/>
        </w:rPr>
        <w:t xml:space="preserve">Défis techniques résolus</w:t>
      </w:r>
    </w:p>
    <w:p>
      <w:pPr>
        <w:pStyle w:val="ListParagraph"/>
        <w:numPr>
          <w:ilvl w:val="0"/>
          <w:numId w:val="2"/>
        </w:numPr>
        <w:spacing w:after="60" w:line="280"/>
      </w:pPr>
      <w:r>
        <w:rPr>
          <w:sz w:val="22"/>
          <w:szCs w:val="22"/>
        </w:rPr>
        <w:t xml:space="preserve">Bug de priorité des opérateurs en Power Query : ([A]-[B])/[A] ≠ [A]-[B]/[A] — correction de la formule pour respecter l'ordre d'évaluation voulu</w:t>
      </w:r>
    </w:p>
    <w:p>
      <w:pPr>
        <w:pStyle w:val="ListParagraph"/>
        <w:numPr>
          <w:ilvl w:val="0"/>
          <w:numId w:val="2"/>
        </w:numPr>
        <w:spacing w:after="60" w:line="280"/>
      </w:pPr>
      <w:r>
        <w:rPr>
          <w:sz w:val="22"/>
          <w:szCs w:val="22"/>
        </w:rPr>
        <w:t xml:space="preserve">Erreur d'agrégation DAX : une somme (SUM) appliquée directement sur des pourcentages produisait un résultat faux — recalcul avec DIVIDE() à partir des totaux sous-jacents</w:t>
      </w:r>
    </w:p>
    <w:p>
      <w:pPr>
        <w:pStyle w:val="ListParagraph"/>
        <w:numPr>
          <w:ilvl w:val="0"/>
          <w:numId w:val="2"/>
        </w:numPr>
        <w:spacing w:after="60" w:line="280"/>
      </w:pPr>
      <w:r>
        <w:rPr>
          <w:sz w:val="22"/>
          <w:szCs w:val="22"/>
        </w:rPr>
        <w:t xml:space="preserve">Axe temporel désordonné (tri alphabétique des mois) — corrigé par une colonne Date dédiée générée en DAX (CALENDAR()) pour un tri chronologique correct</w:t>
      </w:r>
    </w:p>
    <w:p>
      <w:pPr>
        <w:spacing w:after="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5F3" w:val="clear"/>
            <w:tcMar>
              <w:top w:type="dxa" w:w="80"/>
              <w:left w:type="dxa" w:w="120"/>
              <w:bottom w:type="dxa" w:w="80"/>
              <w:right w:type="dxa" w:w="120"/>
            </w:tcMar>
          </w:tcPr>
          <w:p>
            <w:r>
              <w:rPr>
                <w:color w:val="595959"/>
                <w:sz w:val="20"/>
                <w:szCs w:val="20"/>
              </w:rPr>
              <w:t xml:space="preserve">Unités produites</w:t>
            </w:r>
          </w:p>
        </w:tc>
        <w:tc>
          <w:tcPr>
            <w:tcW w:type="dxa" w:w="4500"/>
            <w:tcMar>
              <w:top w:type="dxa" w:w="80"/>
              <w:left w:type="dxa" w:w="120"/>
              <w:bottom w:type="dxa" w:w="80"/>
              <w:right w:type="dxa" w:w="120"/>
            </w:tcMar>
          </w:tcPr>
          <w:p>
            <w:r>
              <w:rPr>
                <w:b/>
                <w:bCs/>
                <w:sz w:val="20"/>
                <w:szCs w:val="20"/>
              </w:rPr>
              <w:t xml:space="preserve">130 000</w:t>
            </w:r>
          </w:p>
        </w:tc>
      </w:tr>
      <w:tr>
        <w:tc>
          <w:tcPr>
            <w:tcW w:type="dxa" w:w="4500"/>
            <w:shd w:fill="F2F5F3" w:val="clear"/>
            <w:tcMar>
              <w:top w:type="dxa" w:w="80"/>
              <w:left w:type="dxa" w:w="120"/>
              <w:bottom w:type="dxa" w:w="80"/>
              <w:right w:type="dxa" w:w="120"/>
            </w:tcMar>
          </w:tcPr>
          <w:p>
            <w:r>
              <w:rPr>
                <w:color w:val="595959"/>
                <w:sz w:val="20"/>
                <w:szCs w:val="20"/>
              </w:rPr>
              <w:t xml:space="preserve">Coût total de fabrication</w:t>
            </w:r>
          </w:p>
        </w:tc>
        <w:tc>
          <w:tcPr>
            <w:tcW w:type="dxa" w:w="4500"/>
            <w:tcMar>
              <w:top w:type="dxa" w:w="80"/>
              <w:left w:type="dxa" w:w="120"/>
              <w:bottom w:type="dxa" w:w="80"/>
              <w:right w:type="dxa" w:w="120"/>
            </w:tcMar>
          </w:tcPr>
          <w:p>
            <w:r>
              <w:rPr>
                <w:b/>
                <w:bCs/>
                <w:sz w:val="20"/>
                <w:szCs w:val="20"/>
              </w:rPr>
              <w:t xml:space="preserve">53 M FCFA</w:t>
            </w:r>
          </w:p>
        </w:tc>
      </w:tr>
      <w:tr>
        <w:tc>
          <w:tcPr>
            <w:tcW w:type="dxa" w:w="4500"/>
            <w:shd w:fill="F2F5F3" w:val="clear"/>
            <w:tcMar>
              <w:top w:type="dxa" w:w="80"/>
              <w:left w:type="dxa" w:w="120"/>
              <w:bottom w:type="dxa" w:w="80"/>
              <w:right w:type="dxa" w:w="120"/>
            </w:tcMar>
          </w:tcPr>
          <w:p>
            <w:r>
              <w:rPr>
                <w:color w:val="595959"/>
                <w:sz w:val="20"/>
                <w:szCs w:val="20"/>
              </w:rPr>
              <w:t xml:space="preserve">Taux de défaut</w:t>
            </w:r>
          </w:p>
        </w:tc>
        <w:tc>
          <w:tcPr>
            <w:tcW w:type="dxa" w:w="4500"/>
            <w:tcMar>
              <w:top w:type="dxa" w:w="80"/>
              <w:left w:type="dxa" w:w="120"/>
              <w:bottom w:type="dxa" w:w="80"/>
              <w:right w:type="dxa" w:w="120"/>
            </w:tcMar>
          </w:tcPr>
          <w:p>
            <w:r>
              <w:rPr>
                <w:b/>
                <w:bCs/>
                <w:sz w:val="20"/>
                <w:szCs w:val="20"/>
              </w:rPr>
              <w:t xml:space="preserve">3,70 %</w:t>
            </w:r>
          </w:p>
        </w:tc>
      </w:tr>
      <w:tr>
        <w:tc>
          <w:tcPr>
            <w:tcW w:type="dxa" w:w="4500"/>
            <w:shd w:fill="F2F5F3" w:val="clear"/>
            <w:tcMar>
              <w:top w:type="dxa" w:w="80"/>
              <w:left w:type="dxa" w:w="120"/>
              <w:bottom w:type="dxa" w:w="80"/>
              <w:right w:type="dxa" w:w="120"/>
            </w:tcMar>
          </w:tcPr>
          <w:p>
            <w:r>
              <w:rPr>
                <w:color w:val="595959"/>
                <w:sz w:val="20"/>
                <w:szCs w:val="20"/>
              </w:rPr>
              <w:t xml:space="preserve">Chiffre d'affaires (6 canaux)</w:t>
            </w:r>
          </w:p>
        </w:tc>
        <w:tc>
          <w:tcPr>
            <w:tcW w:type="dxa" w:w="4500"/>
            <w:tcMar>
              <w:top w:type="dxa" w:w="80"/>
              <w:left w:type="dxa" w:w="120"/>
              <w:bottom w:type="dxa" w:w="80"/>
              <w:right w:type="dxa" w:w="120"/>
            </w:tcMar>
          </w:tcPr>
          <w:p>
            <w:r>
              <w:rPr>
                <w:b/>
                <w:bCs/>
                <w:sz w:val="20"/>
                <w:szCs w:val="20"/>
              </w:rPr>
              <w:t xml:space="preserve">98 M FCFA</w:t>
            </w:r>
          </w:p>
        </w:tc>
      </w:tr>
      <w:tr>
        <w:tc>
          <w:tcPr>
            <w:tcW w:type="dxa" w:w="4500"/>
            <w:shd w:fill="F2F5F3" w:val="clear"/>
            <w:tcMar>
              <w:top w:type="dxa" w:w="80"/>
              <w:left w:type="dxa" w:w="120"/>
              <w:bottom w:type="dxa" w:w="80"/>
              <w:right w:type="dxa" w:w="120"/>
            </w:tcMar>
          </w:tcPr>
          <w:p>
            <w:r>
              <w:rPr>
                <w:color w:val="595959"/>
                <w:sz w:val="20"/>
                <w:szCs w:val="20"/>
              </w:rPr>
              <w:t xml:space="preserve">Marge brute globale</w:t>
            </w:r>
          </w:p>
        </w:tc>
        <w:tc>
          <w:tcPr>
            <w:tcW w:type="dxa" w:w="4500"/>
            <w:tcMar>
              <w:top w:type="dxa" w:w="80"/>
              <w:left w:type="dxa" w:w="120"/>
              <w:bottom w:type="dxa" w:w="80"/>
              <w:right w:type="dxa" w:w="120"/>
            </w:tcMar>
          </w:tcPr>
          <w:p>
            <w:r>
              <w:rPr>
                <w:b/>
                <w:bCs/>
                <w:sz w:val="20"/>
                <w:szCs w:val="20"/>
              </w:rPr>
              <w:t xml:space="preserve">45 M FCFA</w:t>
            </w:r>
          </w:p>
        </w:tc>
      </w:tr>
    </w:tbl>
    <w:p>
      <w:pPr>
        <w:spacing w:after="140"/>
      </w:pPr>
    </w:p>
    <w:p>
      <w:pPr>
        <w:spacing w:after="60" w:before="160"/>
      </w:pPr>
      <w:r>
        <w:rPr>
          <w:b/>
          <w:bCs/>
          <w:i/>
          <w:iCs/>
          <w:color w:val="333333"/>
          <w:sz w:val="22"/>
          <w:szCs w:val="22"/>
        </w:rPr>
        <w:t xml:space="preserve">Synthèse analytique</w:t>
      </w:r>
    </w:p>
    <w:p>
      <w:pPr>
        <w:spacing w:after="140" w:line="300"/>
      </w:pPr>
      <w:r>
        <w:rPr>
          <w:sz w:val="22"/>
          <w:szCs w:val="22"/>
        </w:rPr>
        <w:t xml:space="preserve">Une baisse de production de 35% entre octobre et décembre constitue un signal d'alerte à traiter en priorité, car elle pourrait limiter la capacité à répondre à la demande des segments les plus rentables. Les céréales concentrent 35% des coûts et la plus grosse part de la marge en valeur absolue (35,73%) — mais ceci reflète surtout leur volume dominant (43K unités, la plus grosse catégorie), pas une meilleure rentabilité : leur taux de marge (~46%) est comparable à celui des légumineuses et tubercules (~45%), et inférieur à celui de la catégorie Enrichie (~50%), la plus rentable proportionnellement bien que la plus petite en volume.</w:t>
      </w:r>
    </w:p>
    <w:p>
      <w:pPr>
        <w:spacing w:after="140" w:line="300"/>
      </w:pPr>
      <w:r>
        <w:rPr>
          <w:sz w:val="22"/>
          <w:szCs w:val="22"/>
        </w:rPr>
        <w:t xml:space="preserve">Sur le plan commercial, le canal ONG partenaire génère la plus grosse marge en valeur absolue (22 M FCFA) mais affiche le taux de marge le plus faible de tous les canaux (~42%, contre ~50% pour Supermarché, Pharmacie, Clinique et Marché local, et ~100% pour la Vente directe). L'entreprise est donc doublement exposée : une dépendance de revenu à un canal unique (53% du CA) qui est en plus son canal le moins rentable proportionnellement.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5F3" w:val="clear"/>
            <w:tcMar>
              <w:top w:type="dxa" w:w="140"/>
              <w:left w:type="dxa" w:w="180"/>
              <w:bottom w:type="dxa" w:w="140"/>
              <w:right w:type="dxa" w:w="180"/>
            </w:tcMar>
          </w:tcPr>
          <w:p>
            <w:pPr>
              <w:spacing w:after="60"/>
            </w:pPr>
            <w:r>
              <w:rPr>
                <w:b/>
                <w:bCs/>
                <w:color w:val="1F4D3D"/>
                <w:sz w:val="20"/>
                <w:szCs w:val="20"/>
              </w:rPr>
              <w:t xml:space="preserve">Recommandations</w:t>
            </w:r>
          </w:p>
          <w:p>
            <w:pPr>
              <w:spacing w:after="0" w:line="280"/>
            </w:pPr>
            <w:r>
              <w:rPr>
                <w:sz w:val="21"/>
                <w:szCs w:val="21"/>
              </w:rPr>
              <w:t xml:space="preserve">Maintenir le volume de céréales pour préserver le chiffre d'affaires, tout en testant une montée en volume de la gamme Enrichie, dont le potentiel de marge est sous-exploité. Diversifier activement vers Supermarché et Pharmacie — déjà performants en taux de marge — et étudier les conditions de mise à l'échelle de la Vente directe, aujourd'hui marginale en volume mais la plus rentable par FCFA vendu. Mettre en place un programme de fidélité ciblé sur les segments à fort taux de marge pour sécuriser ces relations avant toute réduction de la dépendance aux ONG partenaires.</w:t>
            </w:r>
          </w:p>
        </w:tc>
      </w:tr>
    </w:tbl>
    <w:p>
      <w:pPr>
        <w:spacing w:after="100"/>
      </w:pPr>
    </w:p>
    <w:p>
      <w:pPr>
        <w:spacing w:after="60" w:before="160"/>
      </w:pPr>
      <w:r>
        <w:rPr>
          <w:b/>
          <w:bCs/>
          <w:i/>
          <w:iCs/>
          <w:color w:val="333333"/>
          <w:sz w:val="22"/>
          <w:szCs w:val="22"/>
        </w:rPr>
        <w:t xml:space="preserve">Compétences mobilisées</w:t>
      </w:r>
    </w:p>
    <w:p>
      <w:pPr>
        <w:pStyle w:val="ListParagraph"/>
        <w:numPr>
          <w:ilvl w:val="0"/>
          <w:numId w:val="2"/>
        </w:numPr>
        <w:spacing w:after="60" w:line="280"/>
      </w:pPr>
      <w:r>
        <w:rPr>
          <w:sz w:val="22"/>
          <w:szCs w:val="22"/>
        </w:rPr>
        <w:t xml:space="preserve">Modélisation et analyse de données multivariées (Power BI, DAX)</w:t>
      </w:r>
    </w:p>
    <w:p>
      <w:pPr>
        <w:pStyle w:val="ListParagraph"/>
        <w:numPr>
          <w:ilvl w:val="0"/>
          <w:numId w:val="2"/>
        </w:numPr>
        <w:spacing w:after="60" w:line="280"/>
      </w:pPr>
      <w:r>
        <w:rPr>
          <w:sz w:val="22"/>
          <w:szCs w:val="22"/>
        </w:rPr>
        <w:t xml:space="preserve">Distinction entre contribution absolue et taux de rentabilité dans l'interprétation de données business</w:t>
      </w:r>
    </w:p>
    <w:p>
      <w:pPr>
        <w:pStyle w:val="ListParagraph"/>
        <w:numPr>
          <w:ilvl w:val="0"/>
          <w:numId w:val="2"/>
        </w:numPr>
        <w:spacing w:after="60" w:line="280"/>
      </w:pPr>
      <w:r>
        <w:rPr>
          <w:sz w:val="22"/>
          <w:szCs w:val="22"/>
        </w:rPr>
        <w:t xml:space="preserve">Synthèse orientée recommandation, fondée sur des indicateurs vérifiés et recoupés</w:t>
      </w:r>
    </w:p>
    <w:p>
      <w:pPr>
        <w:spacing w:after="100"/>
      </w:pPr>
    </w:p>
    <w:p>
      <w:pPr>
        <w:pStyle w:val="Heading1"/>
        <w:pBdr>
          <w:bottom w:val="single" w:color="1F4D3D" w:sz="6" w:space="4"/>
        </w:pBdr>
        <w:spacing w:after="160" w:before="360"/>
      </w:pPr>
      <w:r>
        <w:rPr>
          <w:b/>
          <w:bCs/>
          <w:color w:val="1F4D3D"/>
          <w:sz w:val="30"/>
          <w:szCs w:val="30"/>
        </w:rPr>
        <w:t xml:space="preserve">Cas 4 — Remise en question d'hypothèses : redéfinir un problème avant de le résoudre</w:t>
      </w:r>
    </w:p>
    <w:p>
      <w:pPr>
        <w:spacing w:after="60" w:before="160"/>
      </w:pPr>
      <w:r>
        <w:rPr>
          <w:b/>
          <w:bCs/>
          <w:i/>
          <w:iCs/>
          <w:color w:val="333333"/>
          <w:sz w:val="22"/>
          <w:szCs w:val="22"/>
        </w:rPr>
        <w:t xml:space="preserve">Contexte</w:t>
      </w:r>
    </w:p>
    <w:p>
      <w:pPr>
        <w:spacing w:after="140" w:line="300"/>
      </w:pPr>
      <w:r>
        <w:rPr>
          <w:sz w:val="22"/>
          <w:szCs w:val="22"/>
        </w:rPr>
        <w:t xml:space="preserve">Un client, une chaîne de supermarchés à Douala, signale : « Depuis 6 mois, nos clients passent moins de temps dans nos magasins qu'avant. Nous pensons qu'ils sont pressés — il faut accélérer le passage en caisse. Aidez-nous à déterminer combien de caisses supplémentaires ouvrir. » La demande contient une hypothèse non démontrée qu'il faut examiner avant de chiffrer quoi que ce soit.</w:t>
      </w:r>
    </w:p>
    <w:p>
      <w:pPr>
        <w:spacing w:after="60" w:before="160"/>
      </w:pPr>
      <w:r>
        <w:rPr>
          <w:b/>
          <w:bCs/>
          <w:i/>
          <w:iCs/>
          <w:color w:val="333333"/>
          <w:sz w:val="22"/>
          <w:szCs w:val="22"/>
        </w:rPr>
        <w:t xml:space="preserve">Approche</w:t>
      </w:r>
    </w:p>
    <w:p>
      <w:pPr>
        <w:spacing w:after="140" w:line="300"/>
      </w:pPr>
      <w:r>
        <w:rPr>
          <w:sz w:val="22"/>
          <w:szCs w:val="22"/>
        </w:rPr>
        <w:t xml:space="preserve">Le client empile deux hypothèses non prouvées : (1) moins de temps en magasin signifie que les clients sont pressés, et (2) la solution est nécessairement d'accélérer la caisse. Avant de chiffrer un nombre de caisses, il faut tester ces hypothèses et envisager des causes alternatives : un produit non trouvé en rayon, une file d'attente déjà si longue qu'elle pousse certains clients à repartir sans acheter (donc moins de temps en magasin pour une raison négative, pas neutre), ou encore — l'hypothèse la plus souvent oubliée — un temps réduit qui refléterait un parcours d'achat plus fluide et plus efficace, donc un signal positif plutôt qu'un problème.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5F3" w:val="clear"/>
            <w:tcMar>
              <w:top w:type="dxa" w:w="140"/>
              <w:left w:type="dxa" w:w="180"/>
              <w:bottom w:type="dxa" w:w="140"/>
              <w:right w:type="dxa" w:w="180"/>
            </w:tcMar>
          </w:tcPr>
          <w:p>
            <w:pPr>
              <w:spacing w:after="60"/>
            </w:pPr>
            <w:r>
              <w:rPr>
                <w:b/>
                <w:bCs/>
                <w:color w:val="1F4D3D"/>
                <w:sz w:val="20"/>
                <w:szCs w:val="20"/>
              </w:rPr>
              <w:t xml:space="preserve">Reformulation</w:t>
            </w:r>
          </w:p>
          <w:p>
            <w:pPr>
              <w:spacing w:after="0" w:line="280"/>
            </w:pPr>
            <w:r>
              <w:rPr>
                <w:sz w:val="21"/>
                <w:szCs w:val="21"/>
              </w:rPr>
              <w:t xml:space="preserve">Plutôt que « combien de caisses ouvrir ? », la vraie question à traiter est : « Le temps réduit passé en magasin est-il réellement corrélé à une baisse des ventes ou de la satisfaction client, et si oui, quels facteurs l'expliquent (produit non trouvé, attente, panier plus petit, montée de l'achat en ligne) ? » Tant que cette corrélation n'est pas établie, investir dans des caisses supplémentaires n'est pas justifié.</w:t>
            </w:r>
          </w:p>
        </w:tc>
      </w:tr>
    </w:tbl>
    <w:p>
      <w:pPr>
        <w:spacing w:after="100"/>
      </w:pPr>
    </w:p>
    <w:p>
      <w:pPr>
        <w:spacing w:after="60" w:before="160"/>
      </w:pPr>
      <w:r>
        <w:rPr>
          <w:b/>
          <w:bCs/>
          <w:i/>
          <w:iCs/>
          <w:color w:val="333333"/>
          <w:sz w:val="22"/>
          <w:szCs w:val="22"/>
        </w:rPr>
        <w:t xml:space="preserve">Compétences mobilisées</w:t>
      </w:r>
    </w:p>
    <w:p>
      <w:pPr>
        <w:pStyle w:val="ListParagraph"/>
        <w:numPr>
          <w:ilvl w:val="0"/>
          <w:numId w:val="2"/>
        </w:numPr>
        <w:spacing w:after="60" w:line="280"/>
      </w:pPr>
      <w:r>
        <w:rPr>
          <w:sz w:val="22"/>
          <w:szCs w:val="22"/>
        </w:rPr>
        <w:t xml:space="preserve">Identification d'hypothèses implicites non démontrées dans une demande client</w:t>
      </w:r>
    </w:p>
    <w:p>
      <w:pPr>
        <w:pStyle w:val="ListParagraph"/>
        <w:numPr>
          <w:ilvl w:val="0"/>
          <w:numId w:val="2"/>
        </w:numPr>
        <w:spacing w:after="60" w:line="280"/>
      </w:pPr>
      <w:r>
        <w:rPr>
          <w:sz w:val="22"/>
          <w:szCs w:val="22"/>
        </w:rPr>
        <w:t xml:space="preserve">Génération de causes alternatives, y compris la remise en cause du postulat qu'il y a un problème</w:t>
      </w:r>
    </w:p>
    <w:p>
      <w:pPr>
        <w:pStyle w:val="ListParagraph"/>
        <w:numPr>
          <w:ilvl w:val="0"/>
          <w:numId w:val="2"/>
        </w:numPr>
        <w:spacing w:after="60" w:line="280"/>
      </w:pPr>
      <w:r>
        <w:rPr>
          <w:sz w:val="22"/>
          <w:szCs w:val="22"/>
        </w:rPr>
        <w:t xml:space="preserve">Reformulation d'un problème en question ouverte plutôt qu'en solution prédéfinie</w:t>
      </w:r>
    </w:p>
    <w:p>
      <w:pPr>
        <w:spacing w:after="100"/>
      </w:pPr>
    </w:p>
    <w:p>
      <w:pPr>
        <w:pStyle w:val="Heading1"/>
        <w:pBdr>
          <w:bottom w:val="single" w:color="1F4D3D" w:sz="6" w:space="4"/>
        </w:pBdr>
        <w:spacing w:after="160" w:before="360"/>
      </w:pPr>
      <w:r>
        <w:rPr>
          <w:b/>
          <w:bCs/>
          <w:color w:val="1F4D3D"/>
          <w:sz w:val="30"/>
          <w:szCs w:val="30"/>
        </w:rPr>
        <w:t xml:space="preserve">Cas 5 — Business Case M&amp;A : entrée sur le marché camerounais des jus de fruits (build vs. buy)</w:t>
      </w:r>
    </w:p>
    <w:p>
      <w:pPr>
        <w:spacing w:after="60" w:before="160"/>
      </w:pPr>
      <w:r>
        <w:rPr>
          <w:b/>
          <w:bCs/>
          <w:i/>
          <w:iCs/>
          <w:color w:val="333333"/>
          <w:sz w:val="22"/>
          <w:szCs w:val="22"/>
        </w:rPr>
        <w:t xml:space="preserve">Contexte</w:t>
      </w:r>
    </w:p>
    <w:p>
      <w:pPr>
        <w:spacing w:after="140" w:line="300"/>
      </w:pPr>
      <w:r>
        <w:rPr>
          <w:sz w:val="22"/>
          <w:szCs w:val="22"/>
        </w:rPr>
        <w:t xml:space="preserve">Un client sans aucun actif au Cameroun souhaite entrer sur le marché des jus de fruits conditionnés. Objectif annoncé : 15 Md FCFA de chiffre d'affaires cumulés sur les deux premières années (2027-2028), avec un budget d'investissement de 499 M FCFA. Mission : structurer le marché, évaluer la stratégie d'entrée et tester la faisabilité de l'objectif avant de recommander une décision.</w:t>
      </w:r>
    </w:p>
    <w:p>
      <w:pPr>
        <w:spacing w:after="60" w:before="160"/>
      </w:pPr>
      <w:r>
        <w:rPr>
          <w:b/>
          <w:bCs/>
          <w:i/>
          <w:iCs/>
          <w:color w:val="333333"/>
          <w:sz w:val="22"/>
          <w:szCs w:val="22"/>
        </w:rPr>
        <w:t xml:space="preserve">Approche</w:t>
      </w:r>
    </w:p>
    <w:p>
      <w:pPr>
        <w:spacing w:after="140" w:line="300"/>
      </w:pPr>
      <w:r>
        <w:rPr>
          <w:sz w:val="22"/>
          <w:szCs w:val="22"/>
        </w:rPr>
        <w:t xml:space="preserve">Cadrage du marché en cascade plutôt qu'un chiffrage global non ventilé : taille totale, puis segmentation par type de produit, puis par canal de distribution, avant de confronter l'objectif du client à cette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5F3" w:val="clear"/>
            <w:tcMar>
              <w:top w:type="dxa" w:w="80"/>
              <w:left w:type="dxa" w:w="120"/>
              <w:bottom w:type="dxa" w:w="80"/>
              <w:right w:type="dxa" w:w="120"/>
            </w:tcMar>
          </w:tcPr>
          <w:p>
            <w:r>
              <w:rPr>
                <w:color w:val="595959"/>
                <w:sz w:val="20"/>
                <w:szCs w:val="20"/>
              </w:rPr>
              <w:t xml:space="preserve">Marché total jus conditionnés (Cameroun)</w:t>
            </w:r>
          </w:p>
        </w:tc>
        <w:tc>
          <w:tcPr>
            <w:tcW w:type="dxa" w:w="4500"/>
            <w:tcMar>
              <w:top w:type="dxa" w:w="80"/>
              <w:left w:type="dxa" w:w="120"/>
              <w:bottom w:type="dxa" w:w="80"/>
              <w:right w:type="dxa" w:w="120"/>
            </w:tcMar>
          </w:tcPr>
          <w:p>
            <w:r>
              <w:rPr>
                <w:b/>
                <w:bCs/>
                <w:sz w:val="20"/>
                <w:szCs w:val="20"/>
              </w:rPr>
              <w:t xml:space="preserve">35 Md FCFA (+8%/an)</w:t>
            </w:r>
          </w:p>
        </w:tc>
      </w:tr>
      <w:tr>
        <w:tc>
          <w:tcPr>
            <w:tcW w:type="dxa" w:w="4500"/>
            <w:shd w:fill="F2F5F3" w:val="clear"/>
            <w:tcMar>
              <w:top w:type="dxa" w:w="80"/>
              <w:left w:type="dxa" w:w="120"/>
              <w:bottom w:type="dxa" w:w="80"/>
              <w:right w:type="dxa" w:w="120"/>
            </w:tcMar>
          </w:tcPr>
          <w:p>
            <w:r>
              <w:rPr>
                <w:color w:val="595959"/>
                <w:sz w:val="20"/>
                <w:szCs w:val="20"/>
              </w:rPr>
              <w:t xml:space="preserve">Segment jus 100% fruit (40%)</w:t>
            </w:r>
          </w:p>
        </w:tc>
        <w:tc>
          <w:tcPr>
            <w:tcW w:type="dxa" w:w="4500"/>
            <w:tcMar>
              <w:top w:type="dxa" w:w="80"/>
              <w:left w:type="dxa" w:w="120"/>
              <w:bottom w:type="dxa" w:w="80"/>
              <w:right w:type="dxa" w:w="120"/>
            </w:tcMar>
          </w:tcPr>
          <w:p>
            <w:r>
              <w:rPr>
                <w:b/>
                <w:bCs/>
                <w:sz w:val="20"/>
                <w:szCs w:val="20"/>
              </w:rPr>
              <w:t xml:space="preserve">14 Md FCFA</w:t>
            </w:r>
          </w:p>
        </w:tc>
      </w:tr>
      <w:tr>
        <w:tc>
          <w:tcPr>
            <w:tcW w:type="dxa" w:w="4500"/>
            <w:shd w:fill="F2F5F3" w:val="clear"/>
            <w:tcMar>
              <w:top w:type="dxa" w:w="80"/>
              <w:left w:type="dxa" w:w="120"/>
              <w:bottom w:type="dxa" w:w="80"/>
              <w:right w:type="dxa" w:w="120"/>
            </w:tcMar>
          </w:tcPr>
          <w:p>
            <w:r>
              <w:rPr>
                <w:color w:val="595959"/>
                <w:sz w:val="20"/>
                <w:szCs w:val="20"/>
              </w:rPr>
              <w:t xml:space="preserve">dont canal traditionnel (boutiques + ambulants)</w:t>
            </w:r>
          </w:p>
        </w:tc>
        <w:tc>
          <w:tcPr>
            <w:tcW w:type="dxa" w:w="4500"/>
            <w:tcMar>
              <w:top w:type="dxa" w:w="80"/>
              <w:left w:type="dxa" w:w="120"/>
              <w:bottom w:type="dxa" w:w="80"/>
              <w:right w:type="dxa" w:w="120"/>
            </w:tcMar>
          </w:tcPr>
          <w:p>
            <w:r>
              <w:rPr>
                <w:b/>
                <w:bCs/>
                <w:sz w:val="20"/>
                <w:szCs w:val="20"/>
              </w:rPr>
              <w:t xml:space="preserve">9,1 Md FCFA (65%)</w:t>
            </w:r>
          </w:p>
        </w:tc>
      </w:tr>
      <w:tr>
        <w:tc>
          <w:tcPr>
            <w:tcW w:type="dxa" w:w="4500"/>
            <w:shd w:fill="F2F5F3" w:val="clear"/>
            <w:tcMar>
              <w:top w:type="dxa" w:w="80"/>
              <w:left w:type="dxa" w:w="120"/>
              <w:bottom w:type="dxa" w:w="80"/>
              <w:right w:type="dxa" w:w="120"/>
            </w:tcMar>
          </w:tcPr>
          <w:p>
            <w:r>
              <w:rPr>
                <w:color w:val="595959"/>
                <w:sz w:val="20"/>
                <w:szCs w:val="20"/>
              </w:rPr>
              <w:t xml:space="preserve">dont canal moderne (supermarchés)</w:t>
            </w:r>
          </w:p>
        </w:tc>
        <w:tc>
          <w:tcPr>
            <w:tcW w:type="dxa" w:w="4500"/>
            <w:tcMar>
              <w:top w:type="dxa" w:w="80"/>
              <w:left w:type="dxa" w:w="120"/>
              <w:bottom w:type="dxa" w:w="80"/>
              <w:right w:type="dxa" w:w="120"/>
            </w:tcMar>
          </w:tcPr>
          <w:p>
            <w:r>
              <w:rPr>
                <w:b/>
                <w:bCs/>
                <w:sz w:val="20"/>
                <w:szCs w:val="20"/>
              </w:rPr>
              <w:t xml:space="preserve">4,9 Md FCFA (35%)</w:t>
            </w:r>
          </w:p>
        </w:tc>
      </w:tr>
      <w:tr>
        <w:tc>
          <w:tcPr>
            <w:tcW w:type="dxa" w:w="4500"/>
            <w:shd w:fill="F2F5F3" w:val="clear"/>
            <w:tcMar>
              <w:top w:type="dxa" w:w="80"/>
              <w:left w:type="dxa" w:w="120"/>
              <w:bottom w:type="dxa" w:w="80"/>
              <w:right w:type="dxa" w:w="120"/>
            </w:tcMar>
          </w:tcPr>
          <w:p>
            <w:r>
              <w:rPr>
                <w:color w:val="595959"/>
                <w:sz w:val="20"/>
                <w:szCs w:val="20"/>
              </w:rPr>
              <w:t xml:space="preserve">CA actuel de la cible de rachat (Lunifoods)</w:t>
            </w:r>
          </w:p>
        </w:tc>
        <w:tc>
          <w:tcPr>
            <w:tcW w:type="dxa" w:w="4500"/>
            <w:tcMar>
              <w:top w:type="dxa" w:w="80"/>
              <w:left w:type="dxa" w:w="120"/>
              <w:bottom w:type="dxa" w:w="80"/>
              <w:right w:type="dxa" w:w="120"/>
            </w:tcMar>
          </w:tcPr>
          <w:p>
            <w:r>
              <w:rPr>
                <w:b/>
                <w:bCs/>
                <w:sz w:val="20"/>
                <w:szCs w:val="20"/>
              </w:rPr>
              <w:t xml:space="preserve">98 M FCFA (0,7% du segment)</w:t>
            </w:r>
          </w:p>
        </w:tc>
      </w:tr>
    </w:tbl>
    <w:p>
      <w:pPr>
        <w:spacing w:after="140"/>
      </w:pPr>
    </w:p>
    <w:p>
      <w:pPr>
        <w:spacing w:after="140" w:line="300"/>
      </w:pPr>
      <w:r>
        <w:rPr>
          <w:sz w:val="22"/>
          <w:szCs w:val="22"/>
        </w:rPr>
        <w:t xml:space="preserve">Normalisation des prix concurrents au litre plutôt que par emballage (200 FCFA/200ml, 300 FCFA/200ml, 500 FCFA/300ml, 600 FCFA/1L, 500 FCFA/1L) : les petits formats se vendent 2 à 3 fois plus cher au litre (jusqu'à 1 667 FCFA/L) que les formats 1L (500-600 FCFA/L), révélant deux modèles économiques distincts — achat impulsif en circuit informel contre achat de stock ménage en circuit moderne — plutôt qu'une simple différence de conditionnement.</w:t>
      </w:r>
    </w:p>
    <w:p>
      <w:pPr>
        <w:spacing w:after="60" w:before="160"/>
      </w:pPr>
      <w:r>
        <w:rPr>
          <w:b/>
          <w:bCs/>
          <w:i/>
          <w:iCs/>
          <w:color w:val="333333"/>
          <w:sz w:val="22"/>
          <w:szCs w:val="22"/>
        </w:rPr>
        <w:t xml:space="preserve">Résultat et recommandation</w:t>
      </w:r>
    </w:p>
    <w:p>
      <w:pPr>
        <w:spacing w:after="140" w:line="300"/>
      </w:pPr>
      <w:r>
        <w:rPr>
          <w:sz w:val="22"/>
          <w:szCs w:val="22"/>
        </w:rPr>
        <w:t xml:space="preserve">Test de cohérence de l'objectif client contre la structure du marché : 15 Md FCFA cumulés impliquent une part de marché moyenne de ~48% sur deux ans pour un entrant sans aucun actif, soit un facteur ×76 par rapport au chiffre d'affaires actuel de la cible de rachat identifiée (Lunifoods, 98 M FCFA) — intenable en croissance organique, et hors de portée du budget de 499 M FCFA alloué.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5F3" w:val="clear"/>
            <w:tcMar>
              <w:top w:type="dxa" w:w="140"/>
              <w:left w:type="dxa" w:w="180"/>
              <w:bottom w:type="dxa" w:w="140"/>
              <w:right w:type="dxa" w:w="180"/>
            </w:tcMar>
          </w:tcPr>
          <w:p>
            <w:pPr>
              <w:spacing w:after="60"/>
            </w:pPr>
            <w:r>
              <w:rPr>
                <w:b/>
                <w:bCs/>
                <w:color w:val="1F4D3D"/>
                <w:sz w:val="20"/>
                <w:szCs w:val="20"/>
              </w:rPr>
              <w:t xml:space="preserve">Recommandation</w:t>
            </w:r>
          </w:p>
          <w:p>
            <w:pPr>
              <w:spacing w:after="0" w:line="280"/>
            </w:pPr>
            <w:r>
              <w:rPr>
                <w:sz w:val="21"/>
                <w:szCs w:val="21"/>
              </w:rPr>
              <w:t xml:space="preserve">Procéder au rachat de Lunifoods : la cible est déjà connue sur le marché et souffre de pénuries régulières, signe d'une demande latente non servie par une contrainte de production plutôt que par un déficit de notoriété — un point d'entrée nettement plus rapide qu'une construction de marque et de distribution à partir de zéro face à des concurrents installés. En revanche, ramener l'objectif de CA cumulé de 15 Md à une fourchette réaliste de 600 M à 1 Md FCFA sur 2027-2028, cohérente avec la résolution de la contrainte de production plutôt qu'avec une conquête de part de marché hors d'atteinte. Risque principal à sécuriser en amont : la répartition exacte du budget de 499 M entre prix de rachat et capex de production.</w:t>
            </w:r>
          </w:p>
        </w:tc>
      </w:tr>
    </w:tbl>
    <w:p>
      <w:pPr>
        <w:spacing w:after="100"/>
      </w:pPr>
    </w:p>
    <w:p>
      <w:pPr>
        <w:spacing w:after="60" w:before="160"/>
      </w:pPr>
      <w:r>
        <w:rPr>
          <w:b/>
          <w:bCs/>
          <w:i/>
          <w:iCs/>
          <w:color w:val="333333"/>
          <w:sz w:val="22"/>
          <w:szCs w:val="22"/>
        </w:rPr>
        <w:t xml:space="preserve">Compétences mobilisées</w:t>
      </w:r>
    </w:p>
    <w:p>
      <w:pPr>
        <w:pStyle w:val="ListParagraph"/>
        <w:numPr>
          <w:ilvl w:val="0"/>
          <w:numId w:val="2"/>
        </w:numPr>
        <w:spacing w:after="60" w:line="280"/>
      </w:pPr>
      <w:r>
        <w:rPr>
          <w:sz w:val="22"/>
          <w:szCs w:val="22"/>
        </w:rPr>
        <w:t xml:space="preserve">Market sizing en cascade et segmentation multi-critères (produit, canal de distribution)</w:t>
      </w:r>
    </w:p>
    <w:p>
      <w:pPr>
        <w:pStyle w:val="ListParagraph"/>
        <w:numPr>
          <w:ilvl w:val="0"/>
          <w:numId w:val="2"/>
        </w:numPr>
        <w:spacing w:after="60" w:line="280"/>
      </w:pPr>
      <w:r>
        <w:rPr>
          <w:sz w:val="22"/>
          <w:szCs w:val="22"/>
        </w:rPr>
        <w:t xml:space="preserve">Analyse de structure de prix normalisée (comparaison au litre) pour révéler des modèles économiques distincts sous des chiffres apparemment comparables</w:t>
      </w:r>
    </w:p>
    <w:p>
      <w:pPr>
        <w:pStyle w:val="ListParagraph"/>
        <w:numPr>
          <w:ilvl w:val="0"/>
          <w:numId w:val="2"/>
        </w:numPr>
        <w:spacing w:after="60" w:line="280"/>
      </w:pPr>
      <w:r>
        <w:rPr>
          <w:sz w:val="22"/>
          <w:szCs w:val="22"/>
        </w:rPr>
        <w:t xml:space="preserve">Test de cohérence quantitatif entre objectif, point de départ et budget avant de recommander (build vs. buy)</w:t>
      </w:r>
    </w:p>
    <w:p>
      <w:pPr>
        <w:pStyle w:val="ListParagraph"/>
        <w:numPr>
          <w:ilvl w:val="0"/>
          <w:numId w:val="2"/>
        </w:numPr>
        <w:spacing w:after="60" w:line="280"/>
      </w:pPr>
      <w:r>
        <w:rPr>
          <w:sz w:val="22"/>
          <w:szCs w:val="22"/>
        </w:rPr>
        <w:t xml:space="preserve">Remise en cause argumentée et chiffrée de l'objectif initial du client, plutôt qu'une validation par défaut</w:t>
      </w:r>
    </w:p>
    <w:p>
      <w:pPr>
        <w:spacing w:after="100"/>
      </w:pPr>
    </w:p>
    <w:p>
      <w:pPr>
        <w:pStyle w:val="Heading1"/>
        <w:pBdr>
          <w:bottom w:val="single" w:color="1F4D3D" w:sz="6" w:space="4"/>
        </w:pBdr>
        <w:spacing w:after="160" w:before="360"/>
      </w:pPr>
      <w:r>
        <w:rPr>
          <w:b/>
          <w:bCs/>
          <w:color w:val="1F4D3D"/>
          <w:sz w:val="30"/>
          <w:szCs w:val="30"/>
        </w:rPr>
        <w:t xml:space="preserve">Formations complémentaires</w:t>
      </w:r>
    </w:p>
    <w:p>
      <w:pPr>
        <w:pStyle w:val="ListParagraph"/>
        <w:numPr>
          <w:ilvl w:val="0"/>
          <w:numId w:val="2"/>
        </w:numPr>
        <w:spacing w:after="60" w:line="280"/>
      </w:pPr>
      <w:r>
        <w:rPr>
          <w:sz w:val="22"/>
          <w:szCs w:val="22"/>
        </w:rPr>
        <w:t xml:space="preserve">Forage – Strategy Consulting Job Simulation (BCG), août 2026 : Background Information, Market Research, Financial Modeling, Consumer Survey Design, Data Analysis, Summarizing your Findings</w:t>
      </w:r>
    </w:p>
    <w:p>
      <w:pPr>
        <w:pStyle w:val="ListParagraph"/>
        <w:numPr>
          <w:ilvl w:val="0"/>
          <w:numId w:val="2"/>
        </w:numPr>
        <w:spacing w:after="60" w:line="280"/>
      </w:pPr>
      <w:r>
        <w:rPr>
          <w:sz w:val="22"/>
          <w:szCs w:val="22"/>
        </w:rPr>
        <w:t xml:space="preserve">Forage – Introduction to Strategy Consulting (BCG), novembre 2024 : Challenge your Mental Models, Building New Boxes</w:t>
      </w:r>
    </w:p>
    <w:p>
      <w:pPr>
        <w:spacing w:after="100"/>
      </w:pPr>
    </w:p>
    <w:p>
      <w:pPr>
        <w:pStyle w:val="Heading1"/>
        <w:pBdr>
          <w:bottom w:val="single" w:color="1F4D3D" w:sz="6" w:space="4"/>
        </w:pBdr>
        <w:spacing w:after="160" w:before="360"/>
      </w:pPr>
      <w:r>
        <w:rPr>
          <w:b/>
          <w:bCs/>
          <w:color w:val="1F4D3D"/>
          <w:sz w:val="30"/>
          <w:szCs w:val="30"/>
        </w:rPr>
        <w:t xml:space="preserve">Expériences professionnelles marquantes (format STAR)</w:t>
      </w:r>
    </w:p>
    <w:p>
      <w:pPr>
        <w:spacing w:after="100" w:before="220"/>
      </w:pPr>
      <w:r>
        <w:rPr>
          <w:b/>
          <w:bCs/>
          <w:color w:val="1F4D3D"/>
          <w:sz w:val="24"/>
          <w:szCs w:val="24"/>
        </w:rPr>
        <w:t xml:space="preserve">Personal Impact — Transformer un contrat d'exécution en relation de conseil récurrente</w:t>
      </w:r>
    </w:p>
    <w:p>
      <w:pPr>
        <w:spacing w:after="60" w:before="160"/>
      </w:pPr>
      <w:r>
        <w:rPr>
          <w:b/>
          <w:bCs/>
          <w:i/>
          <w:iCs/>
          <w:color w:val="333333"/>
          <w:sz w:val="22"/>
          <w:szCs w:val="22"/>
        </w:rPr>
        <w:t xml:space="preserve">Situation</w:t>
      </w:r>
    </w:p>
    <w:p>
      <w:pPr>
        <w:spacing w:after="140" w:line="300"/>
      </w:pPr>
      <w:r>
        <w:rPr>
          <w:sz w:val="22"/>
          <w:szCs w:val="22"/>
        </w:rPr>
        <w:t xml:space="preserve">En 2025, l'entreprise (HOODO) traverse des tensions de trésorerie, avec une équipe commerciale réduite à deux personnes. Un client, spécialisé dans la construction et la maintenance de piscines au Cameroun et en Afrique centrale, avait un contrat limité à la conception d'un site web.</w:t>
      </w:r>
    </w:p>
    <w:p>
      <w:pPr>
        <w:spacing w:after="60" w:before="160"/>
      </w:pPr>
      <w:r>
        <w:rPr>
          <w:b/>
          <w:bCs/>
          <w:i/>
          <w:iCs/>
          <w:color w:val="333333"/>
          <w:sz w:val="22"/>
          <w:szCs w:val="22"/>
        </w:rPr>
        <w:t xml:space="preserve">Action</w:t>
      </w:r>
    </w:p>
    <w:p>
      <w:pPr>
        <w:spacing w:after="140" w:line="300"/>
      </w:pPr>
      <w:r>
        <w:rPr>
          <w:sz w:val="22"/>
          <w:szCs w:val="22"/>
        </w:rPr>
        <w:t xml:space="preserve">De sa propre initiative, sans qu'on le lui demande, Luc identifie une opportunité d'accompagnement digital plus large pour ce client (stratégie de communication et marketing digital), chiffre une proposition et la présente lui-même à sa hiérarchie : 1 900 000 FCFA.</w:t>
      </w:r>
    </w:p>
    <w:p>
      <w:pPr>
        <w:spacing w:after="60" w:before="160"/>
      </w:pPr>
      <w:r>
        <w:rPr>
          <w:b/>
          <w:bCs/>
          <w:i/>
          <w:iCs/>
          <w:color w:val="333333"/>
          <w:sz w:val="22"/>
          <w:szCs w:val="22"/>
        </w:rPr>
        <w:t xml:space="preserve">Résultat</w:t>
      </w:r>
    </w:p>
    <w:p>
      <w:pPr>
        <w:spacing w:after="140" w:line="300"/>
      </w:pPr>
      <w:r>
        <w:rPr>
          <w:sz w:val="22"/>
          <w:szCs w:val="22"/>
        </w:rPr>
        <w:t xml:space="preserve">Le client accepte la proposition. L'accompagnement est renouvelé deux fois (480 000 FCFA chacun), pour un total généré à ce jour de 2 860 000 FCFA. Luc pilote personnellement la stratégie de communication digitale du client, produit des rapports réguliers, et est désormais consulté sur toutes les décisions stratégiques marketing du client — une relation toujours active.</w:t>
      </w:r>
    </w:p>
    <w:p>
      <w:pPr>
        <w:spacing w:after="60" w:before="160"/>
      </w:pPr>
      <w:r>
        <w:rPr>
          <w:b/>
          <w:bCs/>
          <w:i/>
          <w:iCs/>
          <w:color w:val="333333"/>
          <w:sz w:val="22"/>
          <w:szCs w:val="22"/>
        </w:rPr>
        <w:t xml:space="preserve">Ce qu'il en retient</w:t>
      </w:r>
    </w:p>
    <w:p>
      <w:pPr>
        <w:spacing w:after="140" w:line="300"/>
      </w:pPr>
      <w:r>
        <w:rPr>
          <w:sz w:val="22"/>
          <w:szCs w:val="22"/>
        </w:rPr>
        <w:t xml:space="preserve">Une opportunité que personne n'avait demandé de chercher peut transformer un contrat d'exécution ponctuel en relation de conseil récurrente et durable.</w:t>
      </w:r>
    </w:p>
    <w:p>
      <w:pPr>
        <w:spacing w:after="120"/>
      </w:pPr>
    </w:p>
    <w:p>
      <w:pPr>
        <w:spacing w:after="100" w:before="220"/>
      </w:pPr>
      <w:r>
        <w:rPr>
          <w:b/>
          <w:bCs/>
          <w:color w:val="1F4D3D"/>
          <w:sz w:val="24"/>
          <w:szCs w:val="24"/>
        </w:rPr>
        <w:t xml:space="preserve">Entrepreneurial Drive — Créer une nouvelle ligne de revenu à partir d'une compétence dormante</w:t>
      </w:r>
    </w:p>
    <w:p>
      <w:pPr>
        <w:spacing w:after="60" w:before="160"/>
      </w:pPr>
      <w:r>
        <w:rPr>
          <w:b/>
          <w:bCs/>
          <w:i/>
          <w:iCs/>
          <w:color w:val="333333"/>
          <w:sz w:val="22"/>
          <w:szCs w:val="22"/>
        </w:rPr>
        <w:t xml:space="preserve">Situation</w:t>
      </w:r>
    </w:p>
    <w:p>
      <w:pPr>
        <w:spacing w:after="140" w:line="300"/>
      </w:pPr>
      <w:r>
        <w:rPr>
          <w:sz w:val="22"/>
          <w:szCs w:val="22"/>
        </w:rPr>
        <w:t xml:space="preserve">En 2025, HOODO traverse des tensions de trésorerie ; l'équipe commerciale ne clôture pas suffisamment de ventes pour les résorber.</w:t>
      </w:r>
    </w:p>
    <w:p>
      <w:pPr>
        <w:spacing w:after="60" w:before="160"/>
      </w:pPr>
      <w:r>
        <w:rPr>
          <w:b/>
          <w:bCs/>
          <w:i/>
          <w:iCs/>
          <w:color w:val="333333"/>
          <w:sz w:val="22"/>
          <w:szCs w:val="22"/>
        </w:rPr>
        <w:t xml:space="preserve">Action</w:t>
      </w:r>
    </w:p>
    <w:p>
      <w:pPr>
        <w:spacing w:after="140" w:line="300"/>
      </w:pPr>
      <w:r>
        <w:rPr>
          <w:sz w:val="22"/>
          <w:szCs w:val="22"/>
        </w:rPr>
        <w:t xml:space="preserve">Luc possède des compétences en Power BI sans lien avec son rôle commercial. De sa propre initiative, il conçoit un programme de formation complet et gère lui-même des campagnes publicitaires Meta pour générer des prospects pour ce programme, qu'il crée seul de A à Z.</w:t>
      </w:r>
    </w:p>
    <w:p>
      <w:pPr>
        <w:spacing w:after="60" w:before="160"/>
      </w:pPr>
      <w:r>
        <w:rPr>
          <w:b/>
          <w:bCs/>
          <w:i/>
          <w:iCs/>
          <w:color w:val="333333"/>
          <w:sz w:val="22"/>
          <w:szCs w:val="22"/>
        </w:rPr>
        <w:t xml:space="preserve">Résultat</w:t>
      </w:r>
    </w:p>
    <w:p>
      <w:pPr>
        <w:spacing w:after="140" w:line="300"/>
      </w:pPr>
      <w:r>
        <w:rPr>
          <w:sz w:val="22"/>
          <w:szCs w:val="22"/>
        </w:rPr>
        <w:t xml:space="preserve">12 professionnels sont formés chez HOODO, chacun payant 60 000 FCFA (50 000 formation + 10 000 abonnement), générant 720 000 FCFA pour l'entreprise et réduisant directement la pression de trésorerie. La réputation de l'initiative dépasse HOODO : en tant que membre de l'IIBA, Luc la mentionne à la chapitre IIBA Cameroun, qui lui confie une session de formation bénévole auprès de 10 professionnels supplémentaires — une validation externe de la même initiative.</w:t>
      </w:r>
    </w:p>
    <w:p>
      <w:pPr>
        <w:spacing w:after="60" w:before="160"/>
      </w:pPr>
      <w:r>
        <w:rPr>
          <w:b/>
          <w:bCs/>
          <w:i/>
          <w:iCs/>
          <w:color w:val="333333"/>
          <w:sz w:val="22"/>
          <w:szCs w:val="22"/>
        </w:rPr>
        <w:t xml:space="preserve">Ce qu'il en retient</w:t>
      </w:r>
    </w:p>
    <w:p>
      <w:pPr>
        <w:spacing w:after="140" w:line="300"/>
      </w:pPr>
      <w:r>
        <w:rPr>
          <w:sz w:val="22"/>
          <w:szCs w:val="22"/>
        </w:rPr>
        <w:t xml:space="preserve">Une compétence dormante peut devenir une nouvelle ligne de revenu, avec suffisamment de crédibilité pour être sollicité par un organisme professionnel externe.</w:t>
      </w:r>
    </w:p>
    <w:p>
      <w:pPr>
        <w:spacing w:after="120"/>
      </w:pPr>
    </w:p>
    <w:p>
      <w:pPr>
        <w:spacing w:after="100" w:before="220"/>
      </w:pPr>
      <w:r>
        <w:rPr>
          <w:b/>
          <w:bCs/>
          <w:color w:val="1F4D3D"/>
          <w:sz w:val="24"/>
          <w:szCs w:val="24"/>
        </w:rPr>
        <w:t xml:space="preserve">Inclusive Leadership — Faire progresser les participants les plus en difficulté sans ralentir le groupe</w:t>
      </w:r>
    </w:p>
    <w:p>
      <w:pPr>
        <w:spacing w:after="60" w:before="160"/>
      </w:pPr>
      <w:r>
        <w:rPr>
          <w:b/>
          <w:bCs/>
          <w:i/>
          <w:iCs/>
          <w:color w:val="333333"/>
          <w:sz w:val="22"/>
          <w:szCs w:val="22"/>
        </w:rPr>
        <w:t xml:space="preserve">Situation</w:t>
      </w:r>
    </w:p>
    <w:p>
      <w:pPr>
        <w:spacing w:after="140" w:line="300"/>
      </w:pPr>
      <w:r>
        <w:rPr>
          <w:sz w:val="22"/>
          <w:szCs w:val="22"/>
        </w:rPr>
        <w:t xml:space="preserve">En mai 2026, Fabrice Yakam, représentant de VESTIGE Cameroun, sollicite Luc pour former 15 personnes (23 à 43 ans) au marketing digital (Facebook, WhatsApp Business, création de contenu par IA), à raison de 3 sessions par semaine sur 8 séances. En cours de formation, Luc identifie que 3 participantes, parmi les plus âgées, prennent du retard — moins familiarisées avec les outils numériques que le reste du groupe — et se sentent mises à l'écart, alors que la majorité du groupe souhaite avancer au rythme normal.</w:t>
      </w:r>
    </w:p>
    <w:p>
      <w:pPr>
        <w:spacing w:after="60" w:before="160"/>
      </w:pPr>
      <w:r>
        <w:rPr>
          <w:b/>
          <w:bCs/>
          <w:i/>
          <w:iCs/>
          <w:color w:val="333333"/>
          <w:sz w:val="22"/>
          <w:szCs w:val="22"/>
        </w:rPr>
        <w:t xml:space="preserve">Action</w:t>
      </w:r>
    </w:p>
    <w:p>
      <w:pPr>
        <w:spacing w:after="140" w:line="300"/>
      </w:pPr>
      <w:r>
        <w:rPr>
          <w:sz w:val="22"/>
          <w:szCs w:val="22"/>
        </w:rPr>
        <w:t xml:space="preserve">Plutôt que de ralentir tout le groupe ou d'organiser une session de rattrapage formelle (sans budget ni temps disponible pour cela), Luc met en place deux mécanismes parallèles à coût nul : il invite les participants qui ont bien compris à expliquer à leur voisine (peer-teaching intégré au rythme normal de la salle), et il ouvre un canal dédié (groupe WhatsApp et messages personnels) où les 3 participantes peuvent poser leurs questions sans exposition devant le groupe, avec une réponse individuelle à chaque sollicitation.</w:t>
      </w:r>
    </w:p>
    <w:p>
      <w:pPr>
        <w:spacing w:after="60" w:before="160"/>
      </w:pPr>
      <w:r>
        <w:rPr>
          <w:b/>
          <w:bCs/>
          <w:i/>
          <w:iCs/>
          <w:color w:val="333333"/>
          <w:sz w:val="22"/>
          <w:szCs w:val="22"/>
        </w:rPr>
        <w:t xml:space="preserve">Résultat</w:t>
      </w:r>
    </w:p>
    <w:p>
      <w:pPr>
        <w:spacing w:after="140" w:line="300"/>
      </w:pPr>
      <w:r>
        <w:rPr>
          <w:sz w:val="22"/>
          <w:szCs w:val="22"/>
        </w:rPr>
        <w:t xml:space="preserve">Les 3 participantes réussissent toutes leur évaluation finale (35/50, 47/50 et 30/50). Deux d'entre elles continuent, depuis, à envoyer à Luc des captures de leurs propres campagnes Facebook pour validation ; une troisième a demandé une session de renforcement supplémentaire malgré sa réussite, signe d'un engagement continu. Fabrice Yakam a donné un retour positif explicite sur la pédagogie de Luc : patience, écoute active, grande réactivité.</w:t>
      </w:r>
    </w:p>
    <w:p>
      <w:pPr>
        <w:spacing w:after="60" w:before="160"/>
      </w:pPr>
      <w:r>
        <w:rPr>
          <w:b/>
          <w:bCs/>
          <w:i/>
          <w:iCs/>
          <w:color w:val="333333"/>
          <w:sz w:val="22"/>
          <w:szCs w:val="22"/>
        </w:rPr>
        <w:t xml:space="preserve">Ce qu'il en retient</w:t>
      </w:r>
    </w:p>
    <w:p>
      <w:pPr>
        <w:spacing w:after="140" w:line="300"/>
      </w:pPr>
      <w:r>
        <w:rPr>
          <w:sz w:val="22"/>
          <w:szCs w:val="22"/>
        </w:rPr>
        <w:t xml:space="preserve">L'inclusion ne consiste pas à ralentir tout le groupe pour attendre les plus en difficulté, mais à construire des mécanismes parallèles à coût nul qui permettent à chacun d'avancer à son rythme sans sacrifier le rythme collectif.</w:t>
      </w:r>
    </w:p>
    <w:p>
      <w:pPr>
        <w:spacing w:after="120"/>
      </w:pPr>
    </w:p>
    <w:p>
      <w:pPr>
        <w:pStyle w:val="Heading1"/>
        <w:pBdr>
          <w:bottom w:val="single" w:color="1F4D3D" w:sz="6" w:space="4"/>
        </w:pBdr>
        <w:spacing w:after="160" w:before="360"/>
      </w:pPr>
      <w:r>
        <w:rPr>
          <w:b/>
          <w:bCs/>
          <w:color w:val="1F4D3D"/>
          <w:sz w:val="30"/>
          <w:szCs w:val="30"/>
        </w:rPr>
        <w:t xml:space="preserve">À propos de moi</w:t>
      </w:r>
    </w:p>
    <w:p>
      <w:pPr>
        <w:spacing w:after="140" w:line="300"/>
      </w:pPr>
      <w:r>
        <w:rPr>
          <w:sz w:val="22"/>
          <w:szCs w:val="22"/>
        </w:rPr>
        <w:t xml:space="preserve">Curieux : j'aime pousser une recherche jusqu'au bout et partager ce que j'en retiens — c'est ce qui m'a conduit à monter moi-même des formations Power BI, à m'investir dans la chapitre IIBA Cameroun, et à écrire mon premier roman. Je suis aussi papa d'une merveilleuse fille.</w:t>
      </w:r>
    </w:p>
    <w:p>
      <w:pPr>
        <w:spacing w:after="60" w:before="160"/>
      </w:pPr>
      <w:r>
        <w:rPr>
          <w:b/>
          <w:bCs/>
          <w:i/>
          <w:iCs/>
          <w:color w:val="333333"/>
          <w:sz w:val="22"/>
          <w:szCs w:val="22"/>
        </w:rPr>
        <w:t xml:space="preserve">Lectures</w:t>
      </w:r>
    </w:p>
    <w:p>
      <w:pPr>
        <w:pStyle w:val="ListParagraph"/>
        <w:numPr>
          <w:ilvl w:val="0"/>
          <w:numId w:val="2"/>
        </w:numPr>
        <w:spacing w:after="60" w:line="280"/>
      </w:pPr>
      <w:r>
        <w:rPr>
          <w:sz w:val="22"/>
          <w:szCs w:val="22"/>
        </w:rPr>
        <w:t xml:space="preserve">Développement personnel : les questionnements du Dr K. Fokam</w:t>
      </w:r>
    </w:p>
    <w:p>
      <w:pPr>
        <w:pStyle w:val="ListParagraph"/>
        <w:numPr>
          <w:ilvl w:val="0"/>
          <w:numId w:val="2"/>
        </w:numPr>
        <w:spacing w:after="60" w:line="280"/>
      </w:pPr>
      <w:r>
        <w:rPr>
          <w:sz w:val="22"/>
          <w:szCs w:val="22"/>
        </w:rPr>
        <w:t xml:space="preserve">Learn or Leave the Market, de Mila Smeskina</w:t>
      </w:r>
    </w:p>
    <w:p>
      <w:pPr>
        <w:pStyle w:val="ListParagraph"/>
        <w:numPr>
          <w:ilvl w:val="0"/>
          <w:numId w:val="2"/>
        </w:numPr>
        <w:spacing w:after="60" w:line="280"/>
      </w:pPr>
      <w:r>
        <w:rPr>
          <w:sz w:val="22"/>
          <w:szCs w:val="22"/>
        </w:rPr>
        <w:t xml:space="preserve">Critical Thinking Mastering, de Tyler Andrew Cole</w:t>
      </w:r>
    </w:p>
    <w:p>
      <w:pPr>
        <w:pStyle w:val="ListParagraph"/>
        <w:numPr>
          <w:ilvl w:val="0"/>
          <w:numId w:val="2"/>
        </w:numPr>
        <w:spacing w:after="60" w:line="280"/>
      </w:pPr>
      <w:r>
        <w:rPr>
          <w:sz w:val="22"/>
          <w:szCs w:val="22"/>
        </w:rPr>
        <w:t xml:space="preserve">Et des romans, régulièrement</w:t>
      </w:r>
    </w:p>
    <w:p>
      <w:pPr>
        <w:spacing w:after="60" w:before="160"/>
      </w:pPr>
      <w:r>
        <w:rPr>
          <w:b/>
          <w:bCs/>
          <w:i/>
          <w:iCs/>
          <w:color w:val="333333"/>
          <w:sz w:val="22"/>
          <w:szCs w:val="22"/>
        </w:rPr>
        <w:t xml:space="preserve">Romans coup de cœur</w:t>
      </w:r>
    </w:p>
    <w:p>
      <w:pPr>
        <w:pStyle w:val="ListParagraph"/>
        <w:numPr>
          <w:ilvl w:val="0"/>
          <w:numId w:val="2"/>
        </w:numPr>
        <w:spacing w:after="60" w:line="280"/>
      </w:pPr>
      <w:r>
        <w:rPr>
          <w:sz w:val="22"/>
          <w:szCs w:val="22"/>
        </w:rPr>
        <w:t xml:space="preserve">Verre Cassé et Mémoires de porc-épic, d'Alain Mabanckou</w:t>
      </w:r>
    </w:p>
    <w:p>
      <w:pPr>
        <w:spacing w:after="60" w:before="160"/>
      </w:pPr>
      <w:r>
        <w:rPr>
          <w:b/>
          <w:bCs/>
          <w:i/>
          <w:iCs/>
          <w:color w:val="333333"/>
          <w:sz w:val="22"/>
          <w:szCs w:val="22"/>
        </w:rPr>
        <w:t xml:space="preserve">Écriture</w:t>
      </w:r>
    </w:p>
    <w:p>
      <w:pPr>
        <w:spacing w:after="140" w:line="300"/>
      </w:pPr>
      <w:r>
        <w:rPr>
          <w:sz w:val="22"/>
          <w:szCs w:val="22"/>
        </w:rPr>
        <w:t xml:space="preserve">J'aime aussi écrire : mon premier roman jeunesse, publié en auto-édition en 2024 — « Mon fils Kamo et l'illusion de l'intelligence artificielle ».</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2026-08-24T10:09:17.327Z</dcterms:created>
  <dcterms:modified xsi:type="dcterms:W3CDTF">2026-08-24T10:09:17.327Z</dcterms:modified>
</cp:coreProperties>
</file>

<file path=docProps/custom.xml><?xml version="1.0" encoding="utf-8"?>
<Properties xmlns="http://schemas.openxmlformats.org/officeDocument/2006/custom-properties" xmlns:vt="http://schemas.openxmlformats.org/officeDocument/2006/docPropsVTypes"/>
</file>