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7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8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9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="00000000">
        <w:fldChar w:fldCharType="begin"/>
      </w:r>
      <w:r w:rsidR="00000000">
        <w:instrText>HYPERLINK "https://github.com/AI4Finance-Foundation/FinGPT/blob/master/fingpt/FinGPT_Sentiment_Analysis_v1/FinGPT_v1.0/inferencing/infer.ipynb"</w:instrText>
      </w:r>
      <w:r w:rsidR="00000000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="00000000"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0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41EDDA9D" w14:textId="2B1DBF1E" w:rsidR="008819D9" w:rsidRDefault="008819D9" w:rsidP="008819D9">
      <w:pPr>
        <w:ind w:firstLine="480"/>
        <w:rPr>
          <w:rFonts w:hint="eastAsia"/>
        </w:rPr>
      </w:pPr>
      <w:r>
        <w:rPr>
          <w:rFonts w:hint="eastAsia"/>
        </w:rPr>
        <w:t>主要问题：</w:t>
      </w:r>
    </w:p>
    <w:p w14:paraId="5085E5A4" w14:textId="66C6C539" w:rsid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目前没找到哪个变量影响</w:t>
      </w:r>
      <w:proofErr w:type="spellStart"/>
      <w:r>
        <w:rPr>
          <w:rFonts w:hint="eastAsia"/>
        </w:rPr>
        <w:t>buffer_count</w:t>
      </w:r>
      <w:proofErr w:type="spellEnd"/>
    </w:p>
    <w:p w14:paraId="74CAD55E" w14:textId="481DBF84" w:rsidR="008819D9" w:rsidRPr="008819D9" w:rsidRDefault="008819D9" w:rsidP="008819D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shuffle过程能否独立出来，并转入内存中，而不是显存。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3827DF5D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=?</w:t>
      </w:r>
      <w:r w:rsidR="00A070C1">
        <w:rPr>
          <w:rFonts w:hint="eastAsia"/>
        </w:rPr>
        <w:t>。</w:t>
      </w:r>
    </w:p>
    <w:p w14:paraId="01EA348D" w14:textId="0716138A" w:rsidR="009F1FAA" w:rsidRDefault="009F1FAA" w:rsidP="009C542E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 w:rsidR="00E53AA9">
        <w:rPr>
          <w:rFonts w:hint="eastAsia"/>
        </w:rPr>
        <w:t>context_size</w:t>
      </w:r>
      <w:proofErr w:type="spellEnd"/>
      <w:r w:rsidR="00E53AA9">
        <w:rPr>
          <w:rFonts w:hint="eastAsia"/>
        </w:rPr>
        <w:t>为512，</w:t>
      </w:r>
      <w:proofErr w:type="spellStart"/>
      <w:r w:rsidR="00E53AA9" w:rsidRPr="009C542E">
        <w:rPr>
          <w:rFonts w:hint="eastAsia"/>
        </w:rPr>
        <w:t>n_batches_in_buffer</w:t>
      </w:r>
      <w:proofErr w:type="spellEnd"/>
      <w:r w:rsidR="00E53AA9">
        <w:rPr>
          <w:rFonts w:hint="eastAsia"/>
        </w:rPr>
        <w:t>为64，</w:t>
      </w:r>
      <w:proofErr w:type="spellStart"/>
      <w:r w:rsidR="00E53AA9" w:rsidRPr="009C542E">
        <w:rPr>
          <w:rFonts w:hint="eastAsia"/>
        </w:rPr>
        <w:t>store_batch_size_prompts</w:t>
      </w:r>
      <w:proofErr w:type="spellEnd"/>
      <w:r w:rsidR="00E53AA9">
        <w:rPr>
          <w:rFonts w:hint="eastAsia"/>
        </w:rPr>
        <w:t>为16，float32精度时，</w:t>
      </w:r>
      <w:proofErr w:type="spellStart"/>
      <w:r w:rsidR="00E53AA9">
        <w:rPr>
          <w:rFonts w:hint="eastAsia"/>
        </w:rPr>
        <w:t>buffer_size</w:t>
      </w:r>
      <w:proofErr w:type="spellEnd"/>
      <w:r w:rsidR="00E53AA9">
        <w:rPr>
          <w:rFonts w:hint="eastAsia"/>
        </w:rPr>
        <w:t>的大小为</w:t>
      </w:r>
      <w:r w:rsidR="00C62665">
        <w:rPr>
          <w:rFonts w:hint="eastAsia"/>
        </w:rPr>
        <w:t>4GB</w:t>
      </w:r>
      <w:r w:rsidR="007E1B25">
        <w:rPr>
          <w:rFonts w:hint="eastAsia"/>
        </w:rPr>
        <w:t>。</w:t>
      </w:r>
    </w:p>
    <w:p w14:paraId="1502D7C1" w14:textId="4D8A544F" w:rsidR="00BA7DA2" w:rsidRDefault="00BA7DA2" w:rsidP="00BA7DA2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>为4096，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为256，</w:t>
      </w:r>
      <w:proofErr w:type="spellStart"/>
      <w:r w:rsidRPr="009C542E">
        <w:rPr>
          <w:rFonts w:hint="eastAsia"/>
        </w:rPr>
        <w:t>n_batches_in_buffer</w:t>
      </w:r>
      <w:proofErr w:type="spellEnd"/>
      <w:r>
        <w:rPr>
          <w:rFonts w:hint="eastAsia"/>
        </w:rPr>
        <w:t>为</w:t>
      </w:r>
      <w:r w:rsidR="005D7844">
        <w:rPr>
          <w:rFonts w:hint="eastAsia"/>
        </w:rPr>
        <w:t>32</w:t>
      </w:r>
      <w:r>
        <w:rPr>
          <w:rFonts w:hint="eastAsia"/>
        </w:rPr>
        <w:t>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为8，float</w:t>
      </w:r>
      <w:r w:rsidR="004F70A7">
        <w:rPr>
          <w:rFonts w:hint="eastAsia"/>
        </w:rPr>
        <w:t>16</w:t>
      </w:r>
      <w:r>
        <w:rPr>
          <w:rFonts w:hint="eastAsia"/>
        </w:rPr>
        <w:t>精度时，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的大小为</w:t>
      </w:r>
      <w:r w:rsidR="000A39F5">
        <w:rPr>
          <w:rFonts w:hint="eastAsia"/>
        </w:rPr>
        <w:t>0.25</w:t>
      </w:r>
      <w:r>
        <w:rPr>
          <w:rFonts w:hint="eastAsia"/>
        </w:rPr>
        <w:t>GB。</w:t>
      </w:r>
    </w:p>
    <w:p w14:paraId="278FE781" w14:textId="6690D572" w:rsidR="00BA7DA2" w:rsidRPr="00BA7DA2" w:rsidRDefault="00FE4C49" w:rsidP="00BA7DA2">
      <w:pPr>
        <w:ind w:firstLine="480"/>
        <w:rPr>
          <w:rFonts w:hint="eastAsia"/>
        </w:rPr>
      </w:pPr>
      <w:proofErr w:type="spellStart"/>
      <w:r w:rsidRPr="009C542E">
        <w:rPr>
          <w:rFonts w:hint="eastAsia"/>
        </w:rPr>
        <w:lastRenderedPageBreak/>
        <w:t>n_batches_in_buffer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8，</w:t>
      </w:r>
      <w:proofErr w:type="spellStart"/>
      <w:r w:rsidRPr="009C542E">
        <w:rPr>
          <w:rFonts w:hint="eastAsia"/>
        </w:rPr>
        <w:t>store_batch_size_prompts</w:t>
      </w:r>
      <w:proofErr w:type="spellEnd"/>
      <w:r>
        <w:rPr>
          <w:rFonts w:hint="eastAsia"/>
        </w:rPr>
        <w:t>为</w:t>
      </w:r>
      <w:r w:rsidR="00BA7DA2" w:rsidRPr="00BA7DA2">
        <w:rPr>
          <w:rFonts w:hint="eastAsia"/>
        </w:rPr>
        <w:t>8</w:t>
      </w:r>
      <w:r w:rsidR="00D217EC">
        <w:rPr>
          <w:rFonts w:hint="eastAsia"/>
        </w:rPr>
        <w:t>，</w:t>
      </w:r>
      <w:proofErr w:type="spellStart"/>
      <w:r w:rsidR="00D217EC">
        <w:rPr>
          <w:rFonts w:hint="eastAsia"/>
        </w:rPr>
        <w:t>d_model</w:t>
      </w:r>
      <w:proofErr w:type="spellEnd"/>
      <w:r w:rsidR="00D217EC">
        <w:rPr>
          <w:rFonts w:hint="eastAsia"/>
        </w:rPr>
        <w:t>为768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context_size</w:t>
      </w:r>
      <w:proofErr w:type="spellEnd"/>
      <w:r>
        <w:rPr>
          <w:rFonts w:hint="eastAsia"/>
        </w:rPr>
        <w:t>为512</w:t>
      </w:r>
      <w:r w:rsidR="000E3685">
        <w:rPr>
          <w:rFonts w:hint="eastAsia"/>
        </w:rPr>
        <w:t>，float32精度时</w:t>
      </w:r>
      <w:r w:rsidR="00BA7DA2">
        <w:rPr>
          <w:rFonts w:hint="eastAsia"/>
        </w:rPr>
        <w:t>：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</w:t>
            </w:r>
            <w:r w:rsidRPr="00C9685A">
              <w:rPr>
                <w:rFonts w:hint="eastAsia"/>
              </w:rPr>
              <w:lastRenderedPageBreak/>
              <w:t>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</w:t>
      </w:r>
      <w:r>
        <w:rPr>
          <w:rFonts w:hint="eastAsia"/>
        </w:rPr>
        <w:lastRenderedPageBreak/>
        <w:t>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</w:t>
      </w:r>
      <w:r>
        <w:rPr>
          <w:rFonts w:hint="eastAsia"/>
        </w:rPr>
        <w:lastRenderedPageBreak/>
        <w:t>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5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290C79B2" w14:textId="6362F36A" w:rsidR="001D0029" w:rsidRDefault="001D0029" w:rsidP="001D0029">
      <w:pPr>
        <w:pStyle w:val="1"/>
        <w:rPr>
          <w:rFonts w:hint="eastAsia"/>
        </w:rPr>
      </w:pPr>
      <w:r>
        <w:rPr>
          <w:rFonts w:hint="eastAsia"/>
        </w:rPr>
        <w:lastRenderedPageBreak/>
        <w:t>SAE的训练过程</w:t>
      </w:r>
    </w:p>
    <w:p w14:paraId="20F3C0AC" w14:textId="7016644B" w:rsidR="001D0029" w:rsidRDefault="001D0029" w:rsidP="001D0029">
      <w:pPr>
        <w:pStyle w:val="2"/>
        <w:rPr>
          <w:rFonts w:hint="eastAsia"/>
        </w:rPr>
      </w:pPr>
      <w:r>
        <w:rPr>
          <w:rFonts w:hint="eastAsia"/>
        </w:rPr>
        <w:t>多GPU分布式的部署</w:t>
      </w:r>
    </w:p>
    <w:p w14:paraId="7DC65C97" w14:textId="5379C939" w:rsidR="001D0029" w:rsidRDefault="001D0029" w:rsidP="001D0029">
      <w:pPr>
        <w:pStyle w:val="3"/>
      </w:pPr>
      <w:r>
        <w:rPr>
          <w:rFonts w:hint="eastAsia"/>
        </w:rPr>
        <w:t>单机多GPU</w:t>
      </w:r>
    </w:p>
    <w:p w14:paraId="08923F3E" w14:textId="49EF1614" w:rsidR="00497423" w:rsidRDefault="00497423" w:rsidP="00497423">
      <w:pPr>
        <w:ind w:firstLine="480"/>
      </w:pPr>
      <w:r>
        <w:rPr>
          <w:noProof/>
        </w:rPr>
        <w:drawing>
          <wp:inline distT="0" distB="0" distL="0" distR="0" wp14:anchorId="742EEC9B" wp14:editId="08B88B31">
            <wp:extent cx="5274310" cy="3753485"/>
            <wp:effectExtent l="0" t="0" r="2540" b="0"/>
            <wp:docPr id="112102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6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82E2D" wp14:editId="33ADA00E">
            <wp:extent cx="5274310" cy="2792095"/>
            <wp:effectExtent l="0" t="0" r="2540" b="8255"/>
            <wp:docPr id="43666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4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5C16" w14:textId="195C3644" w:rsidR="00254C64" w:rsidRDefault="00696B43" w:rsidP="00123087">
      <w:pPr>
        <w:ind w:firstLine="480"/>
        <w:jc w:val="left"/>
      </w:pPr>
      <w:r>
        <w:rPr>
          <w:rFonts w:hint="eastAsia"/>
        </w:rPr>
        <w:lastRenderedPageBreak/>
        <w:t>SAELens的代码中在加载大模型时，通过</w:t>
      </w:r>
      <w:proofErr w:type="spellStart"/>
      <w:r>
        <w:rPr>
          <w:rFonts w:hint="eastAsia"/>
        </w:rPr>
        <w:t>model_from_pretrained_kwargs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n_devcies</w:t>
      </w:r>
      <w:proofErr w:type="spellEnd"/>
      <w:r>
        <w:rPr>
          <w:rFonts w:hint="eastAsia"/>
        </w:rPr>
        <w:t>参数指定并行化GPU的数量</w:t>
      </w:r>
      <w:r w:rsidR="00254C64">
        <w:rPr>
          <w:rFonts w:hint="eastAsia"/>
        </w:rPr>
        <w:t>：</w:t>
      </w:r>
    </w:p>
    <w:p w14:paraId="22B14BA8" w14:textId="4DFA2957" w:rsidR="00254C64" w:rsidRDefault="00254C64" w:rsidP="00123087">
      <w:pPr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110C154" wp14:editId="3C16F4A8">
            <wp:extent cx="5274310" cy="234315"/>
            <wp:effectExtent l="0" t="0" r="2540" b="0"/>
            <wp:docPr id="1551564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97F" w14:textId="568F9DDF" w:rsidR="00696B43" w:rsidRPr="00123087" w:rsidRDefault="00123087" w:rsidP="00123087">
      <w:pPr>
        <w:ind w:firstLine="480"/>
        <w:jc w:val="left"/>
        <w:rPr>
          <w:rFonts w:hint="eastAsia"/>
        </w:rPr>
      </w:pPr>
      <w:r>
        <w:rPr>
          <w:rFonts w:hint="eastAsia"/>
        </w:rPr>
        <w:t>为了指定在4，5，6，7卡上运行，可以通过以下命令指定可运行的GPU序号：</w:t>
      </w:r>
      <w:r>
        <w:rPr>
          <w:noProof/>
        </w:rPr>
        <w:drawing>
          <wp:inline distT="0" distB="0" distL="0" distR="0" wp14:anchorId="62EB0029" wp14:editId="288098F0">
            <wp:extent cx="5266667" cy="847619"/>
            <wp:effectExtent l="0" t="0" r="0" b="0"/>
            <wp:docPr id="165141668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6687" name="图片 1" descr="文本&#10;&#10;低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1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2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3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77777777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4342F" w:rsidRPr="0094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B0A4D"/>
    <w:rsid w:val="000C5F9A"/>
    <w:rsid w:val="000D2972"/>
    <w:rsid w:val="000E3685"/>
    <w:rsid w:val="000E5546"/>
    <w:rsid w:val="000F291F"/>
    <w:rsid w:val="00101185"/>
    <w:rsid w:val="00103AB0"/>
    <w:rsid w:val="001045A9"/>
    <w:rsid w:val="00123087"/>
    <w:rsid w:val="00130103"/>
    <w:rsid w:val="0016484B"/>
    <w:rsid w:val="001808E3"/>
    <w:rsid w:val="00181A07"/>
    <w:rsid w:val="001C5CD5"/>
    <w:rsid w:val="001D0029"/>
    <w:rsid w:val="001D7B64"/>
    <w:rsid w:val="001E2D18"/>
    <w:rsid w:val="002064EE"/>
    <w:rsid w:val="00215FE7"/>
    <w:rsid w:val="00220259"/>
    <w:rsid w:val="00254C64"/>
    <w:rsid w:val="00291CFF"/>
    <w:rsid w:val="00297C51"/>
    <w:rsid w:val="002C2A89"/>
    <w:rsid w:val="002F5E5F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43352"/>
    <w:rsid w:val="004823B3"/>
    <w:rsid w:val="004841A5"/>
    <w:rsid w:val="00492BDB"/>
    <w:rsid w:val="00497423"/>
    <w:rsid w:val="004D6AB3"/>
    <w:rsid w:val="004E54D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84A02"/>
    <w:rsid w:val="00696B43"/>
    <w:rsid w:val="006970D3"/>
    <w:rsid w:val="006A3FB3"/>
    <w:rsid w:val="006B381E"/>
    <w:rsid w:val="006C1798"/>
    <w:rsid w:val="007075A8"/>
    <w:rsid w:val="00716E23"/>
    <w:rsid w:val="00741BD4"/>
    <w:rsid w:val="00760746"/>
    <w:rsid w:val="0078504D"/>
    <w:rsid w:val="007A2E1B"/>
    <w:rsid w:val="007D5070"/>
    <w:rsid w:val="007D726A"/>
    <w:rsid w:val="007E1B25"/>
    <w:rsid w:val="00806206"/>
    <w:rsid w:val="00806ED2"/>
    <w:rsid w:val="00820973"/>
    <w:rsid w:val="00827353"/>
    <w:rsid w:val="0087531B"/>
    <w:rsid w:val="008819D9"/>
    <w:rsid w:val="00890B59"/>
    <w:rsid w:val="00911EF5"/>
    <w:rsid w:val="00921988"/>
    <w:rsid w:val="00932D7B"/>
    <w:rsid w:val="0094342F"/>
    <w:rsid w:val="009505BF"/>
    <w:rsid w:val="00970E32"/>
    <w:rsid w:val="00975732"/>
    <w:rsid w:val="009A2365"/>
    <w:rsid w:val="009C2C47"/>
    <w:rsid w:val="009C542E"/>
    <w:rsid w:val="009D46B3"/>
    <w:rsid w:val="009E5AE7"/>
    <w:rsid w:val="009F1FAA"/>
    <w:rsid w:val="00A070C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77A0"/>
    <w:rsid w:val="00C15710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43297"/>
    <w:rsid w:val="00E53AA9"/>
    <w:rsid w:val="00E57DEC"/>
    <w:rsid w:val="00E717E1"/>
    <w:rsid w:val="00E720BA"/>
    <w:rsid w:val="00EC210C"/>
    <w:rsid w:val="00ED2AE9"/>
    <w:rsid w:val="00ED6C33"/>
    <w:rsid w:val="00F34987"/>
    <w:rsid w:val="00F37B24"/>
    <w:rsid w:val="00F435D9"/>
    <w:rsid w:val="00F51DEF"/>
    <w:rsid w:val="00F546B4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Duxiaoman-DI/FinCorpu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sAF3Yv6NjVSjo4wu2Tmu8kMh8it6vhIb" TargetMode="External"/><Relationship Id="rId7" Type="http://schemas.openxmlformats.org/officeDocument/2006/relationships/hyperlink" Target="https://github.com/open-compass/OpenFinDat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callummcdougall/sae_vi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penai/sparse_autoencoder/blob/main/sparse_autoencoder/explanations.py" TargetMode="External"/><Relationship Id="rId23" Type="http://schemas.openxmlformats.org/officeDocument/2006/relationships/hyperlink" Target="https://github.com/jbloomAus/SAELens/blob/main/tutorials/using_an_sae_as_a_steering_vector.ipynb" TargetMode="External"/><Relationship Id="rId10" Type="http://schemas.openxmlformats.org/officeDocument/2006/relationships/hyperlink" Target="https://colab.research.google.com/github/TransformerLensOrg/TransformerLens/blob/main/demos/LLaMA.ipynb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openai/sparse_autoencoder/tree/main/sae-view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14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杨建琛</cp:lastModifiedBy>
  <cp:revision>16</cp:revision>
  <dcterms:created xsi:type="dcterms:W3CDTF">2024-07-19T09:00:00Z</dcterms:created>
  <dcterms:modified xsi:type="dcterms:W3CDTF">2024-07-26T02:50:00Z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2024-07-25T09:12:49Z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bce0cc20-29a1-4c2a-ba0c-11122f41bca1</vt:lpwstr>
  </property>
  <property fmtid="{D5CDD505-2E9C-101B-9397-08002B2CF9AE}" pid="8" name="MSIP_Label_defa4170-0d19-0005-0004-bc88714345d2_ContentBits">
    <vt:lpwstr>0</vt:lpwstr>
  </property>
</Properties>
</file>