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24CB2" w14:textId="514A2240" w:rsidR="00E2293E" w:rsidRDefault="00153CB7" w:rsidP="00432E7D">
      <w:pPr>
        <w:pStyle w:val="Title"/>
        <w:spacing w:after="0"/>
      </w:pPr>
      <w:r>
        <w:t xml:space="preserve">Tracking tool </w:t>
      </w:r>
    </w:p>
    <w:p w14:paraId="3711D793" w14:textId="44170C8A" w:rsidR="00153CB7" w:rsidRDefault="00153CB7" w:rsidP="00153CB7">
      <w:pPr>
        <w:rPr>
          <w:b/>
          <w:bCs/>
          <w:color w:val="F63440" w:themeColor="accent1"/>
        </w:rPr>
      </w:pPr>
      <w:r w:rsidRPr="00153CB7">
        <w:rPr>
          <w:b/>
          <w:bCs/>
          <w:color w:val="F63440" w:themeColor="accent1"/>
        </w:rPr>
        <w:t xml:space="preserve">Dashboard request </w:t>
      </w:r>
    </w:p>
    <w:p w14:paraId="2DDB992D" w14:textId="2C1DCD42" w:rsidR="00432E7D" w:rsidRPr="00432E7D" w:rsidRDefault="00432E7D" w:rsidP="00432E7D">
      <w:pPr>
        <w:pStyle w:val="Heading2"/>
        <w:spacing w:after="0"/>
        <w:rPr>
          <w:rFonts w:eastAsia="Times New Roman"/>
          <w:lang w:val="en-CH" w:eastAsia="en-CH"/>
        </w:rPr>
      </w:pPr>
      <w:r w:rsidRPr="00432E7D">
        <w:rPr>
          <w:rFonts w:eastAsia="Times New Roman"/>
          <w:lang w:val="en-CH" w:eastAsia="en-CH"/>
        </w:rPr>
        <w:t>Introduction/Background:</w:t>
      </w:r>
    </w:p>
    <w:p w14:paraId="5C9018F4" w14:textId="46172ACD" w:rsidR="00432E7D" w:rsidRPr="00432E7D" w:rsidRDefault="00432E7D" w:rsidP="00432E7D">
      <w:pPr>
        <w:rPr>
          <w:sz w:val="22"/>
          <w:szCs w:val="22"/>
          <w:lang w:val="en-CH" w:eastAsia="en-CH"/>
        </w:rPr>
      </w:pPr>
      <w:r w:rsidRPr="00432E7D">
        <w:rPr>
          <w:sz w:val="22"/>
          <w:szCs w:val="22"/>
          <w:lang w:val="en-CH" w:eastAsia="en-CH"/>
        </w:rPr>
        <w:t xml:space="preserve">The Operations Tracking Tool was developed to provide </w:t>
      </w:r>
      <w:r w:rsidR="008A6407">
        <w:rPr>
          <w:sz w:val="22"/>
          <w:szCs w:val="22"/>
          <w:lang w:val="en-CH" w:eastAsia="en-CH"/>
        </w:rPr>
        <w:t>C</w:t>
      </w:r>
      <w:r w:rsidRPr="00432E7D">
        <w:rPr>
          <w:sz w:val="22"/>
          <w:szCs w:val="22"/>
          <w:lang w:val="en-CH" w:eastAsia="en-CH"/>
        </w:rPr>
        <w:t xml:space="preserve">ountry, </w:t>
      </w:r>
      <w:r w:rsidR="008A6407">
        <w:rPr>
          <w:sz w:val="22"/>
          <w:szCs w:val="22"/>
          <w:lang w:val="en-CH" w:eastAsia="en-CH"/>
        </w:rPr>
        <w:t>R</w:t>
      </w:r>
      <w:r w:rsidRPr="00432E7D">
        <w:rPr>
          <w:sz w:val="22"/>
          <w:szCs w:val="22"/>
          <w:lang w:val="en-CH" w:eastAsia="en-CH"/>
        </w:rPr>
        <w:t xml:space="preserve">egional, and Geneva teams with a centralized platform for monitoring operational progress. It tracks 32 key </w:t>
      </w:r>
      <w:r w:rsidR="008E119A">
        <w:rPr>
          <w:sz w:val="22"/>
          <w:szCs w:val="22"/>
          <w:lang w:val="en-CH" w:eastAsia="en-CH"/>
        </w:rPr>
        <w:t>process</w:t>
      </w:r>
      <w:r w:rsidRPr="00432E7D">
        <w:rPr>
          <w:sz w:val="22"/>
          <w:szCs w:val="22"/>
          <w:lang w:val="en-CH" w:eastAsia="en-CH"/>
        </w:rPr>
        <w:t xml:space="preserve"> indicators across 10 operational areas, offering an overview of overall operational effectiveness. Most </w:t>
      </w:r>
      <w:r w:rsidR="00CF61B4">
        <w:rPr>
          <w:sz w:val="22"/>
          <w:szCs w:val="22"/>
          <w:lang w:val="en-CH" w:eastAsia="en-CH"/>
        </w:rPr>
        <w:t>Indicators</w:t>
      </w:r>
      <w:r w:rsidRPr="00432E7D">
        <w:rPr>
          <w:sz w:val="22"/>
          <w:szCs w:val="22"/>
          <w:lang w:val="en-CH" w:eastAsia="en-CH"/>
        </w:rPr>
        <w:t xml:space="preserve"> are binary (Yes/No with completion date), while some track percentage completion (e.g., % of funding secured).</w:t>
      </w:r>
    </w:p>
    <w:p w14:paraId="1F1A3F08" w14:textId="77777777" w:rsidR="00432E7D" w:rsidRPr="00432E7D" w:rsidRDefault="00432E7D" w:rsidP="00432E7D">
      <w:pPr>
        <w:rPr>
          <w:sz w:val="22"/>
          <w:szCs w:val="22"/>
          <w:lang w:val="en-CH" w:eastAsia="en-CH"/>
        </w:rPr>
      </w:pPr>
      <w:r w:rsidRPr="00432E7D">
        <w:rPr>
          <w:sz w:val="22"/>
          <w:szCs w:val="22"/>
          <w:lang w:val="en-CH" w:eastAsia="en-CH"/>
        </w:rPr>
        <w:t>Data is currently entered into individual trackers by regional and operational teams. This data is then consolidated into a master dataset maintained by the Quality Unit. This master dataset serves as the foundation for further analysis.</w:t>
      </w:r>
    </w:p>
    <w:p w14:paraId="4CF0C915" w14:textId="570CED19" w:rsidR="00432E7D" w:rsidRPr="00432E7D" w:rsidRDefault="00432E7D" w:rsidP="00432E7D">
      <w:pPr>
        <w:pStyle w:val="Heading2"/>
        <w:spacing w:after="0"/>
        <w:rPr>
          <w:rFonts w:eastAsia="Times New Roman"/>
          <w:lang w:val="en-CH" w:eastAsia="en-CH"/>
        </w:rPr>
      </w:pPr>
      <w:r w:rsidRPr="00432E7D">
        <w:rPr>
          <w:rFonts w:eastAsia="Times New Roman"/>
          <w:lang w:val="en-CH" w:eastAsia="en-CH"/>
        </w:rPr>
        <w:t>Request:</w:t>
      </w:r>
    </w:p>
    <w:p w14:paraId="4C5F06CA" w14:textId="199383CA" w:rsidR="00432E7D" w:rsidRPr="00432E7D" w:rsidRDefault="00FD70AD" w:rsidP="00432E7D">
      <w:pPr>
        <w:rPr>
          <w:sz w:val="22"/>
          <w:szCs w:val="22"/>
          <w:lang w:val="en-CH" w:eastAsia="en-CH"/>
        </w:rPr>
      </w:pPr>
      <w:r>
        <w:rPr>
          <w:sz w:val="22"/>
          <w:szCs w:val="22"/>
          <w:lang w:val="en-CH" w:eastAsia="en-CH"/>
        </w:rPr>
        <w:t>Creation of a</w:t>
      </w:r>
      <w:r w:rsidR="0027242E">
        <w:rPr>
          <w:sz w:val="22"/>
          <w:szCs w:val="22"/>
          <w:lang w:val="en-CH" w:eastAsia="en-CH"/>
        </w:rPr>
        <w:t xml:space="preserve"> Dashboard</w:t>
      </w:r>
      <w:r w:rsidR="00432E7D" w:rsidRPr="00432E7D">
        <w:rPr>
          <w:sz w:val="22"/>
          <w:szCs w:val="22"/>
          <w:lang w:val="en-CH" w:eastAsia="en-CH"/>
        </w:rPr>
        <w:t xml:space="preserve"> </w:t>
      </w:r>
      <w:r>
        <w:rPr>
          <w:sz w:val="22"/>
          <w:szCs w:val="22"/>
          <w:lang w:val="en-CH" w:eastAsia="en-CH"/>
        </w:rPr>
        <w:t>that provides</w:t>
      </w:r>
      <w:r w:rsidR="00432E7D" w:rsidRPr="00432E7D">
        <w:rPr>
          <w:sz w:val="22"/>
          <w:szCs w:val="22"/>
          <w:lang w:val="en-CH" w:eastAsia="en-CH"/>
        </w:rPr>
        <w:t xml:space="preserve"> a dynamic, interactive dashboard visualizing the master dataset. While streamlining data flows is a long-term goal, the immediate priority is the dashboard development.</w:t>
      </w:r>
    </w:p>
    <w:p w14:paraId="74945D41" w14:textId="25F0B1A0" w:rsidR="00432E7D" w:rsidRPr="00432E7D" w:rsidRDefault="00432E7D" w:rsidP="00432E7D">
      <w:pPr>
        <w:pStyle w:val="Heading2"/>
        <w:spacing w:after="0"/>
        <w:rPr>
          <w:rFonts w:eastAsia="Times New Roman"/>
          <w:lang w:val="en-CH" w:eastAsia="en-CH"/>
        </w:rPr>
      </w:pPr>
      <w:r w:rsidRPr="00432E7D">
        <w:rPr>
          <w:rFonts w:eastAsia="Times New Roman"/>
          <w:lang w:val="en-CH" w:eastAsia="en-CH"/>
        </w:rPr>
        <w:t>Objectives:</w:t>
      </w:r>
    </w:p>
    <w:p w14:paraId="7ACA79B3" w14:textId="77777777" w:rsidR="00432E7D" w:rsidRPr="00432E7D" w:rsidRDefault="00432E7D" w:rsidP="00432E7D">
      <w:pPr>
        <w:rPr>
          <w:sz w:val="22"/>
          <w:szCs w:val="22"/>
          <w:lang w:val="en-CH" w:eastAsia="en-CH"/>
        </w:rPr>
      </w:pPr>
      <w:r w:rsidRPr="00432E7D">
        <w:rPr>
          <w:sz w:val="22"/>
          <w:szCs w:val="22"/>
          <w:lang w:val="en-CH" w:eastAsia="en-CH"/>
        </w:rPr>
        <w:t>The dashboard should serve two primary purposes:</w:t>
      </w:r>
    </w:p>
    <w:p w14:paraId="44ABC83B" w14:textId="77777777" w:rsidR="00432E7D" w:rsidRPr="00432E7D" w:rsidRDefault="00432E7D" w:rsidP="00432E7D">
      <w:pPr>
        <w:pStyle w:val="ListParagraph"/>
        <w:numPr>
          <w:ilvl w:val="0"/>
          <w:numId w:val="6"/>
        </w:numPr>
        <w:rPr>
          <w:sz w:val="22"/>
          <w:szCs w:val="22"/>
          <w:lang w:val="en-CH" w:eastAsia="en-CH"/>
        </w:rPr>
      </w:pPr>
      <w:r w:rsidRPr="00663605">
        <w:rPr>
          <w:b/>
          <w:bCs/>
          <w:sz w:val="22"/>
          <w:szCs w:val="22"/>
          <w:lang w:val="en-CH" w:eastAsia="en-CH"/>
        </w:rPr>
        <w:t>Executive Oversight</w:t>
      </w:r>
      <w:r w:rsidRPr="00432E7D">
        <w:rPr>
          <w:sz w:val="22"/>
          <w:szCs w:val="22"/>
          <w:lang w:val="en-CH" w:eastAsia="en-CH"/>
        </w:rPr>
        <w:t>: Provide senior leadership at regional and Geneva levels with clear, concise insights into operational progress.</w:t>
      </w:r>
    </w:p>
    <w:p w14:paraId="0D2D512F" w14:textId="77777777" w:rsidR="00432E7D" w:rsidRPr="00432E7D" w:rsidRDefault="00432E7D" w:rsidP="00432E7D">
      <w:pPr>
        <w:pStyle w:val="ListParagraph"/>
        <w:numPr>
          <w:ilvl w:val="0"/>
          <w:numId w:val="6"/>
        </w:numPr>
        <w:rPr>
          <w:sz w:val="22"/>
          <w:szCs w:val="22"/>
          <w:lang w:val="en-CH" w:eastAsia="en-CH"/>
        </w:rPr>
      </w:pPr>
      <w:r w:rsidRPr="00F25675">
        <w:rPr>
          <w:b/>
          <w:bCs/>
          <w:sz w:val="22"/>
          <w:szCs w:val="22"/>
          <w:lang w:val="en-CH" w:eastAsia="en-CH"/>
        </w:rPr>
        <w:t>Operational Learning</w:t>
      </w:r>
      <w:r w:rsidRPr="00432E7D">
        <w:rPr>
          <w:sz w:val="22"/>
          <w:szCs w:val="22"/>
          <w:lang w:val="en-CH" w:eastAsia="en-CH"/>
        </w:rPr>
        <w:t>: Facilitate data-driven decision-making by highlighting areas of strength and weakness in operational performance.</w:t>
      </w:r>
    </w:p>
    <w:p w14:paraId="1E903212" w14:textId="0B4A3F37" w:rsidR="00432E7D" w:rsidRPr="00432E7D" w:rsidRDefault="00432E7D" w:rsidP="00432E7D">
      <w:pPr>
        <w:pStyle w:val="Heading2"/>
        <w:spacing w:after="0"/>
        <w:rPr>
          <w:rFonts w:eastAsia="Times New Roman"/>
          <w:lang w:val="en-CH" w:eastAsia="en-CH"/>
        </w:rPr>
      </w:pPr>
      <w:r w:rsidRPr="00432E7D">
        <w:rPr>
          <w:rFonts w:eastAsia="Times New Roman"/>
          <w:lang w:val="en-CH" w:eastAsia="en-CH"/>
        </w:rPr>
        <w:t>Key Features and Requirements:</w:t>
      </w:r>
    </w:p>
    <w:p w14:paraId="1CDDA6A5" w14:textId="77777777" w:rsidR="00432E7D" w:rsidRPr="00432E7D" w:rsidRDefault="00432E7D" w:rsidP="00432E7D">
      <w:pPr>
        <w:pStyle w:val="ListParagraph"/>
        <w:numPr>
          <w:ilvl w:val="0"/>
          <w:numId w:val="7"/>
        </w:numPr>
        <w:rPr>
          <w:sz w:val="22"/>
          <w:szCs w:val="22"/>
          <w:lang w:val="en-CH" w:eastAsia="en-CH"/>
        </w:rPr>
      </w:pPr>
      <w:r w:rsidRPr="00F25675">
        <w:rPr>
          <w:b/>
          <w:bCs/>
          <w:sz w:val="22"/>
          <w:szCs w:val="22"/>
          <w:lang w:val="en-CH" w:eastAsia="en-CH"/>
        </w:rPr>
        <w:t>Interactive Visualization</w:t>
      </w:r>
      <w:r w:rsidRPr="00432E7D">
        <w:rPr>
          <w:sz w:val="22"/>
          <w:szCs w:val="22"/>
          <w:lang w:val="en-CH" w:eastAsia="en-CH"/>
        </w:rPr>
        <w:t>: The dashboard must offer interactive elements to allow users to explore the data in detail.</w:t>
      </w:r>
    </w:p>
    <w:p w14:paraId="7E4ED411" w14:textId="77777777" w:rsidR="00432E7D" w:rsidRPr="00432E7D" w:rsidRDefault="00432E7D" w:rsidP="00432E7D">
      <w:pPr>
        <w:pStyle w:val="ListParagraph"/>
        <w:numPr>
          <w:ilvl w:val="0"/>
          <w:numId w:val="7"/>
        </w:numPr>
        <w:rPr>
          <w:sz w:val="22"/>
          <w:szCs w:val="22"/>
          <w:lang w:val="en-CH" w:eastAsia="en-CH"/>
        </w:rPr>
      </w:pPr>
      <w:r w:rsidRPr="00F25675">
        <w:rPr>
          <w:b/>
          <w:bCs/>
          <w:sz w:val="22"/>
          <w:szCs w:val="22"/>
          <w:lang w:val="en-CH" w:eastAsia="en-CH"/>
        </w:rPr>
        <w:t>Regular Updates</w:t>
      </w:r>
      <w:r w:rsidRPr="00432E7D">
        <w:rPr>
          <w:sz w:val="22"/>
          <w:szCs w:val="22"/>
          <w:lang w:val="en-CH" w:eastAsia="en-CH"/>
        </w:rPr>
        <w:t>: The dashboard should be updated at regular intervals (specify frequency if known, e.g., daily, weekly, monthly).</w:t>
      </w:r>
    </w:p>
    <w:p w14:paraId="312A7EFF" w14:textId="77777777" w:rsidR="00432E7D" w:rsidRPr="00432E7D" w:rsidRDefault="00432E7D" w:rsidP="00432E7D">
      <w:pPr>
        <w:pStyle w:val="ListParagraph"/>
        <w:numPr>
          <w:ilvl w:val="0"/>
          <w:numId w:val="7"/>
        </w:numPr>
        <w:rPr>
          <w:sz w:val="22"/>
          <w:szCs w:val="22"/>
          <w:lang w:val="en-CH" w:eastAsia="en-CH"/>
        </w:rPr>
      </w:pPr>
      <w:r w:rsidRPr="00F25675">
        <w:rPr>
          <w:b/>
          <w:bCs/>
          <w:sz w:val="22"/>
          <w:szCs w:val="22"/>
          <w:lang w:val="en-CH" w:eastAsia="en-CH"/>
        </w:rPr>
        <w:t>Data Gap Management</w:t>
      </w:r>
      <w:r w:rsidRPr="00432E7D">
        <w:rPr>
          <w:sz w:val="22"/>
          <w:szCs w:val="22"/>
          <w:lang w:val="en-CH" w:eastAsia="en-CH"/>
        </w:rPr>
        <w:t>: The dashboard design must account for potential data gaps. Clear protocols for handling null values (e.g., visual indicators, filtering options) are essential.</w:t>
      </w:r>
    </w:p>
    <w:p w14:paraId="4656C8FD" w14:textId="79EEC1D6" w:rsidR="00432E7D" w:rsidRPr="00432E7D" w:rsidRDefault="00432E7D" w:rsidP="00432E7D">
      <w:pPr>
        <w:pStyle w:val="ListParagraph"/>
        <w:numPr>
          <w:ilvl w:val="0"/>
          <w:numId w:val="7"/>
        </w:numPr>
        <w:rPr>
          <w:sz w:val="22"/>
          <w:szCs w:val="22"/>
          <w:lang w:val="en-CH" w:eastAsia="en-CH"/>
        </w:rPr>
      </w:pPr>
      <w:r w:rsidRPr="00F25675">
        <w:rPr>
          <w:b/>
          <w:bCs/>
          <w:sz w:val="22"/>
          <w:szCs w:val="22"/>
          <w:lang w:val="en-CH" w:eastAsia="en-CH"/>
        </w:rPr>
        <w:t>Technical Requirements</w:t>
      </w:r>
      <w:r w:rsidRPr="00432E7D">
        <w:rPr>
          <w:sz w:val="22"/>
          <w:szCs w:val="22"/>
          <w:lang w:val="en-CH" w:eastAsia="en-CH"/>
        </w:rPr>
        <w:t xml:space="preserve">: DAX (Power Query) analysis </w:t>
      </w:r>
      <w:r w:rsidR="006E5B93">
        <w:rPr>
          <w:sz w:val="22"/>
          <w:szCs w:val="22"/>
          <w:lang w:val="en-CH" w:eastAsia="en-CH"/>
        </w:rPr>
        <w:t xml:space="preserve">or </w:t>
      </w:r>
      <w:r w:rsidR="006E5B93" w:rsidRPr="00432E7D">
        <w:rPr>
          <w:sz w:val="22"/>
          <w:szCs w:val="22"/>
          <w:lang w:val="en-CH" w:eastAsia="en-CH"/>
        </w:rPr>
        <w:t>other</w:t>
      </w:r>
      <w:r w:rsidRPr="00432E7D">
        <w:rPr>
          <w:sz w:val="22"/>
          <w:szCs w:val="22"/>
          <w:lang w:val="en-CH" w:eastAsia="en-CH"/>
        </w:rPr>
        <w:t xml:space="preserve"> </w:t>
      </w:r>
      <w:r w:rsidR="00F25675">
        <w:rPr>
          <w:sz w:val="22"/>
          <w:szCs w:val="22"/>
          <w:lang w:val="en-CH" w:eastAsia="en-CH"/>
        </w:rPr>
        <w:t xml:space="preserve">equivalent </w:t>
      </w:r>
      <w:r w:rsidRPr="00432E7D">
        <w:rPr>
          <w:sz w:val="22"/>
          <w:szCs w:val="22"/>
          <w:lang w:val="en-CH" w:eastAsia="en-CH"/>
        </w:rPr>
        <w:t>coding skills will be required for dashboard development.</w:t>
      </w:r>
    </w:p>
    <w:p w14:paraId="0A696F46" w14:textId="600AC215" w:rsidR="00432E7D" w:rsidRPr="00432E7D" w:rsidRDefault="00432E7D" w:rsidP="00432E7D">
      <w:pPr>
        <w:pStyle w:val="Heading2"/>
        <w:spacing w:after="0"/>
        <w:rPr>
          <w:rFonts w:eastAsia="Times New Roman"/>
          <w:lang w:val="en-CH" w:eastAsia="en-CH"/>
        </w:rPr>
      </w:pPr>
      <w:r w:rsidRPr="00432E7D">
        <w:rPr>
          <w:rFonts w:eastAsia="Times New Roman"/>
          <w:lang w:val="en-CH" w:eastAsia="en-CH"/>
        </w:rPr>
        <w:t>Deliverables:</w:t>
      </w:r>
    </w:p>
    <w:p w14:paraId="09DE9059" w14:textId="0DABE21A" w:rsidR="00432E7D" w:rsidRPr="00432E7D" w:rsidRDefault="00432E7D" w:rsidP="00432E7D">
      <w:pPr>
        <w:pStyle w:val="ListParagraph"/>
        <w:numPr>
          <w:ilvl w:val="0"/>
          <w:numId w:val="8"/>
        </w:numPr>
        <w:rPr>
          <w:sz w:val="22"/>
          <w:szCs w:val="22"/>
          <w:lang w:val="en-CH" w:eastAsia="en-CH"/>
        </w:rPr>
      </w:pPr>
      <w:r w:rsidRPr="00432E7D">
        <w:rPr>
          <w:sz w:val="22"/>
          <w:szCs w:val="22"/>
          <w:lang w:val="en-CH" w:eastAsia="en-CH"/>
        </w:rPr>
        <w:t>A fully functional, interactive dashboard visualizing the master operations tracking dataset</w:t>
      </w:r>
      <w:r w:rsidR="00A538FD">
        <w:rPr>
          <w:sz w:val="22"/>
          <w:szCs w:val="22"/>
          <w:lang w:val="en-CH" w:eastAsia="en-CH"/>
        </w:rPr>
        <w:t xml:space="preserve"> for each tracking tool variant (multiple tabs) </w:t>
      </w:r>
    </w:p>
    <w:p w14:paraId="50AD0FE1" w14:textId="4BB7681A" w:rsidR="00432E7D" w:rsidRPr="00432E7D" w:rsidRDefault="00432E7D" w:rsidP="00432E7D">
      <w:pPr>
        <w:pStyle w:val="Heading2"/>
        <w:spacing w:after="0"/>
        <w:rPr>
          <w:rFonts w:eastAsia="Times New Roman"/>
          <w:lang w:val="en-CH" w:eastAsia="en-CH"/>
        </w:rPr>
      </w:pPr>
      <w:r w:rsidRPr="00432E7D">
        <w:rPr>
          <w:rFonts w:eastAsia="Times New Roman"/>
          <w:lang w:val="en-CH" w:eastAsia="en-CH"/>
        </w:rPr>
        <w:t>Timeline:</w:t>
      </w:r>
    </w:p>
    <w:p w14:paraId="17B9A697" w14:textId="104D8950" w:rsidR="00153CB7" w:rsidRPr="00432E7D" w:rsidRDefault="00432E7D" w:rsidP="00432E7D">
      <w:pPr>
        <w:rPr>
          <w:sz w:val="22"/>
          <w:szCs w:val="22"/>
          <w:lang w:val="en-CH" w:eastAsia="en-CH"/>
        </w:rPr>
      </w:pPr>
      <w:r w:rsidRPr="00432E7D">
        <w:rPr>
          <w:sz w:val="22"/>
          <w:szCs w:val="22"/>
          <w:lang w:val="en-CH" w:eastAsia="en-CH"/>
        </w:rPr>
        <w:t>Completion is targeted for the end of March 2025.</w:t>
      </w:r>
    </w:p>
    <w:sectPr w:rsidR="00153CB7" w:rsidRPr="00432E7D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E3C03" w14:textId="77777777" w:rsidR="00432E7D" w:rsidRDefault="00432E7D" w:rsidP="00432E7D">
      <w:pPr>
        <w:spacing w:after="0" w:line="240" w:lineRule="auto"/>
      </w:pPr>
      <w:r>
        <w:separator/>
      </w:r>
    </w:p>
  </w:endnote>
  <w:endnote w:type="continuationSeparator" w:id="0">
    <w:p w14:paraId="62ACD360" w14:textId="77777777" w:rsidR="00432E7D" w:rsidRDefault="00432E7D" w:rsidP="0043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856E0" w14:textId="09C94259" w:rsidR="00432E7D" w:rsidRDefault="00432E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02FF2A" wp14:editId="28F5C95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61616906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579A12" w14:textId="60BE8AD1" w:rsidR="00432E7D" w:rsidRPr="00432E7D" w:rsidRDefault="00432E7D" w:rsidP="00432E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2E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02FF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textbox style="mso-fit-shape-to-text:t" inset="20pt,0,0,15pt">
                <w:txbxContent>
                  <w:p w14:paraId="69579A12" w14:textId="60BE8AD1" w:rsidR="00432E7D" w:rsidRPr="00432E7D" w:rsidRDefault="00432E7D" w:rsidP="00432E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2E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401A3" w14:textId="7B7019DD" w:rsidR="00432E7D" w:rsidRDefault="00432E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9D3909" wp14:editId="40E8970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930554167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D57DF0" w14:textId="2A4D3442" w:rsidR="00432E7D" w:rsidRPr="00432E7D" w:rsidRDefault="00432E7D" w:rsidP="00432E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2E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9D39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textbox style="mso-fit-shape-to-text:t" inset="20pt,0,0,15pt">
                <w:txbxContent>
                  <w:p w14:paraId="45D57DF0" w14:textId="2A4D3442" w:rsidR="00432E7D" w:rsidRPr="00432E7D" w:rsidRDefault="00432E7D" w:rsidP="00432E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2E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96A8B" w14:textId="6CD840D7" w:rsidR="00432E7D" w:rsidRDefault="00432E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3C6C52" wp14:editId="384EC9A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63769423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0A9698" w14:textId="0D40055D" w:rsidR="00432E7D" w:rsidRPr="00432E7D" w:rsidRDefault="00432E7D" w:rsidP="00432E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2E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3C6C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textbox style="mso-fit-shape-to-text:t" inset="20pt,0,0,15pt">
                <w:txbxContent>
                  <w:p w14:paraId="0C0A9698" w14:textId="0D40055D" w:rsidR="00432E7D" w:rsidRPr="00432E7D" w:rsidRDefault="00432E7D" w:rsidP="00432E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2E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464E8" w14:textId="77777777" w:rsidR="00432E7D" w:rsidRDefault="00432E7D" w:rsidP="00432E7D">
      <w:pPr>
        <w:spacing w:after="0" w:line="240" w:lineRule="auto"/>
      </w:pPr>
      <w:r>
        <w:separator/>
      </w:r>
    </w:p>
  </w:footnote>
  <w:footnote w:type="continuationSeparator" w:id="0">
    <w:p w14:paraId="420D8536" w14:textId="77777777" w:rsidR="00432E7D" w:rsidRDefault="00432E7D" w:rsidP="00432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143D6"/>
    <w:multiLevelType w:val="multilevel"/>
    <w:tmpl w:val="4DB6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E4B77"/>
    <w:multiLevelType w:val="hybridMultilevel"/>
    <w:tmpl w:val="C4B4D0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4474D"/>
    <w:multiLevelType w:val="hybridMultilevel"/>
    <w:tmpl w:val="247AD6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11E69"/>
    <w:multiLevelType w:val="hybridMultilevel"/>
    <w:tmpl w:val="8F22AD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57A5B"/>
    <w:multiLevelType w:val="multilevel"/>
    <w:tmpl w:val="A44A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24A9D"/>
    <w:multiLevelType w:val="hybridMultilevel"/>
    <w:tmpl w:val="767A89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D222E"/>
    <w:multiLevelType w:val="hybridMultilevel"/>
    <w:tmpl w:val="103891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06F31"/>
    <w:multiLevelType w:val="multilevel"/>
    <w:tmpl w:val="FDA0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382596">
    <w:abstractNumId w:val="3"/>
  </w:num>
  <w:num w:numId="2" w16cid:durableId="2019891519">
    <w:abstractNumId w:val="5"/>
  </w:num>
  <w:num w:numId="3" w16cid:durableId="1212423661">
    <w:abstractNumId w:val="0"/>
  </w:num>
  <w:num w:numId="4" w16cid:durableId="1109661999">
    <w:abstractNumId w:val="4"/>
  </w:num>
  <w:num w:numId="5" w16cid:durableId="737434501">
    <w:abstractNumId w:val="7"/>
  </w:num>
  <w:num w:numId="6" w16cid:durableId="1932158327">
    <w:abstractNumId w:val="6"/>
  </w:num>
  <w:num w:numId="7" w16cid:durableId="2137528492">
    <w:abstractNumId w:val="2"/>
  </w:num>
  <w:num w:numId="8" w16cid:durableId="339047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B7"/>
    <w:rsid w:val="00013F9F"/>
    <w:rsid w:val="000E4688"/>
    <w:rsid w:val="00153CB7"/>
    <w:rsid w:val="0027242E"/>
    <w:rsid w:val="003D2924"/>
    <w:rsid w:val="00432E7D"/>
    <w:rsid w:val="00663605"/>
    <w:rsid w:val="006E5B93"/>
    <w:rsid w:val="00857219"/>
    <w:rsid w:val="008A6407"/>
    <w:rsid w:val="008E119A"/>
    <w:rsid w:val="00A538FD"/>
    <w:rsid w:val="00B71E74"/>
    <w:rsid w:val="00CF61B4"/>
    <w:rsid w:val="00D87EAC"/>
    <w:rsid w:val="00DC3BE7"/>
    <w:rsid w:val="00E2293E"/>
    <w:rsid w:val="00F166BD"/>
    <w:rsid w:val="00F25675"/>
    <w:rsid w:val="00FC2224"/>
    <w:rsid w:val="00FD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A49B"/>
  <w15:chartTrackingRefBased/>
  <w15:docId w15:val="{DBAA6352-5690-4ADF-8CC7-2391582E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D5091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D5091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CB7"/>
    <w:pPr>
      <w:keepNext/>
      <w:keepLines/>
      <w:spacing w:before="160" w:after="80"/>
      <w:outlineLvl w:val="2"/>
    </w:pPr>
    <w:rPr>
      <w:rFonts w:eastAsiaTheme="majorEastAsia" w:cstheme="majorBidi"/>
      <w:color w:val="D5091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D5091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CB7"/>
    <w:pPr>
      <w:keepNext/>
      <w:keepLines/>
      <w:spacing w:before="80" w:after="40"/>
      <w:outlineLvl w:val="4"/>
    </w:pPr>
    <w:rPr>
      <w:rFonts w:eastAsiaTheme="majorEastAsia" w:cstheme="majorBidi"/>
      <w:color w:val="D5091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CB7"/>
    <w:rPr>
      <w:rFonts w:asciiTheme="majorHAnsi" w:eastAsiaTheme="majorEastAsia" w:hAnsiTheme="majorHAnsi" w:cstheme="majorBidi"/>
      <w:color w:val="D5091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53CB7"/>
    <w:rPr>
      <w:rFonts w:asciiTheme="majorHAnsi" w:eastAsiaTheme="majorEastAsia" w:hAnsiTheme="majorHAnsi" w:cstheme="majorBidi"/>
      <w:color w:val="D5091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CB7"/>
    <w:rPr>
      <w:rFonts w:eastAsiaTheme="majorEastAsia" w:cstheme="majorBidi"/>
      <w:color w:val="D5091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CB7"/>
    <w:rPr>
      <w:rFonts w:eastAsiaTheme="majorEastAsia" w:cstheme="majorBidi"/>
      <w:i/>
      <w:iCs/>
      <w:color w:val="D5091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CB7"/>
    <w:rPr>
      <w:rFonts w:eastAsiaTheme="majorEastAsia" w:cstheme="majorBidi"/>
      <w:color w:val="D5091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CB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CB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CB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CB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53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CB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CB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5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CB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53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CB7"/>
    <w:rPr>
      <w:i/>
      <w:iCs/>
      <w:color w:val="D5091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CB7"/>
    <w:pPr>
      <w:pBdr>
        <w:top w:val="single" w:sz="4" w:space="10" w:color="D50915" w:themeColor="accent1" w:themeShade="BF"/>
        <w:bottom w:val="single" w:sz="4" w:space="10" w:color="D50915" w:themeColor="accent1" w:themeShade="BF"/>
      </w:pBdr>
      <w:spacing w:before="360" w:after="360"/>
      <w:ind w:left="864" w:right="864"/>
      <w:jc w:val="center"/>
    </w:pPr>
    <w:rPr>
      <w:i/>
      <w:iCs/>
      <w:color w:val="D5091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CB7"/>
    <w:rPr>
      <w:i/>
      <w:iCs/>
      <w:color w:val="D5091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53CB7"/>
    <w:rPr>
      <w:b/>
      <w:bCs/>
      <w:smallCaps/>
      <w:color w:val="D5091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CH" w:eastAsia="en-CH"/>
      <w14:ligatures w14:val="none"/>
    </w:rPr>
  </w:style>
  <w:style w:type="character" w:styleId="Strong">
    <w:name w:val="Strong"/>
    <w:basedOn w:val="DefaultParagraphFont"/>
    <w:uiPriority w:val="22"/>
    <w:qFormat/>
    <w:rsid w:val="00432E7D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32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E7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FRC">
      <a:dk1>
        <a:sysClr val="windowText" lastClr="000000"/>
      </a:dk1>
      <a:lt1>
        <a:sysClr val="window" lastClr="FFFFFF"/>
      </a:lt1>
      <a:dk2>
        <a:srgbClr val="003246"/>
      </a:dk2>
      <a:lt2>
        <a:srgbClr val="E7E6E6"/>
      </a:lt2>
      <a:accent1>
        <a:srgbClr val="F63440"/>
      </a:accent1>
      <a:accent2>
        <a:srgbClr val="FFD200"/>
      </a:accent2>
      <a:accent3>
        <a:srgbClr val="00A0DC"/>
      </a:accent3>
      <a:accent4>
        <a:srgbClr val="D20073"/>
      </a:accent4>
      <a:accent5>
        <a:srgbClr val="8CD200"/>
      </a:accent5>
      <a:accent6>
        <a:srgbClr val="003246"/>
      </a:accent6>
      <a:hlink>
        <a:srgbClr val="00A0DC"/>
      </a:hlink>
      <a:folHlink>
        <a:srgbClr val="5A325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7dd70c-543f-464c-814a-b07805f6c10a" xsi:nil="true"/>
    <lcf76f155ced4ddcb4097134ff3c332f xmlns="6e4201fd-6f06-4ba6-9302-d30e0cc972b2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A13F316E6F7C4D9141E1CACFC56FC4" ma:contentTypeVersion="12" ma:contentTypeDescription="Create a new document." ma:contentTypeScope="" ma:versionID="5da9df4ed8f7232ba850a72ee947b4fb">
  <xsd:schema xmlns:xsd="http://www.w3.org/2001/XMLSchema" xmlns:xs="http://www.w3.org/2001/XMLSchema" xmlns:p="http://schemas.microsoft.com/office/2006/metadata/properties" xmlns:ns2="6e4201fd-6f06-4ba6-9302-d30e0cc972b2" xmlns:ns3="ba7dd70c-543f-464c-814a-b07805f6c10a" targetNamespace="http://schemas.microsoft.com/office/2006/metadata/properties" ma:root="true" ma:fieldsID="d5a797b423f9340a659e0dbde1cfc413" ns2:_="" ns3:_="">
    <xsd:import namespace="6e4201fd-6f06-4ba6-9302-d30e0cc972b2"/>
    <xsd:import namespace="ba7dd70c-543f-464c-814a-b07805f6c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201fd-6f06-4ba6-9302-d30e0cc97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14f832c-f6f1-485d-8901-6765a4832c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dd70c-543f-464c-814a-b07805f6c10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2172562-00b6-4064-b730-7556cb13638c}" ma:internalName="TaxCatchAll" ma:showField="CatchAllData" ma:web="ba7dd70c-543f-464c-814a-b07805f6c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833F82-EED1-4914-96A7-8E8B9D744687}">
  <ds:schemaRefs>
    <ds:schemaRef ds:uri="http://schemas.microsoft.com/office/2006/metadata/properties"/>
    <ds:schemaRef ds:uri="http://schemas.microsoft.com/office/infopath/2007/PartnerControls"/>
    <ds:schemaRef ds:uri="ba7dd70c-543f-464c-814a-b07805f6c10a"/>
    <ds:schemaRef ds:uri="6e4201fd-6f06-4ba6-9302-d30e0cc972b2"/>
  </ds:schemaRefs>
</ds:datastoreItem>
</file>

<file path=customXml/itemProps2.xml><?xml version="1.0" encoding="utf-8"?>
<ds:datastoreItem xmlns:ds="http://schemas.openxmlformats.org/officeDocument/2006/customXml" ds:itemID="{D1B3EBDD-9825-489E-B152-B3BECDEA21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C20E52-2E0B-4B89-8D39-E49F07E5E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4201fd-6f06-4ba6-9302-d30e0cc972b2"/>
    <ds:schemaRef ds:uri="ba7dd70c-543f-464c-814a-b07805f6c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3924A2-BFA3-4BD0-8F3B-0569E910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IFRC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Davill</dc:creator>
  <cp:keywords/>
  <dc:description/>
  <cp:lastModifiedBy>Richard Davill</cp:lastModifiedBy>
  <cp:revision>11</cp:revision>
  <dcterms:created xsi:type="dcterms:W3CDTF">2025-02-04T10:39:00Z</dcterms:created>
  <dcterms:modified xsi:type="dcterms:W3CDTF">2025-02-06T11:51:00Z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619d3b1b,6054c865,37772137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6627b15a-80ec-4ef7-8353-f32e3c89bf3e_Enabled">
    <vt:lpwstr>true</vt:lpwstr>
  </property>
  <property fmtid="{D5CDD505-2E9C-101B-9397-08002B2CF9AE}" pid="6" name="MSIP_Label_6627b15a-80ec-4ef7-8353-f32e3c89bf3e_SetDate">
    <vt:lpwstr>2025-02-04T10:57:40Z</vt:lpwstr>
  </property>
  <property fmtid="{D5CDD505-2E9C-101B-9397-08002B2CF9AE}" pid="7" name="MSIP_Label_6627b15a-80ec-4ef7-8353-f32e3c89bf3e_Method">
    <vt:lpwstr>Privileged</vt:lpwstr>
  </property>
  <property fmtid="{D5CDD505-2E9C-101B-9397-08002B2CF9AE}" pid="8" name="MSIP_Label_6627b15a-80ec-4ef7-8353-f32e3c89bf3e_Name">
    <vt:lpwstr>IFRC Internal</vt:lpwstr>
  </property>
  <property fmtid="{D5CDD505-2E9C-101B-9397-08002B2CF9AE}" pid="9" name="MSIP_Label_6627b15a-80ec-4ef7-8353-f32e3c89bf3e_SiteId">
    <vt:lpwstr>a2b53be5-734e-4e6c-ab0d-d184f60fd917</vt:lpwstr>
  </property>
  <property fmtid="{D5CDD505-2E9C-101B-9397-08002B2CF9AE}" pid="10" name="MSIP_Label_6627b15a-80ec-4ef7-8353-f32e3c89bf3e_ActionId">
    <vt:lpwstr>90eca0d0-42db-4c96-852d-d2ffa83f79e7</vt:lpwstr>
  </property>
  <property fmtid="{D5CDD505-2E9C-101B-9397-08002B2CF9AE}" pid="11" name="MSIP_Label_6627b15a-80ec-4ef7-8353-f32e3c89bf3e_ContentBits">
    <vt:lpwstr>2</vt:lpwstr>
  </property>
  <property fmtid="{D5CDD505-2E9C-101B-9397-08002B2CF9AE}" pid="12" name="ContentTypeId">
    <vt:lpwstr>0x01010004A13F316E6F7C4D9141E1CACFC56FC4</vt:lpwstr>
  </property>
  <property fmtid="{D5CDD505-2E9C-101B-9397-08002B2CF9AE}" pid="13" name="MediaServiceImageTags">
    <vt:lpwstr/>
  </property>
</Properties>
</file>