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80"/>
        <w:jc w:val="center"/>
      </w:pPr>
      <w:r>
        <w:rPr>
          <w:b/>
          <w:bCs/>
          <w:color w:val="0B7A4B"/>
          <w:sz w:val="64"/>
          <w:szCs w:val="64"/>
        </w:rPr>
        <w:t xml:space="preserve">GRIDSENSE AI</w:t>
      </w:r>
    </w:p>
    <w:p>
      <w:pPr>
        <w:spacing w:after="320"/>
        <w:jc w:val="center"/>
      </w:pPr>
      <w:r>
        <w:rPr>
          <w:i/>
          <w:iCs/>
          <w:color w:val="1F2937"/>
          <w:sz w:val="26"/>
          <w:szCs w:val="26"/>
        </w:rPr>
        <w:t xml:space="preserve">X-ray vision into Rwanda’s newly expensive electricity bill</w:t>
      </w:r>
    </w:p>
    <w:p>
      <w:pPr>
        <w:spacing w:after="80"/>
        <w:jc w:val="center"/>
      </w:pPr>
      <w:r>
        <w:rPr>
          <w:b/>
          <w:bCs/>
          <w:sz w:val="24"/>
          <w:szCs w:val="24"/>
        </w:rPr>
        <w:t xml:space="preserve">An AI-Powered Residential Energy Monitoring System for Rwandan Households</w:t>
      </w:r>
    </w:p>
    <w:p>
      <w:pPr>
        <w:spacing w:after="600"/>
        <w:jc w:val="center"/>
      </w:pPr>
      <w:r>
        <w:rPr>
          <w:color w:val="606060"/>
          <w:sz w:val="22"/>
          <w:szCs w:val="22"/>
        </w:rPr>
        <w:t xml:space="preserve">Capstone Submission Report</w:t>
      </w:r>
    </w:p>
    <w:p>
      <w:pPr>
        <w:spacing w:after="40"/>
        <w:jc w:val="center"/>
      </w:pPr>
      <w:r>
        <w:rPr>
          <w:b/>
          <w:bCs/>
          <w:sz w:val="24"/>
          <w:szCs w:val="24"/>
        </w:rPr>
        <w:t xml:space="preserve">Tesi Songa Kelia</w:t>
      </w:r>
    </w:p>
    <w:p>
      <w:pPr>
        <w:spacing w:after="40"/>
        <w:jc w:val="center"/>
      </w:pPr>
      <w:r>
        <w:rPr>
          <w:sz w:val="21"/>
          <w:szCs w:val="21"/>
        </w:rPr>
        <w:t xml:space="preserve">BSc Software Engineering</w:t>
      </w:r>
    </w:p>
    <w:p>
      <w:pPr>
        <w:spacing w:after="40"/>
        <w:jc w:val="center"/>
      </w:pPr>
      <w:r>
        <w:rPr>
          <w:sz w:val="21"/>
          <w:szCs w:val="21"/>
        </w:rPr>
        <w:t xml:space="preserve">African Leadership University (ALU), Kigali, Rwanda</w:t>
      </w:r>
    </w:p>
    <w:p>
      <w:pPr>
        <w:spacing w:after="600"/>
        <w:jc w:val="center"/>
      </w:pPr>
      <w:r>
        <w:rPr>
          <w:color w:val="606060"/>
          <w:sz w:val="21"/>
          <w:szCs w:val="21"/>
        </w:rPr>
        <w:t xml:space="preserve">Submission date: 25 June 2026</w:t>
      </w:r>
    </w:p>
    <w:p>
      <w:pPr>
        <w:spacing w:after="0"/>
        <w:jc w:val="center"/>
      </w:pPr>
      <w:r>
        <w:rPr>
          <w:b/>
          <w:bCs/>
          <w:color w:val="808080"/>
          <w:sz w:val="18"/>
          <w:szCs w:val="18"/>
        </w:rPr>
        <w:t xml:space="preserve">Note on rigor: </w:t>
      </w:r>
      <w:r>
        <w:rPr>
          <w:i/>
          <w:iCs/>
          <w:color w:val="808080"/>
          <w:sz w:val="18"/>
          <w:szCs w:val="18"/>
        </w:rPr>
        <w:t xml:space="preserve">Every quantitative claim in this report is traced to a cited primary or peer-reviewed source. Unverified items are explicitly labelled as assumptions.</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20" w:line="276"/>
      </w:pPr>
      <w:r>
        <w:t xml:space="preserve">GridSense AI is an affordable, AI-powered residential energy-monitoring system designed for Rwandan households and small property owners. It makes electricity consumption visible — in real time, by appliance, and in local currency across Rwanda’s steeply tiered tariff — and uses a tariff-aware intelligence layer to forecast the bill, warn before a costly tier is crossed, and recommend specific savings.</w:t>
      </w:r>
    </w:p>
    <w:p>
      <w:pPr>
        <w:spacing w:after="120" w:line="276"/>
      </w:pPr>
      <w:r>
        <w:t xml:space="preserve">The opportunity is grounded in a concrete, recent change: on 1 October 2025 Rwanda’s residential electricity tariff became sharply tiered — </w:t>
      </w:r>
      <w:r>
        <w:rPr>
          <w:b/>
          <w:bCs/>
        </w:rPr>
        <w:t xml:space="preserve">89 RWF/kWh for the first 20 kWh, then 310, then 369 RWF/kWh above 50 kWh</w:t>
      </w:r>
      <w:r>
        <w:t xml:space="preserve"> — with the average tariff rising about 15%. Households pay through prepaid “cash power” and see only a falling balance, with no insight into which appliance drains it or when they cross into an expensive tier.</w:t>
      </w:r>
    </w:p>
    <w:p>
      <w:pPr>
        <w:spacing w:after="120" w:line="276"/>
      </w:pPr>
      <w:r>
        <w:t xml:space="preserve">A deliberate strategic decision shapes the whole project: because roughly half of connected homes consume at or below the 20 kWh lifeline tier (where absolute savings are tiny), GridSense targets the </w:t>
      </w:r>
      <w:r>
        <w:rPr>
          <w:b/>
          <w:bCs/>
        </w:rPr>
        <w:t xml:space="preserve">tier-crossing segment — middle/upper-income urban homes, landlords, and small businesses</w:t>
      </w:r>
      <w:r>
        <w:t xml:space="preserve"> — where the savings (and willingness to pay) are real. Small businesses on the non-residential tariff pay 355–376 RWF/kWh on every unit, making them an especially strong early market.</w:t>
      </w:r>
    </w:p>
    <w:p>
      <w:pPr>
        <w:spacing w:after="120" w:line="276"/>
      </w:pPr>
      <w:r>
        <w:t xml:space="preserve">The product is feasible and has been partially built. A working, tested, bilingual (English/Kinyarwanda) web dashboard demonstrates the full Phase-1 experience using a verified tariff engine and a Rwanda-specific appliance model. The hardware (an ESP32 micro-controller with a non-invasive CT clamp, plus optional energy-metering smart plugs) is proven, off-the-shelf, and priced from live Kigali retailers: a core monitor costs about </w:t>
      </w:r>
      <w:r>
        <w:rPr>
          <w:b/>
          <w:bCs/>
        </w:rPr>
        <w:t xml:space="preserve">RWF 40,100 (~$27)</w:t>
      </w:r>
      <w:r>
        <w:t xml:space="preserve"> and a full kit about </w:t>
      </w:r>
      <w:r>
        <w:rPr>
          <w:b/>
          <w:bCs/>
        </w:rPr>
        <w:t xml:space="preserve">RWF 69,100 (~$47)</w:t>
      </w:r>
      <w:r>
        <w:t xml:space="preserve">.</w:t>
      </w:r>
    </w:p>
    <w:p>
      <w:pPr>
        <w:spacing w:after="120" w:line="276"/>
      </w:pPr>
      <w:r>
        <w:t xml:space="preserve">The economics are defensible. Anchoring on a conservative 10% behavioural saving — well within the 5–15% range established by the energy-feedback literature, and below the ~14% reduction observed for prepaid-meter salience — the core monitor pays for itself in under a year for a tier-crossing home, and in roughly six months for heavy users. Because Rwanda is ~99.7% prepaid, households already respond to crude feedback; richer real-time feedback is well supported.</w:t>
      </w:r>
    </w:p>
    <w:p>
      <w:pPr>
        <w:spacing w:after="120" w:line="276"/>
      </w:pPr>
      <w:r>
        <w:t xml:space="preserve">This report documents the problem, the evidence base, the market, the solution design, what has been built, the full business case, the regulatory and ethical position, the risks, and the roadmap. It is written to be defended: each section anticipates and answers the hardest questions a panel can ask.</w:t>
      </w:r>
    </w:p>
    <w:p>
      <w:pPr>
        <w:pStyle w:val="Heading1"/>
      </w:pPr>
      <w:r>
        <w:t xml:space="preserve">1. Introduction &amp; Problem Statement</w:t>
      </w:r>
    </w:p>
    <w:p>
      <w:pPr>
        <w:spacing w:after="120" w:line="276"/>
      </w:pPr>
      <w:r>
        <w:t xml:space="preserve">Electricity in Rwanda has become both more widely available and more expensive to use carelessly. Yet the typical household has almost no tools to understand or control its own consumption. GridSense AI addresses that gap.</w:t>
      </w:r>
    </w:p>
    <w:p>
      <w:pPr>
        <w:pStyle w:val="Heading2"/>
      </w:pPr>
      <w:r>
        <w:t xml:space="preserve">1.1 The problem</w:t>
      </w:r>
    </w:p>
    <w:p>
      <w:pPr>
        <w:pStyle w:val="ListParagraph"/>
        <w:numPr>
          <w:ilvl w:val="0"/>
          <w:numId w:val="2"/>
        </w:numPr>
        <w:spacing w:after="80" w:line="276"/>
      </w:pPr>
      <w:r>
        <w:t xml:space="preserve">Tariffs are now steeply tiered and recently increased, so the cost of an extra unit of electricity depends heavily on how much a household already uses that month.</w:t>
      </w:r>
    </w:p>
    <w:p>
      <w:pPr>
        <w:pStyle w:val="ListParagraph"/>
        <w:numPr>
          <w:ilvl w:val="0"/>
          <w:numId w:val="2"/>
        </w:numPr>
        <w:spacing w:after="80" w:line="276"/>
      </w:pPr>
      <w:r>
        <w:t xml:space="preserve">Billing is prepaid: households buy “cash power” and watch a balance fall, with no breakdown by room, appliance, or time — and no warning before they cross into a more expensive tier.</w:t>
      </w:r>
    </w:p>
    <w:p>
      <w:pPr>
        <w:pStyle w:val="ListParagraph"/>
        <w:numPr>
          <w:ilvl w:val="0"/>
          <w:numId w:val="2"/>
        </w:numPr>
        <w:spacing w:after="80" w:line="276"/>
      </w:pPr>
      <w:r>
        <w:t xml:space="preserve">The result is avoidable waste and bill shock. As the guiding principle of this project puts it: you cannot manage what you cannot see.</w:t>
      </w:r>
    </w:p>
    <w:p>
      <w:pPr>
        <w:pStyle w:val="Heading2"/>
      </w:pPr>
      <w:r>
        <w:t xml:space="preserve">1.2 Objective</w:t>
      </w:r>
    </w:p>
    <w:p>
      <w:pPr>
        <w:spacing w:after="120" w:line="276"/>
      </w:pPr>
      <w:r>
        <w:t xml:space="preserve">To design, validate, and partially implement an affordable system that makes household electricity consumption transparent and actionable for the Rwandan market — combining low-cost sensing, a clear localized application, and a tariff-aware intelligence layer that turns raw kilowatt-hours into specific, money-saving guidance.</w:t>
      </w:r>
    </w:p>
    <w:p>
      <w:pPr>
        <w:pStyle w:val="Heading2"/>
      </w:pPr>
      <w:r>
        <w:t xml:space="preserve">1.3 Scope of this submission</w:t>
      </w:r>
    </w:p>
    <w:p>
      <w:pPr>
        <w:spacing w:after="120" w:line="276"/>
      </w:pPr>
      <w:r>
        <w:t xml:space="preserve">This submission covers the validated concept, the evidence base, the solution and system design, a working software demonstration of the Phase-1 experience, the complete feasibility and business case, and the regulatory/ethical analysis. Physical hardware deployment in a live home is positioned as the next step (a funded pilot), not a prerequisite for the validated design presented here.</w:t>
      </w:r>
    </w:p>
    <w:p>
      <w:pPr>
        <w:pStyle w:val="Heading1"/>
      </w:pPr>
      <w:r>
        <w:t xml:space="preserve">2. Background &amp; Context: Electricity in Rwanda</w:t>
      </w:r>
    </w:p>
    <w:p>
      <w:pPr>
        <w:pStyle w:val="Heading2"/>
      </w:pPr>
      <w:r>
        <w:t xml:space="preserve">2.1 The tiered residential tariff (the core of the value proposition)</w:t>
      </w:r>
    </w:p>
    <w:p>
      <w:pPr>
        <w:spacing w:after="120" w:line="276"/>
      </w:pPr>
      <w:r>
        <w:t xml:space="preserve">Confirmed against the primary source — the official Rwanda Energy Group (REG) tariff schedule effective 1 October 2025 (rates are VAT- and regulatory-fee-exclusive):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2937" w:color="auto" w:val="clear"/>
            <w:tcMar>
              <w:top w:type="dxa" w:w="60"/>
              <w:left w:type="dxa" w:w="110"/>
              <w:bottom w:type="dxa" w:w="60"/>
              <w:right w:type="dxa" w:w="110"/>
            </w:tcMar>
          </w:tcPr>
          <w:p>
            <w:pPr>
              <w:spacing w:after="0" w:line="264"/>
            </w:pPr>
            <w:r>
              <w:rPr>
                <w:b/>
                <w:bCs/>
                <w:color w:val="FFFFFF"/>
                <w:sz w:val="20"/>
                <w:szCs w:val="20"/>
              </w:rPr>
              <w:t xml:space="preserve">Monthly consumption</w:t>
            </w:r>
          </w:p>
        </w:tc>
        <w:tc>
          <w:tcPr>
            <w:tcW w:type="dxa" w:w="3120"/>
            <w:tcBorders>
              <w:top w:val="single" w:color="CCCCCC" w:sz="1"/>
              <w:left w:val="single" w:color="CCCCCC" w:sz="1"/>
              <w:bottom w:val="single" w:color="CCCCCC" w:sz="1"/>
              <w:right w:val="single" w:color="CCCCCC" w:sz="1"/>
            </w:tcBorders>
            <w:shd w:fill="1F2937" w:color="auto" w:val="clear"/>
            <w:tcMar>
              <w:top w:type="dxa" w:w="60"/>
              <w:left w:type="dxa" w:w="110"/>
              <w:bottom w:type="dxa" w:w="60"/>
              <w:right w:type="dxa" w:w="110"/>
            </w:tcMar>
          </w:tcPr>
          <w:p>
            <w:pPr>
              <w:spacing w:after="0" w:line="264"/>
            </w:pPr>
            <w:r>
              <w:rPr>
                <w:b/>
                <w:bCs/>
                <w:color w:val="FFFFFF"/>
                <w:sz w:val="20"/>
                <w:szCs w:val="20"/>
              </w:rPr>
              <w:t xml:space="preserve">Rate (RWF/kWh)</w:t>
            </w:r>
          </w:p>
        </w:tc>
        <w:tc>
          <w:tcPr>
            <w:tcW w:type="dxa" w:w="3120"/>
            <w:tcBorders>
              <w:top w:val="single" w:color="CCCCCC" w:sz="1"/>
              <w:left w:val="single" w:color="CCCCCC" w:sz="1"/>
              <w:bottom w:val="single" w:color="CCCCCC" w:sz="1"/>
              <w:right w:val="single" w:color="CCCCCC" w:sz="1"/>
            </w:tcBorders>
            <w:shd w:fill="1F2937" w:color="auto" w:val="clear"/>
            <w:tcMar>
              <w:top w:type="dxa" w:w="60"/>
              <w:left w:type="dxa" w:w="110"/>
              <w:bottom w:type="dxa" w:w="60"/>
              <w:right w:type="dxa" w:w="110"/>
            </w:tcMar>
          </w:tcPr>
          <w:p>
            <w:pPr>
              <w:spacing w:after="0" w:line="264"/>
            </w:pPr>
            <w:r>
              <w:rPr>
                <w:b/>
                <w:bCs/>
                <w:color w:val="FFFFFF"/>
                <w:sz w:val="20"/>
                <w:szCs w:val="20"/>
              </w:rPr>
              <w:t xml:space="preserve">Significance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0 – 20 kWh</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89</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“Lifeline” tier; protects low-income homes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20 – 50 kWh</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310</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~3.5× jump from the lifeline rate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Above 50 kWh</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369</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Highest residential block</w:t>
            </w:r>
          </w:p>
        </w:tc>
      </w:tr>
    </w:tbl>
    <w:p>
      <w:pPr>
        <w:spacing w:after="60"/>
      </w:pPr>
      <w:r>
        <w:t xml:space="preserve"/>
      </w:r>
    </w:p>
    <w:p>
      <w:pPr>
        <w:spacing w:after="120" w:line="276"/>
      </w:pPr>
      <w:r>
        <w:t xml:space="preserve">The average tariff rose to roughly 214 RWF/kWh, about a 15% increase. The tier structure creates painful “cliffs”: a home creeping from 20 to 21 kWh pays 3.5× more on the marginal unit — and has no way to see it coming. For context, non-residential customers pay </w:t>
      </w:r>
      <w:r>
        <w:rPr>
          <w:b/>
          <w:bCs/>
        </w:rPr>
        <w:t xml:space="preserve">355 RWF/kWh (0–100 kWh) and 376 RWF/kWh above 100 kWh</w:t>
      </w:r>
      <w:r>
        <w:t xml:space="preserve">, which is why small businesses have the most to gain from visibility.</w:t>
      </w:r>
    </w:p>
    <w:p>
      <w:pPr>
        <w:pStyle w:val="Heading2"/>
      </w:pPr>
      <w:r>
        <w:t xml:space="preserve">2.2 Access, the market, and prepaid metering</w:t>
      </w:r>
    </w:p>
    <w:p>
      <w:pPr>
        <w:pStyle w:val="ListParagraph"/>
        <w:numPr>
          <w:ilvl w:val="0"/>
          <w:numId w:val="2"/>
        </w:numPr>
        <w:spacing w:after="80" w:line="276"/>
      </w:pPr>
      <w:r>
        <w:t xml:space="preserve">Electricity access reached </w:t>
      </w:r>
      <w:r>
        <w:rPr>
          <w:b/>
          <w:bCs/>
        </w:rPr>
        <w:t xml:space="preserve">84.6% of households by July 2025</w:t>
      </w:r>
      <w:r>
        <w:t xml:space="preserve"> (59.6% on the national grid, 25.0% off-grid), with about 1.946 million grid-connected households and rapid year-on-year growth.</w:t>
      </w:r>
    </w:p>
    <w:p>
      <w:pPr>
        <w:pStyle w:val="ListParagraph"/>
        <w:numPr>
          <w:ilvl w:val="0"/>
          <w:numId w:val="2"/>
        </w:numPr>
        <w:spacing w:after="80" w:line="276"/>
      </w:pPr>
      <w:r>
        <w:t xml:space="preserve">Rwanda is approximately </w:t>
      </w:r>
      <w:r>
        <w:rPr>
          <w:b/>
          <w:bCs/>
        </w:rPr>
        <w:t xml:space="preserve">99.7% prepaid</w:t>
      </w:r>
      <w:r>
        <w:t xml:space="preserve"> (“cash power”). This matters enormously: households already respond to the crude salience of a falling balance — the foundation on which richer feedback builds (see Section 3).</w:t>
      </w:r>
    </w:p>
    <w:p>
      <w:pPr>
        <w:pStyle w:val="ListParagraph"/>
        <w:numPr>
          <w:ilvl w:val="0"/>
          <w:numId w:val="2"/>
        </w:numPr>
        <w:spacing w:after="80" w:line="276"/>
      </w:pPr>
      <w:r>
        <w:t xml:space="preserve">REG is deploying smart meters primarily to </w:t>
      </w:r>
      <w:r>
        <w:t xml:space="preserve">curb theft and apply time-of-use pricing to industrial customers</w:t>
      </w:r>
      <w:r>
        <w:t xml:space="preserve"> — not to give residential households appliance-level behavioural feedback. GridSense is therefore complementary to, not in competition with, the utility’s metering programme.</w:t>
      </w:r>
    </w:p>
    <w:p>
      <w:pPr>
        <w:pStyle w:val="Heading1"/>
      </w:pPr>
      <w:r>
        <w:t xml:space="preserve">3. Evidence Base: Does Feedback Actually Save Energy?</w:t>
      </w:r>
    </w:p>
    <w:p>
      <w:pPr>
        <w:spacing w:after="120" w:line="276"/>
      </w:pPr>
      <w:r>
        <w:t xml:space="preserve">The central economic claim — that visibility reduces consumption — is supported by an established body of research, not assumed.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1F2937" w:color="auto" w:val="clear"/>
            <w:tcMar>
              <w:top w:type="dxa" w:w="60"/>
              <w:left w:type="dxa" w:w="110"/>
              <w:bottom w:type="dxa" w:w="60"/>
              <w:right w:type="dxa" w:w="110"/>
            </w:tcMar>
          </w:tcPr>
          <w:p>
            <w:pPr>
              <w:spacing w:after="0" w:line="264"/>
            </w:pPr>
            <w:r>
              <w:rPr>
                <w:b/>
                <w:bCs/>
                <w:color w:val="FFFFFF"/>
                <w:sz w:val="20"/>
                <w:szCs w:val="20"/>
              </w:rPr>
              <w:t xml:space="preserve">Study</w:t>
            </w:r>
          </w:p>
        </w:tc>
        <w:tc>
          <w:tcPr>
            <w:tcW w:type="dxa" w:w="2400"/>
            <w:tcBorders>
              <w:top w:val="single" w:color="CCCCCC" w:sz="1"/>
              <w:left w:val="single" w:color="CCCCCC" w:sz="1"/>
              <w:bottom w:val="single" w:color="CCCCCC" w:sz="1"/>
              <w:right w:val="single" w:color="CCCCCC" w:sz="1"/>
            </w:tcBorders>
            <w:shd w:fill="1F2937" w:color="auto" w:val="clear"/>
            <w:tcMar>
              <w:top w:type="dxa" w:w="60"/>
              <w:left w:type="dxa" w:w="110"/>
              <w:bottom w:type="dxa" w:w="60"/>
              <w:right w:type="dxa" w:w="110"/>
            </w:tcMar>
          </w:tcPr>
          <w:p>
            <w:pPr>
              <w:spacing w:after="0" w:line="264"/>
            </w:pPr>
            <w:r>
              <w:rPr>
                <w:b/>
                <w:bCs/>
                <w:color w:val="FFFFFF"/>
                <w:sz w:val="20"/>
                <w:szCs w:val="20"/>
              </w:rPr>
              <w:t xml:space="preserve">Finding</w:t>
            </w:r>
          </w:p>
        </w:tc>
        <w:tc>
          <w:tcPr>
            <w:tcW w:type="dxa" w:w="4360"/>
            <w:tcBorders>
              <w:top w:val="single" w:color="CCCCCC" w:sz="1"/>
              <w:left w:val="single" w:color="CCCCCC" w:sz="1"/>
              <w:bottom w:val="single" w:color="CCCCCC" w:sz="1"/>
              <w:right w:val="single" w:color="CCCCCC" w:sz="1"/>
            </w:tcBorders>
            <w:shd w:fill="1F2937" w:color="auto" w:val="clear"/>
            <w:tcMar>
              <w:top w:type="dxa" w:w="60"/>
              <w:left w:type="dxa" w:w="110"/>
              <w:bottom w:type="dxa" w:w="60"/>
              <w:right w:type="dxa" w:w="110"/>
            </w:tcMar>
          </w:tcPr>
          <w:p>
            <w:pPr>
              <w:spacing w:after="0" w:line="264"/>
            </w:pPr>
            <w:r>
              <w:rPr>
                <w:b/>
                <w:bCs/>
                <w:color w:val="FFFFFF"/>
                <w:sz w:val="20"/>
                <w:szCs w:val="20"/>
              </w:rPr>
              <w:t xml:space="preserve">Relevance</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Darby (2006, Univ. of Oxford / DEFRA)</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Direct, real-time feedback typically saves 5–15%</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The seminal review; direct feedback is “the single most promising” form</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Ehrhardt-Martinez et al. (ACEEE, 2010)</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Real-time feedback saves 4–12% (avg ~9.2%)</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Meta-analysis of 1995–2010 pilots</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Faruqui et al. (2009/2010)</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In-home displays save 3–13%</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Independent meta-analysis</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Large-scale critique</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Realistic mass-scale effect ~3–5%</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Honest floor; small pilots overstate</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Jack &amp; Smith (South Africa)</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Prepaid metering cut use ~14%</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Salience alone drives large reductions</w:t>
            </w:r>
          </w:p>
        </w:tc>
      </w:tr>
    </w:tbl>
    <w:p>
      <w:pPr>
        <w:spacing w:after="60"/>
      </w:pPr>
      <w:r>
        <w:t xml:space="preserve"/>
      </w:r>
    </w:p>
    <w:p>
      <w:pPr>
        <w:spacing w:after="120" w:line="276"/>
      </w:pPr>
      <w:r>
        <w:t xml:space="preserve">Because Rwanda is ~99.7% prepaid, the Jack &amp; Smith result is directly relevant: crude prepaid salience already produces ~14% reductions. GridSense provides far richer feedback — real-time, per-appliance, tier-aware, with specific advice — so results at least in the established 5–15% band are reasonable. </w:t>
      </w:r>
      <w:r>
        <w:rPr>
          <w:b/>
          <w:bCs/>
        </w:rPr>
        <w:t xml:space="preserve">The business case in this report is deliberately anchored at a conservative 10%</w:t>
      </w:r>
      <w:r>
        <w:t xml:space="preserve">, with a 5–15% sensitivity range and open acknowledgement of the ~3–5% large-scale floor, which a pilot will measure directly.</w:t>
      </w:r>
    </w:p>
    <w:p>
      <w:pPr>
        <w:pStyle w:val="Heading2"/>
      </w:pPr>
      <w:r>
        <w:t xml:space="preserve">3.1 What real users tell us (value and design validation)</w:t>
      </w:r>
    </w:p>
    <w:p>
      <w:pPr>
        <w:pStyle w:val="ListParagraph"/>
        <w:numPr>
          <w:ilvl w:val="0"/>
          <w:numId w:val="2"/>
        </w:numPr>
        <w:spacing w:after="80" w:line="276"/>
      </w:pPr>
      <w:r>
        <w:t xml:space="preserve">The most common complaint about the market-leading Sense monitor (~$300) is that its machine-learning appliance detection is slow and incomplete — validating GridSense’s decision </w:t>
      </w:r>
      <w:r>
        <w:rPr>
          <w:b/>
          <w:bCs/>
        </w:rPr>
        <w:t xml:space="preserve">not to over-claim automatic disaggregation</w:t>
      </w:r>
      <w:r>
        <w:t xml:space="preserve">.</w:t>
      </w:r>
    </w:p>
    <w:p>
      <w:pPr>
        <w:pStyle w:val="ListParagraph"/>
        <w:numPr>
          <w:ilvl w:val="0"/>
          <w:numId w:val="2"/>
        </w:numPr>
        <w:spacing w:after="80" w:line="276"/>
      </w:pPr>
      <w:r>
        <w:t xml:space="preserve">Users praise Emporia’s hardware but find its app clunky and its multi-CT wiring messy — validating GridSense’s bet on a </w:t>
      </w:r>
      <w:r>
        <w:rPr>
          <w:b/>
          <w:bCs/>
        </w:rPr>
        <w:t xml:space="preserve">clean, simple app and a single whole-home CT plus plugs</w:t>
      </w:r>
      <w:r>
        <w:t xml:space="preserve">.</w:t>
      </w:r>
    </w:p>
    <w:p>
      <w:pPr>
        <w:spacing w:after="120" w:line="276"/>
      </w:pPr>
      <w:r>
        <w:t xml:space="preserve">In short, the market leaders win on hardware but lose on over-promised AI and clunky software. GridSense's wedge — a clean, localized, honestly-scoped product — targets exactly those weak spots.</w:t>
      </w:r>
    </w:p>
    <w:p>
      <w:pPr>
        <w:pStyle w:val="Heading1"/>
      </w:pPr>
      <w:r>
        <w:t xml:space="preserve">4. Market Analysis &amp; Target Users</w:t>
      </w:r>
    </w:p>
    <w:p>
      <w:pPr>
        <w:pStyle w:val="Heading2"/>
      </w:pPr>
      <w:r>
        <w:t xml:space="preserve">4.1 The beachhead (and why not “everyone”)</w:t>
      </w:r>
    </w:p>
    <w:p>
      <w:pPr>
        <w:spacing w:after="120" w:line="276"/>
      </w:pPr>
      <w:r>
        <w:t xml:space="preserve">About half of connected homes use 20 kWh/month or less, in the 89 RWF lifeline tier; a 20% saving there is only about 356 RWF (~$0.25) per month — too little to justify a device. The decisive strategic choice is therefore to target the tier-crossers:</w:t>
      </w:r>
    </w:p>
    <w:p>
      <w:pPr>
        <w:pStyle w:val="ListParagraph"/>
        <w:numPr>
          <w:ilvl w:val="0"/>
          <w:numId w:val="2"/>
        </w:numPr>
        <w:spacing w:after="80" w:line="276"/>
      </w:pPr>
      <w:r>
        <w:rPr>
          <w:b/>
          <w:bCs/>
        </w:rPr>
        <w:t xml:space="preserve">Middle/upper-income urban homes</w:t>
      </w:r>
      <w:r>
        <w:t xml:space="preserve"> that cross into the 310/369 RWF tiers, own appliances, and have Wi-Fi and smartphones.</w:t>
      </w:r>
    </w:p>
    <w:p>
      <w:pPr>
        <w:pStyle w:val="ListParagraph"/>
        <w:numPr>
          <w:ilvl w:val="0"/>
          <w:numId w:val="2"/>
        </w:numPr>
        <w:spacing w:after="80" w:line="276"/>
      </w:pPr>
      <w:r>
        <w:rPr>
          <w:b/>
          <w:bCs/>
        </w:rPr>
        <w:t xml:space="preserve">Landlords and multi-tenant compounds</w:t>
      </w:r>
      <w:r>
        <w:t xml:space="preserve"> — one buyer, many meters, and a real billing-dispute pain point.</w:t>
      </w:r>
    </w:p>
    <w:p>
      <w:pPr>
        <w:pStyle w:val="ListParagraph"/>
        <w:numPr>
          <w:ilvl w:val="0"/>
          <w:numId w:val="2"/>
        </w:numPr>
        <w:spacing w:after="80" w:line="276"/>
      </w:pPr>
      <w:r>
        <w:rPr>
          <w:b/>
          <w:bCs/>
        </w:rPr>
        <w:t xml:space="preserve">Small businesses</w:t>
      </w:r>
      <w:r>
        <w:t xml:space="preserve"> on the non-residential tariff (355–376 RWF/kWh), where every saved unit is worth the most.</w:t>
      </w:r>
    </w:p>
    <w:p>
      <w:pPr>
        <w:spacing w:after="120" w:line="276"/>
      </w:pPr>
      <w:r>
        <w:t xml:space="preserve">Mass-market and lifeline homes are addressed later as a grant-funded social-impact tier, not the paying entry point.</w:t>
      </w:r>
    </w:p>
    <w:p>
      <w:pPr>
        <w:pStyle w:val="Heading2"/>
      </w:pPr>
      <w:r>
        <w:t xml:space="preserve">4.2 Connectivity reality (validates the Wi-Fi-first choice)</w:t>
      </w:r>
    </w:p>
    <w:p>
      <w:pPr>
        <w:pStyle w:val="ListParagraph"/>
        <w:numPr>
          <w:ilvl w:val="0"/>
          <w:numId w:val="2"/>
        </w:numPr>
        <w:spacing w:after="80" w:line="276"/>
      </w:pPr>
      <w:r>
        <w:t xml:space="preserve">National figures are modest — ~38% internet penetration, ~34% of households own a smartphone — but the urban beachhead is far more connected (urban internet use ~57%, 4G coverage ~100%).</w:t>
      </w:r>
    </w:p>
    <w:p>
      <w:pPr>
        <w:pStyle w:val="ListParagraph"/>
        <w:numPr>
          <w:ilvl w:val="0"/>
          <w:numId w:val="2"/>
        </w:numPr>
        <w:spacing w:after="80" w:line="276"/>
      </w:pPr>
      <w:r>
        <w:t xml:space="preserve">Wi-Fi-first is therefore correct for Phase 1; the low national figures confirm that mass-market reach later needs GSM and SMS/USSD (no smartphone required) — already the Phase-2 plan.</w:t>
      </w:r>
    </w:p>
    <w:p>
      <w:pPr>
        <w:pStyle w:val="Heading2"/>
      </w:pPr>
      <w:r>
        <w:t xml:space="preserve">4.3 Competition and moat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tblHeader/>
        </w:trPr>
        <w:tc>
          <w:tcPr>
            <w:tcW w:type="dxa" w:w="2300"/>
            <w:tcBorders>
              <w:top w:val="single" w:color="CCCCCC" w:sz="1"/>
              <w:left w:val="single" w:color="CCCCCC" w:sz="1"/>
              <w:bottom w:val="single" w:color="CCCCCC" w:sz="1"/>
              <w:right w:val="single" w:color="CCCCCC" w:sz="1"/>
            </w:tcBorders>
            <w:shd w:fill="1F2937" w:color="auto" w:val="clear"/>
            <w:tcMar>
              <w:top w:type="dxa" w:w="60"/>
              <w:left w:type="dxa" w:w="110"/>
              <w:bottom w:type="dxa" w:w="60"/>
              <w:right w:type="dxa" w:w="110"/>
            </w:tcMar>
          </w:tcPr>
          <w:p>
            <w:pPr>
              <w:spacing w:after="0" w:line="264"/>
            </w:pPr>
            <w:r>
              <w:rPr>
                <w:b/>
                <w:bCs/>
                <w:color w:val="FFFFFF"/>
                <w:sz w:val="20"/>
                <w:szCs w:val="20"/>
              </w:rPr>
              <w:t xml:space="preserve">Product</w:t>
            </w:r>
          </w:p>
        </w:tc>
        <w:tc>
          <w:tcPr>
            <w:tcW w:type="dxa" w:w="4060"/>
            <w:tcBorders>
              <w:top w:val="single" w:color="CCCCCC" w:sz="1"/>
              <w:left w:val="single" w:color="CCCCCC" w:sz="1"/>
              <w:bottom w:val="single" w:color="CCCCCC" w:sz="1"/>
              <w:right w:val="single" w:color="CCCCCC" w:sz="1"/>
            </w:tcBorders>
            <w:shd w:fill="1F2937" w:color="auto" w:val="clear"/>
            <w:tcMar>
              <w:top w:type="dxa" w:w="60"/>
              <w:left w:type="dxa" w:w="110"/>
              <w:bottom w:type="dxa" w:w="60"/>
              <w:right w:type="dxa" w:w="110"/>
            </w:tcMar>
          </w:tcPr>
          <w:p>
            <w:pPr>
              <w:spacing w:after="0" w:line="264"/>
            </w:pPr>
            <w:r>
              <w:rPr>
                <w:b/>
                <w:bCs/>
                <w:color w:val="FFFFFF"/>
                <w:sz w:val="20"/>
                <w:szCs w:val="20"/>
              </w:rPr>
              <w:t xml:space="preserve">What it is</w:t>
            </w:r>
          </w:p>
        </w:tc>
        <w:tc>
          <w:tcPr>
            <w:tcW w:type="dxa" w:w="3000"/>
            <w:tcBorders>
              <w:top w:val="single" w:color="CCCCCC" w:sz="1"/>
              <w:left w:val="single" w:color="CCCCCC" w:sz="1"/>
              <w:bottom w:val="single" w:color="CCCCCC" w:sz="1"/>
              <w:right w:val="single" w:color="CCCCCC" w:sz="1"/>
            </w:tcBorders>
            <w:shd w:fill="1F2937" w:color="auto" w:val="clear"/>
            <w:tcMar>
              <w:top w:type="dxa" w:w="60"/>
              <w:left w:type="dxa" w:w="110"/>
              <w:bottom w:type="dxa" w:w="60"/>
              <w:right w:type="dxa" w:w="110"/>
            </w:tcMar>
          </w:tcPr>
          <w:p>
            <w:pPr>
              <w:spacing w:after="0" w:line="264"/>
            </w:pPr>
            <w:r>
              <w:rPr>
                <w:b/>
                <w:bCs/>
                <w:color w:val="FFFFFF"/>
                <w:sz w:val="20"/>
                <w:szCs w:val="20"/>
              </w:rPr>
              <w:t xml:space="preserve">Gap for Rwanda</w:t>
            </w:r>
          </w:p>
        </w:tc>
      </w:tr>
      <w:tr>
        <w:trPr>
          <w:tblHeader w:val="false"/>
        </w:trP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Sense (~$300)</w:t>
            </w:r>
          </w:p>
        </w:tc>
        <w:tc>
          <w:tcPr>
            <w:tcW w:type="dxa" w:w="4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Whole-home, ML detection, premium</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Expensive, US-centric, no RWF tiers</w:t>
            </w:r>
          </w:p>
        </w:tc>
      </w:tr>
      <w:tr>
        <w:trPr>
          <w:tblHeader w:val="false"/>
        </w:trP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Emporia Vue</w:t>
            </w:r>
          </w:p>
        </w:tc>
        <w:tc>
          <w:tcPr>
            <w:tcW w:type="dxa" w:w="4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Whole-home + branch circuits, value</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No local tariff/Kinyarwanda, import cost</w:t>
            </w:r>
          </w:p>
        </w:tc>
      </w:tr>
      <w:tr>
        <w:trPr>
          <w:tblHeader w:val="false"/>
        </w:trP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IoTaWatt</w:t>
            </w:r>
          </w:p>
        </w:tc>
        <w:tc>
          <w:tcPr>
            <w:tcW w:type="dxa" w:w="4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Open-source / DIY</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Hobbyist; no consumer UX or AI advice</w:t>
            </w:r>
          </w:p>
        </w:tc>
      </w:tr>
      <w:tr>
        <w:trPr>
          <w:tblHeader w:val="false"/>
        </w:trP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Bidgely</w:t>
            </w:r>
          </w:p>
        </w:tc>
        <w:tc>
          <w:tcPr>
            <w:tcW w:type="dxa" w:w="4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Utility-side AI (B2B)</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Sold to utilities, not households</w:t>
            </w:r>
          </w:p>
        </w:tc>
      </w:tr>
    </w:tbl>
    <w:p>
      <w:pPr>
        <w:spacing w:after="60"/>
      </w:pPr>
      <w:r>
        <w:t xml:space="preserve"/>
      </w:r>
    </w:p>
    <w:p>
      <w:pPr>
        <w:spacing w:after="120" w:line="276"/>
      </w:pPr>
      <w:r>
        <w:t xml:space="preserve">No existing product is localized for Rwanda — none encodes the RWF tiered tariff, speaks Kinyarwanda, or is priced and serviced for the local market. </w:t>
      </w:r>
      <w:r>
        <w:rPr>
          <w:b/>
          <w:bCs/>
        </w:rPr>
        <w:t xml:space="preserve">GridSense’s moat is localization + tariff-aware AI + go-to-market at a Rwandan price.</w:t>
      </w:r>
    </w:p>
    <w:p>
      <w:pPr>
        <w:pStyle w:val="Heading1"/>
      </w:pPr>
      <w:r>
        <w:t xml:space="preserve">5. Solution Design</w:t>
      </w:r>
    </w:p>
    <w:p>
      <w:pPr>
        <w:pStyle w:val="Heading2"/>
      </w:pPr>
      <w:r>
        <w:t xml:space="preserve">5.1 System architecture</w:t>
      </w:r>
    </w:p>
    <w:p>
      <w:pPr>
        <w:spacing w:after="120" w:line="276"/>
      </w:pPr>
      <w:r>
        <w:t xml:space="preserve">A non-invasive current-transformer (CT) clamp on the home’s main feed is read by an ESP32 micro-controller, which posts JSON readings over Wi-Fi to a cloud backend that serves the dashboard. Optional energy-metering smart plugs add appliance-level detail for the biggest devices.</w:t>
      </w:r>
    </w:p>
    <w:p>
      <w:pPr>
        <w:spacing w:after="120" w:line="276"/>
      </w:pPr>
      <w:r>
        <w:t xml:space="preserve">The data path is: </w:t>
      </w:r>
      <w:r>
        <w:rPr>
          <w:b/>
          <w:bCs/>
        </w:rPr>
        <w:t xml:space="preserve">CT clamp + smart plugs → ESP32 (Wi-Fi) → Cloud API (/api/ingest) → Dashboard + tariff-aware AI</w:t>
      </w:r>
      <w:r>
        <w:t xml:space="preserve">. A documented ingestion contract ({deviceId, ts, watts, source}) means the demonstration’s simulated data uses the same shape as real hardware — so physical devices swap in with a minimal change.</w:t>
      </w:r>
    </w:p>
    <w:p>
      <w:pPr>
        <w:pStyle w:val="Heading2"/>
      </w:pPr>
      <w:r>
        <w:t xml:space="preserve">5.2 Hardware layer</w:t>
      </w:r>
    </w:p>
    <w:p>
      <w:pPr>
        <w:spacing w:after="120" w:line="276"/>
      </w:pPr>
      <w:r>
        <w:t xml:space="preserve">Built on proven open-source designs (ESP32 + SCT-013 + EmonLib; CircuitSetup energy meter). The architecture intentionally uses an ESP32 + CT rather than a closed commercial meter so the firmware is ours — which is what allows the tariff-aware AI and Kinyarwanda layer to run. This is the technical basis of the moat.</w:t>
      </w:r>
    </w:p>
    <w:p>
      <w:pPr>
        <w:pStyle w:val="Heading2"/>
      </w:pPr>
      <w:r>
        <w:t xml:space="preserve">5.3 Application layer</w:t>
      </w:r>
    </w:p>
    <w:p>
      <w:pPr>
        <w:spacing w:after="120" w:line="276"/>
      </w:pPr>
      <w:r>
        <w:t xml:space="preserve">A simple, mobile-friendly web application with four screens: Live Now (real-time power, month-to-date cost, tier-cliff alert), This Month (cumulative use vs tier thresholds and a month-end forecast), Appliances (which devices drive the bill), and Save (specific, RWF-quantified recommendations). The interface is bilingual English/Kinyarwanda.</w:t>
      </w:r>
    </w:p>
    <w:p>
      <w:pPr>
        <w:pStyle w:val="Heading2"/>
      </w:pPr>
      <w:r>
        <w:t xml:space="preserve">5.4 Intelligence layer (scoped honestly)</w:t>
      </w:r>
    </w:p>
    <w:p>
      <w:pPr>
        <w:pStyle w:val="ListParagraph"/>
        <w:numPr>
          <w:ilvl w:val="0"/>
          <w:numId w:val="2"/>
        </w:numPr>
        <w:spacing w:after="80" w:line="276"/>
      </w:pPr>
      <w:r>
        <w:rPr>
          <w:b/>
          <w:bCs/>
        </w:rPr>
        <w:t xml:space="preserve">Now:</w:t>
      </w:r>
      <w:r>
        <w:t xml:space="preserve"> tariff-aware analytics (kWh → live RWF across the real tiers), rule-based personalized recommendations, and run-rate bill forecasting.</w:t>
      </w:r>
    </w:p>
    <w:p>
      <w:pPr>
        <w:pStyle w:val="ListParagraph"/>
        <w:numPr>
          <w:ilvl w:val="0"/>
          <w:numId w:val="2"/>
        </w:numPr>
        <w:spacing w:after="80" w:line="276"/>
      </w:pPr>
      <w:r>
        <w:rPr>
          <w:b/>
          <w:bCs/>
        </w:rPr>
        <w:t xml:space="preserve">Next:</w:t>
      </w:r>
      <w:r>
        <w:t xml:space="preserve"> machine-learning bill forecasting and anomaly detection (e.g., “your fridge is drawing 30% more than usual”).</w:t>
      </w:r>
    </w:p>
    <w:p>
      <w:pPr>
        <w:pStyle w:val="ListParagraph"/>
        <w:numPr>
          <w:ilvl w:val="0"/>
          <w:numId w:val="2"/>
        </w:numPr>
        <w:spacing w:after="80" w:line="276"/>
      </w:pPr>
      <w:r>
        <w:rPr>
          <w:b/>
          <w:bCs/>
        </w:rPr>
        <w:t xml:space="preserve">Later:</w:t>
      </w:r>
      <w:r>
        <w:t xml:space="preserve"> appliance disaggregation (NILM) as labelled data accumulates. The system never claims NILM it has not built.</w:t>
      </w:r>
    </w:p>
    <w:p>
      <w:pPr>
        <w:pStyle w:val="Heading1"/>
      </w:pPr>
      <w:r>
        <w:t xml:space="preserve">6. Implementation: What Has Been Built</w:t>
      </w:r>
    </w:p>
    <w:p>
      <w:pPr>
        <w:spacing w:after="120" w:line="276"/>
      </w:pPr>
      <w:r>
        <w:t xml:space="preserve">A working Phase-1 software demonstration has been implemented (React + Vite + Tailwind + Recharts) to prove the product experience end-to-end.</w:t>
      </w:r>
    </w:p>
    <w:p>
      <w:pPr>
        <w:pStyle w:val="Heading2"/>
      </w:pPr>
      <w:r>
        <w:t xml:space="preserve">6.1 Delivered features</w:t>
      </w:r>
    </w:p>
    <w:p>
      <w:pPr>
        <w:pStyle w:val="ListParagraph"/>
        <w:numPr>
          <w:ilvl w:val="0"/>
          <w:numId w:val="2"/>
        </w:numPr>
        <w:spacing w:after="80" w:line="276"/>
      </w:pPr>
      <w:r>
        <w:t xml:space="preserve">Four complete screens (Live Now, This Month, Appliances, Save), with a tier gauge, tier-cliff alerts, and a month-end forecast.</w:t>
      </w:r>
    </w:p>
    <w:p>
      <w:pPr>
        <w:pStyle w:val="ListParagraph"/>
        <w:numPr>
          <w:ilvl w:val="0"/>
          <w:numId w:val="2"/>
        </w:numPr>
        <w:spacing w:after="80" w:line="276"/>
      </w:pPr>
      <w:r>
        <w:t xml:space="preserve">A pure, tested tariff engine implementing the verified RURA/REG tiers, plus a Rwanda-specific appliance load model (water heater ~59, fridge ~36, TV ~11 kWh/month, etc.).</w:t>
      </w:r>
    </w:p>
    <w:p>
      <w:pPr>
        <w:pStyle w:val="ListParagraph"/>
        <w:numPr>
          <w:ilvl w:val="0"/>
          <w:numId w:val="2"/>
        </w:numPr>
        <w:spacing w:after="80" w:line="276"/>
      </w:pPr>
      <w:r>
        <w:t xml:space="preserve">Full English/Kinyarwanda localization, with the Kinyarwanda shipped as a clearly-labelled draft pending native-speaker review.</w:t>
      </w:r>
    </w:p>
    <w:p>
      <w:pPr>
        <w:pStyle w:val="ListParagraph"/>
        <w:numPr>
          <w:ilvl w:val="0"/>
          <w:numId w:val="2"/>
        </w:numPr>
        <w:spacing w:after="80" w:line="276"/>
      </w:pPr>
      <w:r>
        <w:t xml:space="preserve">An honesty indicator stating “simulated demo data — tariff math is real,” and a real ESP32 ingestion contract so hardware can be connected later.</w:t>
      </w:r>
    </w:p>
    <w:p>
      <w:pPr>
        <w:pStyle w:val="Heading2"/>
      </w:pPr>
      <w:r>
        <w:t xml:space="preserve">6.2 Quality assurance</w:t>
      </w:r>
    </w:p>
    <w:p>
      <w:pPr>
        <w:pStyle w:val="ListParagraph"/>
        <w:numPr>
          <w:ilvl w:val="0"/>
          <w:numId w:val="2"/>
        </w:numPr>
        <w:spacing w:after="80" w:line="276"/>
      </w:pPr>
      <w:r>
        <w:rPr>
          <w:b/>
          <w:bCs/>
        </w:rPr>
        <w:t xml:space="preserve">Tariff engine unit tests: 9/9 passing</w:t>
      </w:r>
      <w:r>
        <w:t xml:space="preserve"> — the engine’s computed bills equal the sourced figures (100 kWh → 29,530 RWF; 150 → 47,980; 200 → 66,430), which is the direct defense against “are your numbers real?”</w:t>
      </w:r>
    </w:p>
    <w:p>
      <w:pPr>
        <w:pStyle w:val="ListParagraph"/>
        <w:numPr>
          <w:ilvl w:val="0"/>
          <w:numId w:val="2"/>
        </w:numPr>
        <w:spacing w:after="80" w:line="276"/>
      </w:pPr>
      <w:r>
        <w:rPr>
          <w:b/>
          <w:bCs/>
        </w:rPr>
        <w:t xml:space="preserve">End-to-end journey tests (Playwright): 5/5 passing</w:t>
      </w:r>
      <w:r>
        <w:t xml:space="preserve">; rendered with 0 console errors.</w:t>
      </w:r>
    </w:p>
    <w:p>
      <w:pPr>
        <w:pStyle w:val="ListParagraph"/>
        <w:numPr>
          <w:ilvl w:val="0"/>
          <w:numId w:val="2"/>
        </w:numPr>
        <w:spacing w:after="80" w:line="276"/>
      </w:pPr>
      <w:r>
        <w:rPr>
          <w:b/>
          <w:bCs/>
        </w:rPr>
        <w:t xml:space="preserve">Lighthouse audit: Accessibility 100, Best Practices 100, SEO 100</w:t>
      </w:r>
      <w:r>
        <w:t xml:space="preserve"> after fixing all flagged issues.</w:t>
      </w:r>
    </w:p>
    <w:p>
      <w:pPr>
        <w:pStyle w:val="Heading1"/>
      </w:pPr>
      <w:r>
        <w:t xml:space="preserve">7. Feasibility &amp; Business Case</w:t>
      </w:r>
    </w:p>
    <w:p>
      <w:pPr>
        <w:spacing w:after="120" w:line="276"/>
      </w:pPr>
      <w:r>
        <w:t xml:space="preserve">All hardware was priced from live Kigali retailers (SoftTech Supply, Hills Electronics) in RWF. A local shelf price already includes import duty, 18% VAT, and levies, so these are landed Rwanda costs — the most defensible and conservative basis. Working exchange rate: 1 USD ≈ 1,464 RWF (market mid-rate, June 2026).</w:t>
      </w:r>
    </w:p>
    <w:p>
      <w:pPr>
        <w:pStyle w:val="Heading2"/>
      </w:pPr>
      <w:r>
        <w:t xml:space="preserve">7.1 Bill of materials (Phase-1 kit)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500"/>
        <w:gridCol w:w="1500"/>
        <w:gridCol w:w="2000"/>
      </w:tblGrid>
      <w:tr>
        <w:trPr>
          <w:tblHeader/>
        </w:trPr>
        <w:tc>
          <w:tcPr>
            <w:tcW w:type="dxa" w:w="4360"/>
            <w:tcBorders>
              <w:top w:val="single" w:color="CCCCCC" w:sz="1"/>
              <w:left w:val="single" w:color="CCCCCC" w:sz="1"/>
              <w:bottom w:val="single" w:color="CCCCCC" w:sz="1"/>
              <w:right w:val="single" w:color="CCCCCC" w:sz="1"/>
            </w:tcBorders>
            <w:shd w:fill="1F2937" w:color="auto" w:val="clear"/>
            <w:tcMar>
              <w:top w:type="dxa" w:w="60"/>
              <w:left w:type="dxa" w:w="110"/>
              <w:bottom w:type="dxa" w:w="60"/>
              <w:right w:type="dxa" w:w="110"/>
            </w:tcMar>
          </w:tcPr>
          <w:p>
            <w:pPr>
              <w:spacing w:after="0" w:line="264"/>
            </w:pPr>
            <w:r>
              <w:rPr>
                <w:b/>
                <w:bCs/>
                <w:color w:val="FFFFFF"/>
                <w:sz w:val="20"/>
                <w:szCs w:val="20"/>
              </w:rPr>
              <w:t xml:space="preserve">Component</w:t>
            </w:r>
          </w:p>
        </w:tc>
        <w:tc>
          <w:tcPr>
            <w:tcW w:type="dxa" w:w="1500"/>
            <w:tcBorders>
              <w:top w:val="single" w:color="CCCCCC" w:sz="1"/>
              <w:left w:val="single" w:color="CCCCCC" w:sz="1"/>
              <w:bottom w:val="single" w:color="CCCCCC" w:sz="1"/>
              <w:right w:val="single" w:color="CCCCCC" w:sz="1"/>
            </w:tcBorders>
            <w:shd w:fill="1F2937" w:color="auto" w:val="clear"/>
            <w:tcMar>
              <w:top w:type="dxa" w:w="60"/>
              <w:left w:type="dxa" w:w="110"/>
              <w:bottom w:type="dxa" w:w="60"/>
              <w:right w:type="dxa" w:w="110"/>
            </w:tcMar>
          </w:tcPr>
          <w:p>
            <w:pPr>
              <w:spacing w:after="0" w:line="264"/>
            </w:pPr>
            <w:r>
              <w:rPr>
                <w:b/>
                <w:bCs/>
                <w:color w:val="FFFFFF"/>
                <w:sz w:val="20"/>
                <w:szCs w:val="20"/>
              </w:rPr>
              <w:t xml:space="preserve">Qty</w:t>
            </w:r>
          </w:p>
        </w:tc>
        <w:tc>
          <w:tcPr>
            <w:tcW w:type="dxa" w:w="1500"/>
            <w:tcBorders>
              <w:top w:val="single" w:color="CCCCCC" w:sz="1"/>
              <w:left w:val="single" w:color="CCCCCC" w:sz="1"/>
              <w:bottom w:val="single" w:color="CCCCCC" w:sz="1"/>
              <w:right w:val="single" w:color="CCCCCC" w:sz="1"/>
            </w:tcBorders>
            <w:shd w:fill="1F2937" w:color="auto" w:val="clear"/>
            <w:tcMar>
              <w:top w:type="dxa" w:w="60"/>
              <w:left w:type="dxa" w:w="110"/>
              <w:bottom w:type="dxa" w:w="60"/>
              <w:right w:type="dxa" w:w="110"/>
            </w:tcMar>
          </w:tcPr>
          <w:p>
            <w:pPr>
              <w:spacing w:after="0" w:line="264"/>
            </w:pPr>
            <w:r>
              <w:rPr>
                <w:b/>
                <w:bCs/>
                <w:color w:val="FFFFFF"/>
                <w:sz w:val="20"/>
                <w:szCs w:val="20"/>
              </w:rPr>
              <w:t xml:space="preserve">RWF</w:t>
            </w:r>
          </w:p>
        </w:tc>
        <w:tc>
          <w:tcPr>
            <w:tcW w:type="dxa" w:w="2000"/>
            <w:tcBorders>
              <w:top w:val="single" w:color="CCCCCC" w:sz="1"/>
              <w:left w:val="single" w:color="CCCCCC" w:sz="1"/>
              <w:bottom w:val="single" w:color="CCCCCC" w:sz="1"/>
              <w:right w:val="single" w:color="CCCCCC" w:sz="1"/>
            </w:tcBorders>
            <w:shd w:fill="1F2937" w:color="auto" w:val="clear"/>
            <w:tcMar>
              <w:top w:type="dxa" w:w="60"/>
              <w:left w:type="dxa" w:w="110"/>
              <w:bottom w:type="dxa" w:w="60"/>
              <w:right w:type="dxa" w:w="110"/>
            </w:tcMar>
          </w:tcPr>
          <w:p>
            <w:pPr>
              <w:spacing w:after="0" w:line="264"/>
            </w:pPr>
            <w:r>
              <w:rPr>
                <w:b/>
                <w:bCs/>
                <w:color w:val="FFFFFF"/>
                <w:sz w:val="20"/>
                <w:szCs w:val="20"/>
              </w:rPr>
              <w:t xml:space="preserve">Status</w:t>
            </w:r>
          </w:p>
        </w:tc>
      </w:tr>
      <w:tr>
        <w:trPr>
          <w:tblHeader w:val="false"/>
        </w:trPr>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ESP32 dev board (ESP-WROOM-32)</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15,500</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sourced</w:t>
            </w:r>
          </w:p>
        </w:tc>
      </w:tr>
      <w:tr>
        <w:trPr>
          <w:tblHeader w:val="false"/>
        </w:trPr>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SCT-013-000 100A CT clamp</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12,000</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sourced</w:t>
            </w:r>
          </w:p>
        </w:tc>
      </w:tr>
      <w:tr>
        <w:trPr>
          <w:tblHeader w:val="false"/>
        </w:trPr>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5V 3A power supply</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5,000</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sourced</w:t>
            </w:r>
          </w:p>
        </w:tc>
      </w:tr>
      <w:tr>
        <w:trPr>
          <w:tblHeader w:val="false"/>
        </w:trPr>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Jumper wires (DuPont set)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2,600</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sourced</w:t>
            </w:r>
          </w:p>
        </w:tc>
      </w:tr>
      <w:tr>
        <w:trPr>
          <w:tblHeader w:val="false"/>
        </w:trPr>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Passives (burden + bias)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~1,000</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estimate</w:t>
            </w:r>
          </w:p>
        </w:tc>
      </w:tr>
      <w:tr>
        <w:trPr>
          <w:tblHeader w:val="false"/>
        </w:trPr>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Enclosure / junction box</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~4,000</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estimate</w:t>
            </w:r>
          </w:p>
        </w:tc>
      </w:tr>
      <w:tr>
        <w:trPr>
          <w:tblHeader w:val="false"/>
        </w:trPr>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Core whole-home monitor (subtotal)</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 40,100</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(~$27)</w:t>
            </w:r>
          </w:p>
        </w:tc>
      </w:tr>
      <w:tr>
        <w:trPr>
          <w:tblHeader w:val="false"/>
        </w:trPr>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Tuya 16A Wi-Fi metering plug</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2</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29,000</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sourced</w:t>
            </w:r>
          </w:p>
        </w:tc>
      </w:tr>
      <w:tr>
        <w:trPr>
          <w:tblHeader w:val="false"/>
        </w:trPr>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Full Phase-1 kit (total)</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 69,100</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(~$47)</w:t>
            </w:r>
          </w:p>
        </w:tc>
      </w:tr>
    </w:tbl>
    <w:p>
      <w:pPr>
        <w:spacing w:after="60"/>
      </w:pPr>
      <w:r>
        <w:t xml:space="preserve"/>
      </w:r>
    </w:p>
    <w:p>
      <w:pPr>
        <w:spacing w:after="120" w:line="276"/>
      </w:pPr>
      <w:r>
        <w:t xml:space="preserve">Of the full kit, about 93% is live-sourced; only the passives and enclosure (~7%) are labelled estimates. The core monitor is the standalone entry product; smart plugs are an optional upsell.</w:t>
      </w:r>
    </w:p>
    <w:p>
      <w:pPr>
        <w:pStyle w:val="Heading2"/>
      </w:pPr>
      <w:r>
        <w:t xml:space="preserve">7.2 CAPEX and OPEX</w:t>
      </w:r>
    </w:p>
    <w:p>
      <w:pPr>
        <w:pStyle w:val="ListParagraph"/>
        <w:numPr>
          <w:ilvl w:val="0"/>
          <w:numId w:val="2"/>
        </w:numPr>
        <w:spacing w:after="80" w:line="276"/>
      </w:pPr>
      <w:r>
        <w:rPr>
          <w:b/>
          <w:bCs/>
        </w:rPr>
        <w:t xml:space="preserve">CAPEX (lean pilot):</w:t>
      </w:r>
      <w:r>
        <w:t xml:space="preserve"> one full kit plus a domain, with tools borrowed from the ALU makerspace — on the order of RWF 84,000–97,000 (~$57–66). A bench proof-of-concept can be as low as ~RWF 40,000 (~$27).</w:t>
      </w:r>
    </w:p>
    <w:p>
      <w:pPr>
        <w:pStyle w:val="ListParagraph"/>
        <w:numPr>
          <w:ilvl w:val="0"/>
          <w:numId w:val="2"/>
        </w:numPr>
        <w:spacing w:after="80" w:line="276"/>
      </w:pPr>
      <w:r>
        <w:rPr>
          <w:b/>
          <w:bCs/>
        </w:rPr>
        <w:t xml:space="preserve">OPEX (capstone phase):</w:t>
      </w:r>
      <w:r>
        <w:t xml:space="preserve"> effectively $0–$2/month — free cloud tiers, the user’s own Wi-Fi, no SIM costs in Phase 1.</w:t>
      </w:r>
    </w:p>
    <w:p>
      <w:pPr>
        <w:pStyle w:val="Heading2"/>
      </w:pPr>
      <w:r>
        <w:t xml:space="preserve">7.3 Unit economics and payback</w:t>
      </w:r>
    </w:p>
    <w:p>
      <w:pPr>
        <w:spacing w:after="120" w:line="276"/>
      </w:pPr>
      <w:r>
        <w:t xml:space="preserve">Monthly bills computed from the verified tiers: a 100 kWh home pays 29,530 RWF; a 200 kWh home pays 66,430 RWF. Anchoring on a conservative 10% saving: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2937" w:color="auto" w:val="clear"/>
            <w:tcMar>
              <w:top w:type="dxa" w:w="60"/>
              <w:left w:type="dxa" w:w="110"/>
              <w:bottom w:type="dxa" w:w="60"/>
              <w:right w:type="dxa" w:w="110"/>
            </w:tcMar>
          </w:tcPr>
          <w:p>
            <w:pPr>
              <w:spacing w:after="0" w:line="264"/>
            </w:pPr>
            <w:r>
              <w:rPr>
                <w:b/>
                <w:bCs/>
                <w:color w:val="FFFFFF"/>
                <w:sz w:val="20"/>
                <w:szCs w:val="20"/>
              </w:rPr>
              <w:t xml:space="preserve">Savings rate</w:t>
            </w:r>
          </w:p>
        </w:tc>
        <w:tc>
          <w:tcPr>
            <w:tcW w:type="dxa" w:w="3120"/>
            <w:tcBorders>
              <w:top w:val="single" w:color="CCCCCC" w:sz="1"/>
              <w:left w:val="single" w:color="CCCCCC" w:sz="1"/>
              <w:bottom w:val="single" w:color="CCCCCC" w:sz="1"/>
              <w:right w:val="single" w:color="CCCCCC" w:sz="1"/>
            </w:tcBorders>
            <w:shd w:fill="1F2937" w:color="auto" w:val="clear"/>
            <w:tcMar>
              <w:top w:type="dxa" w:w="60"/>
              <w:left w:type="dxa" w:w="110"/>
              <w:bottom w:type="dxa" w:w="60"/>
              <w:right w:type="dxa" w:w="110"/>
            </w:tcMar>
          </w:tcPr>
          <w:p>
            <w:pPr>
              <w:spacing w:after="0" w:line="264"/>
            </w:pPr>
            <w:r>
              <w:rPr>
                <w:b/>
                <w:bCs/>
                <w:color w:val="FFFFFF"/>
                <w:sz w:val="20"/>
                <w:szCs w:val="20"/>
              </w:rPr>
              <w:t xml:space="preserve">Core monitor (40,100)</w:t>
            </w:r>
          </w:p>
        </w:tc>
        <w:tc>
          <w:tcPr>
            <w:tcW w:type="dxa" w:w="3120"/>
            <w:tcBorders>
              <w:top w:val="single" w:color="CCCCCC" w:sz="1"/>
              <w:left w:val="single" w:color="CCCCCC" w:sz="1"/>
              <w:bottom w:val="single" w:color="CCCCCC" w:sz="1"/>
              <w:right w:val="single" w:color="CCCCCC" w:sz="1"/>
            </w:tcBorders>
            <w:shd w:fill="1F2937" w:color="auto" w:val="clear"/>
            <w:tcMar>
              <w:top w:type="dxa" w:w="60"/>
              <w:left w:type="dxa" w:w="110"/>
              <w:bottom w:type="dxa" w:w="60"/>
              <w:right w:type="dxa" w:w="110"/>
            </w:tcMar>
          </w:tcPr>
          <w:p>
            <w:pPr>
              <w:spacing w:after="0" w:line="264"/>
            </w:pPr>
            <w:r>
              <w:rPr>
                <w:b/>
                <w:bCs/>
                <w:color w:val="FFFFFF"/>
                <w:sz w:val="20"/>
                <w:szCs w:val="20"/>
              </w:rPr>
              <w:t xml:space="preserve">Full kit (69,100)</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~13.6 months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~23.4 months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15%</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~9.1 months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~15.6 months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20%</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~6.8 months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~11.7 months</w:t>
            </w:r>
          </w:p>
        </w:tc>
      </w:tr>
    </w:tbl>
    <w:p>
      <w:pPr>
        <w:spacing w:after="60"/>
      </w:pPr>
      <w:r>
        <w:t xml:space="preserve"/>
      </w:r>
    </w:p>
    <w:p>
      <w:pPr>
        <w:spacing w:after="120" w:line="276"/>
      </w:pPr>
      <w:r>
        <w:t xml:space="preserve">For a heavier 200 kWh home, the core monitor pays back in roughly six months even at 10%. Payback under 12 months for tier-crossers proves the beachhead economically rather than asserting it. The savings rate itself is shown as a sensitivity range, never a single fabricated figure.</w:t>
      </w:r>
    </w:p>
    <w:p>
      <w:pPr>
        <w:pStyle w:val="Heading2"/>
      </w:pPr>
      <w:r>
        <w:t xml:space="preserve">7.4 Funding pathway</w:t>
      </w:r>
    </w:p>
    <w:p>
      <w:pPr>
        <w:spacing w:after="120" w:line="276"/>
      </w:pPr>
      <w:r>
        <w:t xml:space="preserve">No money is needed to complete the capstone (free cloud, open-source, ALU resources); funding is for scaling. The lean ladder: a working demo → </w:t>
      </w:r>
      <w:r>
        <w:rPr>
          <w:b/>
          <w:bCs/>
        </w:rPr>
        <w:t xml:space="preserve">Hanga PitchFest</w:t>
      </w:r>
      <w:r>
        <w:t xml:space="preserve"> (Rwanda’s flagship competition, ~50M RWF top prize; RDB + MINICT + UNDP) → a first pilot → larger clean-energy grants (FEC 2026, UNDP Youth4Climate ~$30k, ClimaFii ~$70k, EEP Africa) → a small production run. Each rung needs only the proof from the one below.</w:t>
      </w:r>
    </w:p>
    <w:p>
      <w:pPr>
        <w:pStyle w:val="Heading1"/>
      </w:pPr>
      <w:r>
        <w:t xml:space="preserve">8. Regulation, Privacy &amp; Ethics</w:t>
      </w:r>
    </w:p>
    <w:p>
      <w:pPr>
        <w:pStyle w:val="Heading2"/>
      </w:pPr>
      <w:r>
        <w:t xml:space="preserve">8.1 Energy / installation</w:t>
      </w:r>
    </w:p>
    <w:p>
      <w:pPr>
        <w:pStyle w:val="ListParagraph"/>
        <w:numPr>
          <w:ilvl w:val="0"/>
          <w:numId w:val="2"/>
        </w:numPr>
        <w:spacing w:after="80" w:line="276"/>
      </w:pPr>
      <w:r>
        <w:rPr>
          <w:b/>
          <w:bCs/>
        </w:rPr>
        <w:t xml:space="preserve">Phase 1 is behind-the-meter and non-invasive</w:t>
      </w:r>
      <w:r>
        <w:t xml:space="preserve"> — the CT clamps around the household’s own conductor downstream of the meter; the utility meter and its seals are never touched. No utility permit is required for the device itself.</w:t>
      </w:r>
    </w:p>
    <w:p>
      <w:pPr>
        <w:pStyle w:val="ListParagraph"/>
        <w:numPr>
          <w:ilvl w:val="0"/>
          <w:numId w:val="2"/>
        </w:numPr>
        <w:spacing w:after="80" w:line="276"/>
      </w:pPr>
      <w:r>
        <w:t xml:space="preserve">Board-side installation should be done by a licensed electrician</w:t>
      </w:r>
      <w:r>
        <w:t xml:space="preserve"> (a general REG/RURA requirement for installation work); the smart plugs are plug-and-play.</w:t>
      </w:r>
    </w:p>
    <w:p>
      <w:pPr>
        <w:pStyle w:val="Heading2"/>
      </w:pPr>
      <w:r>
        <w:t xml:space="preserve">8.2 Data protection</w:t>
      </w:r>
    </w:p>
    <w:p>
      <w:pPr>
        <w:spacing w:after="120" w:line="276"/>
      </w:pPr>
      <w:r>
        <w:t xml:space="preserve">Household consumption data is personal data, so GridSense is a data controller under </w:t>
      </w:r>
      <w:r>
        <w:rPr>
          <w:b/>
          <w:bCs/>
        </w:rPr>
        <w:t xml:space="preserve">Law No. 058/2021</w:t>
      </w:r>
      <w:r>
        <w:t xml:space="preserve"> on the Protection of Personal Data and Privacy. Compliance is built in: registration with the National Cyber Security Authority (NCSA), explicit consent, encryption, and data minimization. Treating privacy as a first-class feature is also a credibility asset for the panel and for government validation.</w:t>
      </w:r>
    </w:p>
    <w:p>
      <w:pPr>
        <w:pStyle w:val="Heading2"/>
      </w:pPr>
      <w:r>
        <w:t xml:space="preserve">8.3 Honest open item</w:t>
      </w:r>
    </w:p>
    <w:p>
      <w:pPr>
        <w:spacing w:after="120" w:line="276"/>
      </w:pPr>
      <w:r>
        <w:t xml:space="preserve">REG tariffs are quoted VAT- and regulatory-fee-exclusive. Whether residential electricity is VAT-exempt or whether these are added to consumer bills should be confirmed; if added, real bills and savings are higher than modelled, so the payback figures here remain conservative.</w:t>
      </w:r>
    </w:p>
    <w:p>
      <w:pPr>
        <w:pStyle w:val="Heading1"/>
      </w:pPr>
      <w:r>
        <w:t xml:space="preserve">9. Risks &amp; Mitigations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5000"/>
      </w:tblGrid>
      <w:tr>
        <w:trPr>
          <w:tblHeader/>
        </w:trPr>
        <w:tc>
          <w:tcPr>
            <w:tcW w:type="dxa" w:w="4360"/>
            <w:tcBorders>
              <w:top w:val="single" w:color="CCCCCC" w:sz="1"/>
              <w:left w:val="single" w:color="CCCCCC" w:sz="1"/>
              <w:bottom w:val="single" w:color="CCCCCC" w:sz="1"/>
              <w:right w:val="single" w:color="CCCCCC" w:sz="1"/>
            </w:tcBorders>
            <w:shd w:fill="1F2937" w:color="auto" w:val="clear"/>
            <w:tcMar>
              <w:top w:type="dxa" w:w="60"/>
              <w:left w:type="dxa" w:w="110"/>
              <w:bottom w:type="dxa" w:w="60"/>
              <w:right w:type="dxa" w:w="110"/>
            </w:tcMar>
          </w:tcPr>
          <w:p>
            <w:pPr>
              <w:spacing w:after="0" w:line="264"/>
            </w:pPr>
            <w:r>
              <w:rPr>
                <w:b/>
                <w:bCs/>
                <w:color w:val="FFFFFF"/>
                <w:sz w:val="20"/>
                <w:szCs w:val="20"/>
              </w:rPr>
              <w:t xml:space="preserve">Risk</w:t>
            </w:r>
          </w:p>
        </w:tc>
        <w:tc>
          <w:tcPr>
            <w:tcW w:type="dxa" w:w="5000"/>
            <w:tcBorders>
              <w:top w:val="single" w:color="CCCCCC" w:sz="1"/>
              <w:left w:val="single" w:color="CCCCCC" w:sz="1"/>
              <w:bottom w:val="single" w:color="CCCCCC" w:sz="1"/>
              <w:right w:val="single" w:color="CCCCCC" w:sz="1"/>
            </w:tcBorders>
            <w:shd w:fill="1F2937" w:color="auto" w:val="clear"/>
            <w:tcMar>
              <w:top w:type="dxa" w:w="60"/>
              <w:left w:type="dxa" w:w="110"/>
              <w:bottom w:type="dxa" w:w="60"/>
              <w:right w:type="dxa" w:w="110"/>
            </w:tcMar>
          </w:tcPr>
          <w:p>
            <w:pPr>
              <w:spacing w:after="0" w:line="264"/>
            </w:pPr>
            <w:r>
              <w:rPr>
                <w:b/>
                <w:bCs/>
                <w:color w:val="FFFFFF"/>
                <w:sz w:val="20"/>
                <w:szCs w:val="20"/>
              </w:rPr>
              <w:t xml:space="preserve">Mitigation</w:t>
            </w:r>
          </w:p>
        </w:tc>
      </w:tr>
      <w:tr>
        <w:trPr>
          <w:tblHeader w:val="false"/>
        </w:trPr>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Actual savings % uncertain</w:t>
            </w:r>
          </w:p>
        </w:tc>
        <w:tc>
          <w:tcPr>
            <w:tcW w:type="dxa" w:w="5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Anchored on conservative 10% within cited 5–15% range; pilot will measure it directly</w:t>
            </w:r>
          </w:p>
        </w:tc>
      </w:tr>
      <w:tr>
        <w:trPr>
          <w:tblHeader w:val="false"/>
        </w:trPr>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Hardware funding (~$27–47/kit)</w:t>
            </w:r>
          </w:p>
        </w:tc>
        <w:tc>
          <w:tcPr>
            <w:tcW w:type="dxa" w:w="5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$0 capstone path; bench PoC if parts are free; Hanga/grants for scale</w:t>
            </w:r>
          </w:p>
        </w:tc>
      </w:tr>
      <w:tr>
        <w:trPr>
          <w:tblHeader w:val="false"/>
        </w:trPr>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Wi-Fi penetration in mass market</w:t>
            </w:r>
          </w:p>
        </w:tc>
        <w:tc>
          <w:tcPr>
            <w:tcW w:type="dxa" w:w="5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Beachhead chosen for connectivity; GSM/SMS planned for Phase 2</w:t>
            </w:r>
          </w:p>
        </w:tc>
      </w:tr>
      <w:tr>
        <w:trPr>
          <w:tblHeader w:val="false"/>
        </w:trPr>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Kinyarwanda translation quality</w:t>
            </w:r>
          </w:p>
        </w:tc>
        <w:tc>
          <w:tcPr>
            <w:tcW w:type="dxa" w:w="5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Shipped as labelled draft; native-speaker review before launch</w:t>
            </w:r>
          </w:p>
        </w:tc>
      </w:tr>
      <w:tr>
        <w:trPr>
          <w:tblHeader w:val="false"/>
        </w:trPr>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Hanga 2026 dates not yet published</w:t>
            </w:r>
          </w:p>
        </w:tc>
        <w:tc>
          <w:tcPr>
            <w:tcW w:type="dxa" w:w="5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20"/>
                <w:szCs w:val="20"/>
              </w:rPr>
              <w:t xml:space="preserve">Monitoring official channels; prototype-ready now</w:t>
            </w:r>
          </w:p>
        </w:tc>
      </w:tr>
    </w:tbl>
    <w:p>
      <w:pPr>
        <w:spacing w:after="60"/>
      </w:pPr>
      <w:r>
        <w:t xml:space="preserve"/>
      </w:r>
    </w:p>
    <w:p>
      <w:pPr>
        <w:spacing w:after="120" w:line="276"/>
      </w:pPr>
      <w:r>
        <w:t xml:space="preserve">Showing the gaps together with their mitigations is deliberate: it demonstrates rigor and earns trust, rather than pretending no gaps exist.</w:t>
      </w:r>
    </w:p>
    <w:p>
      <w:pPr>
        <w:pStyle w:val="Heading1"/>
      </w:pPr>
      <w:r>
        <w:t xml:space="preserve">10. Roadmap</w:t>
      </w:r>
    </w:p>
    <w:p>
      <w:pPr>
        <w:pStyle w:val="ListParagraph"/>
        <w:numPr>
          <w:ilvl w:val="0"/>
          <w:numId w:val="2"/>
        </w:numPr>
        <w:spacing w:after="80" w:line="276"/>
      </w:pPr>
      <w:r>
        <w:rPr>
          <w:b/>
          <w:bCs/>
        </w:rPr>
        <w:t xml:space="preserve">Phase 1 (now):</w:t>
      </w:r>
      <w:r>
        <w:t xml:space="preserve"> whole-home CT + ESP32 (Wi-Fi) + smart plugs; tariff-aware analytics, alerts, and rule-based recommendations; bilingual web app (demonstrated).</w:t>
      </w:r>
    </w:p>
    <w:p>
      <w:pPr>
        <w:pStyle w:val="ListParagraph"/>
        <w:numPr>
          <w:ilvl w:val="0"/>
          <w:numId w:val="2"/>
        </w:numPr>
        <w:spacing w:after="80" w:line="276"/>
      </w:pPr>
      <w:r>
        <w:rPr>
          <w:b/>
          <w:bCs/>
        </w:rPr>
        <w:t xml:space="preserve">Phase 2:</w:t>
      </w:r>
      <w:r>
        <w:t xml:space="preserve"> multi-circuit “by-area” monitoring at the distribution board (partner electrician); GSM connectivity; landlord sub-metering.</w:t>
      </w:r>
    </w:p>
    <w:p>
      <w:pPr>
        <w:pStyle w:val="ListParagraph"/>
        <w:numPr>
          <w:ilvl w:val="0"/>
          <w:numId w:val="2"/>
        </w:numPr>
        <w:spacing w:after="80" w:line="276"/>
      </w:pPr>
      <w:r>
        <w:rPr>
          <w:b/>
          <w:bCs/>
        </w:rPr>
        <w:t xml:space="preserve">Phase 3:</w:t>
      </w:r>
      <w:r>
        <w:t xml:space="preserve"> machine-learning forecasting → anomaly detection → appliance disaggregation (NILM) as data grows.</w:t>
      </w:r>
    </w:p>
    <w:p>
      <w:pPr>
        <w:pStyle w:val="Heading1"/>
      </w:pPr>
      <w:r>
        <w:t xml:space="preserve">11. Conclusion</w:t>
      </w:r>
    </w:p>
    <w:p>
      <w:pPr>
        <w:spacing w:after="120" w:line="276"/>
      </w:pPr>
      <w:r>
        <w:t xml:space="preserve">GridSense AI is a well-grounded response to a real, recent, and quantifiable problem in Rwanda. The concept survived a deliberate stress-test that reshaped its targeting toward customers for whom the economics genuinely work; the value proposition is supported by an established evidence base and by Rwanda’s own prepaid-metering experience; the design is feasible, with hardware priced locally and a working, tested, bilingual demonstration already built; and the business, regulatory, and ethical cases are documented and conservative. The remaining steps — a funded pilot to measure real savings and finalize localization — are clearly scoped. The system is ready to be defended, deployed, and grown.</w:t>
      </w:r>
    </w:p>
    <w:p>
      <w:pPr>
        <w:pStyle w:val="Heading1"/>
      </w:pPr>
      <w:r>
        <w:t xml:space="preserve">References &amp; Sources</w:t>
      </w:r>
    </w:p>
    <w:p>
      <w:pPr>
        <w:spacing w:after="120" w:line="276"/>
      </w:pPr>
      <w:r>
        <w:rPr>
          <w:b/>
          <w:bCs/>
        </w:rPr>
        <w:t xml:space="preserve">Tariffs &amp; sector: </w:t>
      </w:r>
      <w:hyperlink w:history="1" r:id="rId1ethusi8jhwnjcrss_gcq">
        <w:r>
          <w:rPr>
            <w:rStyle w:val="Hyperlink"/>
            <w:sz w:val="20"/>
            <w:szCs w:val="20"/>
          </w:rPr>
          <w:t xml:space="preserve">REG official tariffs</w:t>
        </w:r>
      </w:hyperlink>
      <w:r>
        <w:t xml:space="preserve">; </w:t>
      </w:r>
      <w:hyperlink w:history="1" r:id="rIdaadeqal5xblpdpwf5n5ja">
        <w:r>
          <w:rPr>
            <w:rStyle w:val="Hyperlink"/>
            <w:sz w:val="20"/>
            <w:szCs w:val="20"/>
          </w:rPr>
          <w:t xml:space="preserve">RURA Board Decision on End-User Tariffs (PDF)</w:t>
        </w:r>
      </w:hyperlink>
      <w:r>
        <w:t xml:space="preserve">; </w:t>
      </w:r>
      <w:hyperlink w:history="1" r:id="rIdvor4tguhyg1hkzspavrlk">
        <w:r>
          <w:rPr>
            <w:rStyle w:val="Hyperlink"/>
            <w:sz w:val="20"/>
            <w:szCs w:val="20"/>
          </w:rPr>
          <w:t xml:space="preserve">REG Electricity Access</w:t>
        </w:r>
      </w:hyperlink>
      <w:r>
        <w:t xml:space="preserve">; </w:t>
      </w:r>
      <w:hyperlink w:history="1" r:id="rId8nhiyop5tpa2dcagsfgf5">
        <w:r>
          <w:rPr>
            <w:rStyle w:val="Hyperlink"/>
            <w:sz w:val="20"/>
            <w:szCs w:val="20"/>
          </w:rPr>
          <w:t xml:space="preserve">Africa Energy Portal — REG smart meters</w:t>
        </w:r>
      </w:hyperlink>
      <w:r>
        <w:t xml:space="preserve">.</w:t>
      </w:r>
    </w:p>
    <w:p>
      <w:pPr>
        <w:spacing w:after="120" w:line="276"/>
      </w:pPr>
      <w:r>
        <w:rPr>
          <w:b/>
          <w:bCs/>
        </w:rPr>
        <w:t xml:space="preserve">Consumption &amp; market: </w:t>
      </w:r>
      <w:hyperlink w:history="1" r:id="rIderl4baq4gun80n7rgcbnf">
        <w:r>
          <w:rPr>
            <w:rStyle w:val="Hyperlink"/>
            <w:sz w:val="20"/>
            <w:szCs w:val="20"/>
          </w:rPr>
          <w:t xml:space="preserve">Frontiers (2023) — Kigali household consumption</w:t>
        </w:r>
      </w:hyperlink>
      <w:r>
        <w:t xml:space="preserve">; </w:t>
      </w:r>
      <w:hyperlink w:history="1" r:id="rIdccfwv1ttmj9nw-fja44cg">
        <w:r>
          <w:rPr>
            <w:rStyle w:val="Hyperlink"/>
            <w:sz w:val="20"/>
            <w:szCs w:val="20"/>
          </w:rPr>
          <w:t xml:space="preserve">World Bank — Rwanda electricity use</w:t>
        </w:r>
      </w:hyperlink>
      <w:r>
        <w:t xml:space="preserve">.</w:t>
      </w:r>
    </w:p>
    <w:p>
      <w:pPr>
        <w:spacing w:after="120" w:line="276"/>
      </w:pPr>
      <w:r>
        <w:rPr>
          <w:b/>
          <w:bCs/>
        </w:rPr>
        <w:t xml:space="preserve">Feedback-savings evidence: </w:t>
      </w:r>
      <w:hyperlink w:history="1" r:id="rIdli1_za0de0aczklrerfb8">
        <w:r>
          <w:rPr>
            <w:rStyle w:val="Hyperlink"/>
            <w:sz w:val="20"/>
            <w:szCs w:val="20"/>
          </w:rPr>
          <w:t xml:space="preserve">Darby (2006, Oxford/DEFRA)</w:t>
        </w:r>
      </w:hyperlink>
      <w:r>
        <w:t xml:space="preserve">; </w:t>
      </w:r>
      <w:hyperlink w:history="1" r:id="rIdemxnstwvdakgzuzrujidr">
        <w:r>
          <w:rPr>
            <w:rStyle w:val="Hyperlink"/>
            <w:sz w:val="20"/>
            <w:szCs w:val="20"/>
          </w:rPr>
          <w:t xml:space="preserve">ACEEE — Ehrhardt-Martinez et al. (2010)</w:t>
        </w:r>
      </w:hyperlink>
      <w:r>
        <w:t xml:space="preserve">; </w:t>
      </w:r>
      <w:hyperlink w:history="1" r:id="rIddheyrhecmhfoh26b0dwww">
        <w:r>
          <w:rPr>
            <w:rStyle w:val="Hyperlink"/>
            <w:sz w:val="20"/>
            <w:szCs w:val="20"/>
          </w:rPr>
          <w:t xml:space="preserve">Jack &amp; Smith — prepaid metering (NBER)</w:t>
        </w:r>
      </w:hyperlink>
      <w:r>
        <w:t xml:space="preserve">.</w:t>
      </w:r>
    </w:p>
    <w:p>
      <w:pPr>
        <w:spacing w:after="120" w:line="276"/>
      </w:pPr>
      <w:r>
        <w:rPr>
          <w:b/>
          <w:bCs/>
        </w:rPr>
        <w:t xml:space="preserve">Connectivity: </w:t>
      </w:r>
      <w:hyperlink w:history="1" r:id="rIdewixbnvzczi7bdgdkyhhb">
        <w:r>
          <w:rPr>
            <w:rStyle w:val="Hyperlink"/>
            <w:sz w:val="20"/>
            <w:szCs w:val="20"/>
          </w:rPr>
          <w:t xml:space="preserve">TechCabal — Rwanda 38% internet (2025)</w:t>
        </w:r>
      </w:hyperlink>
      <w:r>
        <w:t xml:space="preserve">; </w:t>
      </w:r>
      <w:hyperlink w:history="1" r:id="rIdmnd60nwo_6up1624slixq">
        <w:r>
          <w:rPr>
            <w:rStyle w:val="Hyperlink"/>
            <w:sz w:val="20"/>
            <w:szCs w:val="20"/>
          </w:rPr>
          <w:t xml:space="preserve">DataReportal — Digital 2025 Rwanda</w:t>
        </w:r>
      </w:hyperlink>
      <w:r>
        <w:t xml:space="preserve">.</w:t>
      </w:r>
    </w:p>
    <w:p>
      <w:pPr>
        <w:spacing w:after="120" w:line="276"/>
      </w:pPr>
      <w:r>
        <w:rPr>
          <w:b/>
          <w:bCs/>
        </w:rPr>
        <w:t xml:space="preserve">Hardware &amp; competitors: </w:t>
      </w:r>
      <w:hyperlink w:history="1" r:id="rIdlkovep68iujiryi1pvlew">
        <w:r>
          <w:rPr>
            <w:rStyle w:val="Hyperlink"/>
            <w:sz w:val="20"/>
            <w:szCs w:val="20"/>
          </w:rPr>
          <w:t xml:space="preserve">SoftTech Supply (Kigali)</w:t>
        </w:r>
      </w:hyperlink>
      <w:r>
        <w:t xml:space="preserve">; </w:t>
      </w:r>
      <w:hyperlink w:history="1" r:id="rIdu4raraoi4qcjtgwtytn9i">
        <w:r>
          <w:rPr>
            <w:rStyle w:val="Hyperlink"/>
            <w:sz w:val="20"/>
            <w:szCs w:val="20"/>
          </w:rPr>
          <w:t xml:space="preserve">Hills Electronics (Kigali)</w:t>
        </w:r>
      </w:hyperlink>
      <w:r>
        <w:t xml:space="preserve">; </w:t>
      </w:r>
      <w:hyperlink w:history="1" r:id="rIdxinhmobyflhquax5grdbq">
        <w:r>
          <w:rPr>
            <w:rStyle w:val="Hyperlink"/>
            <w:sz w:val="20"/>
            <w:szCs w:val="20"/>
          </w:rPr>
          <w:t xml:space="preserve">ESP32 + SCT-013 reference build</w:t>
        </w:r>
      </w:hyperlink>
      <w:r>
        <w:t xml:space="preserve">; </w:t>
      </w:r>
      <w:hyperlink w:history="1" r:id="rId1ygwmh95piqv1xnpgledq">
        <w:r>
          <w:rPr>
            <w:rStyle w:val="Hyperlink"/>
            <w:sz w:val="20"/>
            <w:szCs w:val="20"/>
          </w:rPr>
          <w:t xml:space="preserve">Best home energy monitors (2026)</w:t>
        </w:r>
      </w:hyperlink>
      <w:r>
        <w:t xml:space="preserve">.</w:t>
      </w:r>
    </w:p>
    <w:p>
      <w:pPr>
        <w:spacing w:after="120" w:line="276"/>
      </w:pPr>
      <w:r>
        <w:rPr>
          <w:b/>
          <w:bCs/>
        </w:rPr>
        <w:t xml:space="preserve">Regulation: </w:t>
      </w:r>
      <w:hyperlink w:history="1" r:id="rId-dcyc6nrzykp4er12ytzy">
        <w:r>
          <w:rPr>
            <w:rStyle w:val="Hyperlink"/>
            <w:sz w:val="20"/>
            <w:szCs w:val="20"/>
          </w:rPr>
          <w:t xml:space="preserve">Law 058/2021 (RwandaLII)</w:t>
        </w:r>
      </w:hyperlink>
      <w:r>
        <w:t xml:space="preserve">; </w:t>
      </w:r>
      <w:hyperlink w:history="1" r:id="rId1cp2tmmbcm0pxns9wtnfc">
        <w:r>
          <w:rPr>
            <w:rStyle w:val="Hyperlink"/>
            <w:sz w:val="20"/>
            <w:szCs w:val="20"/>
          </w:rPr>
          <w:t xml:space="preserve">RISA — Data Protection</w:t>
        </w:r>
      </w:hyperlink>
      <w:r>
        <w:t xml:space="preserve">; </w:t>
      </w:r>
      <w:hyperlink w:history="1" r:id="rId6wbchy5evscgqofecnr37">
        <w:r>
          <w:rPr>
            <w:rStyle w:val="Hyperlink"/>
            <w:sz w:val="20"/>
            <w:szCs w:val="20"/>
          </w:rPr>
          <w:t xml:space="preserve">REG — installation safety</w:t>
        </w:r>
      </w:hyperlink>
      <w:r>
        <w:t xml:space="preserve">.</w:t>
      </w:r>
    </w:p>
    <w:p>
      <w:pPr>
        <w:spacing w:after="120" w:line="276"/>
      </w:pPr>
      <w:r>
        <w:rPr>
          <w:b/>
          <w:bCs/>
        </w:rPr>
        <w:t xml:space="preserve">Funding: </w:t>
      </w:r>
      <w:hyperlink w:history="1" r:id="rIdfe6ifd-pulr6joxriqc7x">
        <w:r>
          <w:rPr>
            <w:rStyle w:val="Hyperlink"/>
            <w:sz w:val="20"/>
            <w:szCs w:val="20"/>
          </w:rPr>
          <w:t xml:space="preserve">Hanga PitchFest</w:t>
        </w:r>
      </w:hyperlink>
      <w:r>
        <w:t xml:space="preserve">; </w:t>
      </w:r>
      <w:hyperlink w:history="1" r:id="rId_xdfvq2qhbiathgunsng2">
        <w:r>
          <w:rPr>
            <w:rStyle w:val="Hyperlink"/>
            <w:sz w:val="20"/>
            <w:szCs w:val="20"/>
          </w:rPr>
          <w:t xml:space="preserve">FEC 2026 Innovation Challenge</w:t>
        </w:r>
      </w:hyperlink>
      <w:r>
        <w:t xml:space="preserve">; </w:t>
      </w:r>
      <w:hyperlink w:history="1" r:id="rIdq90biqqxemnjk8i9hr1pe">
        <w:r>
          <w:rPr>
            <w:rStyle w:val="Hyperlink"/>
            <w:sz w:val="20"/>
            <w:szCs w:val="20"/>
          </w:rPr>
          <w:t xml:space="preserve">StartupMap Africa — Rwanda</w:t>
        </w:r>
      </w:hyperlink>
      <w:r>
        <w:t xml:space="preserve">.</w:t>
      </w:r>
    </w:p>
    <w:p>
      <w:pPr>
        <w:spacing w:after="60"/>
      </w:pPr>
      <w:r>
        <w:t xml:space="preserve"/>
      </w:r>
    </w:p>
    <w:p>
      <w:pPr>
        <w:spacing w:after="120" w:line="276"/>
      </w:pPr>
      <w:r>
        <w:rPr>
          <w:i/>
          <w:iCs/>
          <w:color w:val="606060"/>
          <w:sz w:val="18"/>
          <w:szCs w:val="18"/>
        </w:rPr>
        <w:t xml:space="preserve">Full citations, the decision log, and the working demonstration are maintained in the project repository (research-findings.md, evidence-and-validation.md, capex-opex.md, fundraising-plan.md, and the 05-build dashboard).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808080"/>
        <w:sz w:val="16"/>
        <w:szCs w:val="16"/>
      </w:rPr>
      <w:t xml:space="preserve">Tesi Songa Kelia · African Leadership University · </w:t>
    </w: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spacing w:after="0"/>
      <w:jc w:val="right"/>
    </w:pPr>
    <w:r>
      <w:rPr>
        <w:color w:val="808080"/>
        <w:sz w:val="16"/>
        <w:szCs w:val="16"/>
      </w:rPr>
      <w:t xml:space="preserve">GridSense AI · Capstone Submission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0B0F17"/>
      <w:sz w:val="56"/>
      <w:szCs w:val="56"/>
    </w:rPr>
  </w:style>
  <w:style w:type="paragraph" w:styleId="Heading1">
    <w:name w:val="Heading 1"/>
    <w:basedOn w:val="Normal"/>
    <w:next w:val="Normal"/>
    <w:qFormat/>
    <w:pPr>
      <w:pBdr>
        <w:bottom w:val="single" w:color="0B7A4B" w:sz="6" w:space="4"/>
      </w:pBdr>
      <w:spacing w:after="160" w:before="320"/>
      <w:outlineLvl w:val="0"/>
    </w:pPr>
    <w:rPr>
      <w:rFonts w:ascii="Arial" w:cs="Arial" w:eastAsia="Arial" w:hAnsi="Arial"/>
      <w:b/>
      <w:bCs/>
      <w:color w:val="0B7A4B"/>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2937"/>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ethusi8jhwnjcrss_gcq" Type="http://schemas.openxmlformats.org/officeDocument/2006/relationships/hyperlink" Target="https://www.reg.rw/customer-service/tariffs/" TargetMode="External"/><Relationship Id="rIdaadeqal5xblpdpwf5n5ja" Type="http://schemas.openxmlformats.org/officeDocument/2006/relationships/hyperlink" Target="https://rura.rw/fileadmin/Documents/Energy/BoardDecisions/Board_Decision_on_Electricity_End_User_Tariffs_in_Rwanda.pdf" TargetMode="External"/><Relationship Id="rIdvor4tguhyg1hkzspavrlk" Type="http://schemas.openxmlformats.org/officeDocument/2006/relationships/hyperlink" Target="https://www.reg.rw/what-we-do/access/" TargetMode="External"/><Relationship Id="rId8nhiyop5tpa2dcagsfgf5" Type="http://schemas.openxmlformats.org/officeDocument/2006/relationships/hyperlink" Target="https://africa-energy-portal.org/news/rwanda-reg-install-smart-metres-curb-electricity-theft" TargetMode="External"/><Relationship Id="rIderl4baq4gun80n7rgcbnf" Type="http://schemas.openxmlformats.org/officeDocument/2006/relationships/hyperlink" Target="https://www.frontiersin.org/journals/sustainable-cities/articles/10.3389/frsc.2023.1130758/full" TargetMode="External"/><Relationship Id="rIdccfwv1ttmj9nw-fja44cg" Type="http://schemas.openxmlformats.org/officeDocument/2006/relationships/hyperlink" Target="https://data.worldbank.org/indicator/EG.USE.ELEC.KH.PC?locations=RW" TargetMode="External"/><Relationship Id="rIdli1_za0de0aczklrerfb8" Type="http://schemas.openxmlformats.org/officeDocument/2006/relationships/hyperlink" Target="https://smartgridawareness.org/wp-content/uploads/2016/05/effectiveness-of-feedback-on-energy-consumption-darby-2006.pdf" TargetMode="External"/><Relationship Id="rIdemxnstwvdakgzuzrujidr" Type="http://schemas.openxmlformats.org/officeDocument/2006/relationships/hyperlink" Target="https://www.aceee.org/sites/default/files/publications/researchreports/b122.pdf" TargetMode="External"/><Relationship Id="rIddheyrhecmhfoh26b0dwww" Type="http://schemas.openxmlformats.org/officeDocument/2006/relationships/hyperlink" Target="https://www.nber.org/system/files/working_papers/w22895/w22895.pdf" TargetMode="External"/><Relationship Id="rIdewixbnvzczi7bdgdkyhhb" Type="http://schemas.openxmlformats.org/officeDocument/2006/relationships/hyperlink" Target="https://techcabal.com/2025/06/12/rwanda-internet-penetration-rate/" TargetMode="External"/><Relationship Id="rIdmnd60nwo_6up1624slixq" Type="http://schemas.openxmlformats.org/officeDocument/2006/relationships/hyperlink" Target="https://datareportal.com/reports/digital-2025-rwanda" TargetMode="External"/><Relationship Id="rIdlkovep68iujiryi1pvlew" Type="http://schemas.openxmlformats.org/officeDocument/2006/relationships/hyperlink" Target="https://www.softechsupply.com/shop" TargetMode="External"/><Relationship Id="rIdu4raraoi4qcjtgwtytn9i" Type="http://schemas.openxmlformats.org/officeDocument/2006/relationships/hyperlink" Target="https://hillselectronics.rw/product-category/development-boards/" TargetMode="External"/><Relationship Id="rIdxinhmobyflhquax5grdbq" Type="http://schemas.openxmlformats.org/officeDocument/2006/relationships/hyperlink" Target="https://simplyexplained.com/blog/Home-Energy-Monitor-ESP32-CT-Sensor-Emonlib/" TargetMode="External"/><Relationship Id="rId1ygwmh95piqv1xnpgledq" Type="http://schemas.openxmlformats.org/officeDocument/2006/relationships/hyperlink" Target="https://earthlyours.com/best-home-energy-monitors-2026/" TargetMode="External"/><Relationship Id="rId-dcyc6nrzykp4er12ytzy" Type="http://schemas.openxmlformats.org/officeDocument/2006/relationships/hyperlink" Target="https://rwandalii.org/akn/rw/act/law/2021/58/eng@2021-10-15" TargetMode="External"/><Relationship Id="rId1cp2tmmbcm0pxns9wtnfc" Type="http://schemas.openxmlformats.org/officeDocument/2006/relationships/hyperlink" Target="https://www.risa.gov.rw/data-protection-and-privacy-law" TargetMode="External"/><Relationship Id="rId6wbchy5evscgqofecnr37" Type="http://schemas.openxmlformats.org/officeDocument/2006/relationships/hyperlink" Target="https://www.reg.rw/media-center/news-details/news/important-safety-precautions-on-electrical-installation/" TargetMode="External"/><Relationship Id="rIdfe6ifd-pulr6joxriqc7x" Type="http://schemas.openxmlformats.org/officeDocument/2006/relationships/hyperlink" Target="https://www.hangapitchfest.rw/" TargetMode="External"/><Relationship Id="rId_xdfvq2qhbiathgunsng2" Type="http://schemas.openxmlformats.org/officeDocument/2006/relationships/hyperlink" Target="https://opportunitiesforyouth.org/2026/05/26/fec-2026-innovation-challenge-funding-and-scaling-africas-next-generation-of-clean-energy-innovators/" TargetMode="External"/><Relationship Id="rIdq90biqqxemnjk8i9hr1pe" Type="http://schemas.openxmlformats.org/officeDocument/2006/relationships/hyperlink" Target="https://startupmapafrica.com/funding/country/rwanda"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GridSense AI — Capstone Submission Report</dc:title>
  <dc:creator>Tesi Songa Kelia</dc:creator>
  <cp:lastModifiedBy>Un-named</cp:lastModifiedBy>
  <cp:revision>1</cp:revision>
  <dcterms:created xsi:type="dcterms:W3CDTF">2026-06-21T23:52:01.890Z</dcterms:created>
  <dcterms:modified xsi:type="dcterms:W3CDTF">2026-06-21T23:52:01.894Z</dcterms:modified>
</cp:coreProperties>
</file>

<file path=docProps/custom.xml><?xml version="1.0" encoding="utf-8"?>
<Properties xmlns="http://schemas.openxmlformats.org/officeDocument/2006/custom-properties" xmlns:vt="http://schemas.openxmlformats.org/officeDocument/2006/docPropsVTypes"/>
</file>