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39.png" ContentType="image/png"/>
  <Override PartName="/word/media/rId42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TKlamp TK2303D User Manual</w:t>
      </w:r>
    </w:p>
    <w:p>
      <w:pPr>
        <w:pStyle w:val="Author"/>
      </w:pPr>
      <w:r>
        <w:t xml:space="preserve">© 2024 TKlamp</w:t>
      </w:r>
    </w:p>
    <w:p>
      <w:pPr>
        <w:pStyle w:val="Date"/>
      </w:pPr>
      <w:r>
        <w:t xml:space="preserve">2024-09-25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tklamp-lighting-tester-docs"/>
    <w:p>
      <w:pPr>
        <w:pStyle w:val="Heading1"/>
      </w:pPr>
      <w:r>
        <w:t xml:space="preserve">TKlamp Lighting Tester Docs</w:t>
      </w:r>
    </w:p>
    <w:p>
      <w:pPr>
        <w:pStyle w:val="FirstParagraph"/>
      </w:pPr>
      <w:r>
        <w:t xml:space="preserve">TKlamp Flashlight Tester is a specialized lighting meter designed to measure</w:t>
      </w:r>
      <w:r>
        <w:t xml:space="preserve"> </w:t>
      </w:r>
      <w:r>
        <w:t xml:space="preserve">lumen, candela and lux values of flashlights.</w:t>
      </w:r>
    </w:p>
    <w:p>
      <w:pPr>
        <w:pStyle w:val="BodyText"/>
      </w:pPr>
      <w:r>
        <w:t xml:space="preserve">The TK2303D model offers data logging capabilities, allowing users to transfer</w:t>
      </w:r>
      <w:r>
        <w:t xml:space="preserve"> </w:t>
      </w:r>
      <w:r>
        <w:t xml:space="preserve">measurement data to a PC for further analysis. This repository contains a</w:t>
      </w:r>
      <w:r>
        <w:t xml:space="preserve"> </w:t>
      </w:r>
      <w:r>
        <w:t xml:space="preserve">quickstart guide to exporting data from TK2303D, a detailed user manual and</w:t>
      </w:r>
      <w:r>
        <w:t xml:space="preserve"> </w:t>
      </w:r>
      <w:r>
        <w:t xml:space="preserve">serial data specifications.</w:t>
      </w:r>
    </w:p>
    <w:p>
      <w:pPr>
        <w:pStyle w:val="BodyText"/>
      </w:pPr>
      <w:r>
        <w:t xml:space="preserve">If you are instead looking for:</w:t>
      </w:r>
    </w:p>
    <w:p>
      <w:pPr>
        <w:pStyle w:val="BodyText"/>
      </w:pPr>
      <w:r>
        <w:t xml:space="preserve">TKlamp Lighting Testers, visit</w:t>
      </w:r>
      <w:r>
        <w:t xml:space="preserve"> </w:t>
      </w:r>
      <w:hyperlink r:id="rId20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BodyText"/>
      </w:pPr>
      <w:r>
        <w:t xml:space="preserve">Purchasing TKlamp Tester, visit</w:t>
      </w:r>
      <w:r>
        <w:t xml:space="preserve"> </w:t>
      </w:r>
      <w:hyperlink r:id="rId21">
        <w:r>
          <w:rPr>
            <w:rStyle w:val="Hyperlink"/>
          </w:rPr>
          <w:t xml:space="preserve">online store</w:t>
        </w:r>
      </w:hyperlink>
      <w:r>
        <w:t xml:space="preserve">.</w:t>
      </w:r>
    </w:p>
    <w:bookmarkStart w:id="25" w:name="documentations"/>
    <w:p>
      <w:pPr>
        <w:pStyle w:val="Heading2"/>
      </w:pPr>
      <w:r>
        <w:t xml:space="preserve">Documentations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Data Logging Tutorial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Quickstart guide to exporting data to PC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User Manual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Serial Data Specifications</w:t>
        </w:r>
      </w:hyperlink>
      <w:r>
        <w:t xml:space="preserve"> </w:t>
      </w:r>
      <w:r>
        <w:t xml:space="preserve">- How to</w:t>
      </w:r>
      <w:r>
        <w:t xml:space="preserve"> </w:t>
      </w:r>
      <w:r>
        <w:t xml:space="preserve">interprent raw serial data from UBS serial port</w:t>
      </w:r>
    </w:p>
    <w:bookmarkEnd w:id="25"/>
    <w:bookmarkStart w:id="27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To make contributions, join</w:t>
      </w:r>
      <w:r>
        <w:t xml:space="preserve"> </w:t>
      </w:r>
      <w:hyperlink r:id="rId26">
        <w:r>
          <w:rPr>
            <w:rStyle w:val="Hyperlink"/>
          </w:rPr>
          <w:t xml:space="preserve">Discord</w:t>
        </w:r>
      </w:hyperlink>
      <w:r>
        <w:t xml:space="preserve">.</w:t>
      </w:r>
    </w:p>
    <w:p>
      <w:pPr>
        <w:pStyle w:val="BodyText"/>
      </w:pPr>
      <w:r>
        <w:t xml:space="preserve">To suggest any changes in the repos, use pull request or Discord.</w:t>
      </w:r>
    </w:p>
    <w:bookmarkEnd w:id="27"/>
    <w:bookmarkEnd w:id="28"/>
    <w:bookmarkStart w:id="58" w:name="tk2303d-specifications"/>
    <w:p>
      <w:pPr>
        <w:pStyle w:val="Heading1"/>
      </w:pPr>
      <w:r>
        <w:t xml:space="preserve">TK2303D Specifications</w:t>
      </w:r>
    </w:p>
    <w:bookmarkStart w:id="29" w:name="table-of-content"/>
    <w:p>
      <w:pPr>
        <w:pStyle w:val="Heading2"/>
      </w:pPr>
      <w:r>
        <w:t xml:space="preserve">Table of Content</w:t>
      </w:r>
    </w:p>
    <w:p>
      <w:pPr>
        <w:pStyle w:val="Compact"/>
        <w:numPr>
          <w:ilvl w:val="0"/>
          <w:numId w:val="1002"/>
        </w:numPr>
      </w:pPr>
      <w:hyperlink w:anchor="measurements--range">
        <w:r>
          <w:rPr>
            <w:rStyle w:val="Hyperlink"/>
          </w:rPr>
          <w:t xml:space="preserve">Measurements &amp; Range</w:t>
        </w:r>
      </w:hyperlink>
    </w:p>
    <w:p>
      <w:pPr>
        <w:pStyle w:val="Compact"/>
        <w:numPr>
          <w:ilvl w:val="0"/>
          <w:numId w:val="1002"/>
        </w:numPr>
      </w:pPr>
      <w:hyperlink w:anchor="resolution">
        <w:r>
          <w:rPr>
            <w:rStyle w:val="Hyperlink"/>
          </w:rPr>
          <w:t xml:space="preserve">Resolution</w:t>
        </w:r>
      </w:hyperlink>
    </w:p>
    <w:p>
      <w:pPr>
        <w:pStyle w:val="Compact"/>
        <w:numPr>
          <w:ilvl w:val="0"/>
          <w:numId w:val="1002"/>
        </w:numPr>
      </w:pPr>
      <w:hyperlink w:anchor="live-plotting">
        <w:r>
          <w:rPr>
            <w:rStyle w:val="Hyperlink"/>
          </w:rPr>
          <w:t xml:space="preserve">Live Plotting</w:t>
        </w:r>
      </w:hyperlink>
    </w:p>
    <w:p>
      <w:pPr>
        <w:pStyle w:val="Compact"/>
        <w:numPr>
          <w:ilvl w:val="0"/>
          <w:numId w:val="1002"/>
        </w:numPr>
      </w:pPr>
      <w:hyperlink w:anchor="sensor-sampling-time-interval">
        <w:r>
          <w:rPr>
            <w:rStyle w:val="Hyperlink"/>
          </w:rPr>
          <w:t xml:space="preserve">Sensor sampling time interval</w:t>
        </w:r>
      </w:hyperlink>
    </w:p>
    <w:p>
      <w:pPr>
        <w:pStyle w:val="Compact"/>
        <w:numPr>
          <w:ilvl w:val="0"/>
          <w:numId w:val="1002"/>
        </w:numPr>
      </w:pPr>
      <w:hyperlink w:anchor="lux-and-candela-measurement">
        <w:r>
          <w:rPr>
            <w:rStyle w:val="Hyperlink"/>
          </w:rPr>
          <w:t xml:space="preserve">Lux and Candela Measurement</w:t>
        </w:r>
      </w:hyperlink>
    </w:p>
    <w:p>
      <w:pPr>
        <w:pStyle w:val="Compact"/>
        <w:numPr>
          <w:ilvl w:val="0"/>
          <w:numId w:val="1002"/>
        </w:numPr>
      </w:pPr>
      <w:hyperlink w:anchor="wavelength">
        <w:r>
          <w:rPr>
            <w:rStyle w:val="Hyperlink"/>
          </w:rPr>
          <w:t xml:space="preserve">Wavelength</w:t>
        </w:r>
      </w:hyperlink>
    </w:p>
    <w:p>
      <w:pPr>
        <w:pStyle w:val="Compact"/>
        <w:numPr>
          <w:ilvl w:val="0"/>
          <w:numId w:val="1002"/>
        </w:numPr>
      </w:pPr>
      <w:hyperlink w:anchor="data-logging-and-transfer">
        <w:r>
          <w:rPr>
            <w:rStyle w:val="Hyperlink"/>
          </w:rPr>
          <w:t xml:space="preserve">Data Logging and Transfer</w:t>
        </w:r>
      </w:hyperlink>
    </w:p>
    <w:p>
      <w:pPr>
        <w:pStyle w:val="Compact"/>
        <w:numPr>
          <w:ilvl w:val="0"/>
          <w:numId w:val="1002"/>
        </w:numPr>
      </w:pPr>
      <w:hyperlink w:anchor="timer">
        <w:r>
          <w:rPr>
            <w:rStyle w:val="Hyperlink"/>
          </w:rPr>
          <w:t xml:space="preserve">Timer</w:t>
        </w:r>
      </w:hyperlink>
    </w:p>
    <w:p>
      <w:pPr>
        <w:pStyle w:val="Compact"/>
        <w:numPr>
          <w:ilvl w:val="0"/>
          <w:numId w:val="1002"/>
        </w:numPr>
      </w:pPr>
      <w:hyperlink w:anchor="power-supply">
        <w:r>
          <w:rPr>
            <w:rStyle w:val="Hyperlink"/>
          </w:rPr>
          <w:t xml:space="preserve">Power Supply</w:t>
        </w:r>
      </w:hyperlink>
    </w:p>
    <w:p>
      <w:pPr>
        <w:pStyle w:val="Compact"/>
        <w:numPr>
          <w:ilvl w:val="0"/>
          <w:numId w:val="1002"/>
        </w:numPr>
      </w:pPr>
      <w:hyperlink w:anchor="dimensions">
        <w:r>
          <w:rPr>
            <w:rStyle w:val="Hyperlink"/>
          </w:rPr>
          <w:t xml:space="preserve">Dimensions</w:t>
        </w:r>
      </w:hyperlink>
    </w:p>
    <w:bookmarkEnd w:id="29"/>
    <w:bookmarkStart w:id="30" w:name="measurements-range"/>
    <w:p>
      <w:pPr>
        <w:pStyle w:val="Heading2"/>
      </w:pPr>
      <w:r>
        <w:t xml:space="preserve">Measurements &amp; Range</w:t>
      </w:r>
    </w:p>
    <w:p>
      <w:pPr>
        <w:pStyle w:val="Compact"/>
        <w:numPr>
          <w:ilvl w:val="0"/>
          <w:numId w:val="1003"/>
        </w:numPr>
      </w:pPr>
      <w:r>
        <w:t xml:space="preserve">Luminous flux. Range: 0-25,000 lm</w:t>
      </w:r>
    </w:p>
    <w:p>
      <w:pPr>
        <w:pStyle w:val="Compact"/>
        <w:numPr>
          <w:ilvl w:val="0"/>
          <w:numId w:val="1003"/>
        </w:numPr>
      </w:pPr>
      <w:r>
        <w:t xml:space="preserve">Luminous intensity. Range: 0-6,500,000 cd</w:t>
      </w:r>
    </w:p>
    <w:p>
      <w:pPr>
        <w:pStyle w:val="Compact"/>
        <w:numPr>
          <w:ilvl w:val="0"/>
          <w:numId w:val="1003"/>
        </w:numPr>
      </w:pPr>
      <w:r>
        <w:t xml:space="preserve">Illuminance. Range: 0-250,000 lux</w:t>
      </w:r>
    </w:p>
    <w:bookmarkEnd w:id="30"/>
    <w:bookmarkStart w:id="31" w:name="resolution"/>
    <w:p>
      <w:pPr>
        <w:pStyle w:val="Heading2"/>
      </w:pPr>
      <w:r>
        <w:t xml:space="preserve">Resolution</w:t>
      </w:r>
    </w:p>
    <w:p>
      <w:pPr>
        <w:pStyle w:val="Compact"/>
        <w:numPr>
          <w:ilvl w:val="0"/>
          <w:numId w:val="1004"/>
        </w:numPr>
      </w:pPr>
      <w:r>
        <w:t xml:space="preserve">Live reading and plotting: 1lm/1cd/1lux</w:t>
      </w:r>
    </w:p>
    <w:p>
      <w:pPr>
        <w:pStyle w:val="Compact"/>
        <w:numPr>
          <w:ilvl w:val="0"/>
          <w:numId w:val="1004"/>
        </w:numPr>
      </w:pPr>
      <w:r>
        <w:t xml:space="preserve">Data logging: 1lm. cd and lux x1/x10/x100</w:t>
      </w:r>
    </w:p>
    <w:p>
      <w:pPr>
        <w:pStyle w:val="FirstParagraph"/>
      </w:pPr>
      <w:r>
        <w:t xml:space="preserve">Select cd/lux multiplier in settings based on estimated value:</w:t>
      </w:r>
    </w:p>
    <w:p>
      <w:pPr>
        <w:pStyle w:val="Compact"/>
        <w:numPr>
          <w:ilvl w:val="0"/>
          <w:numId w:val="1005"/>
        </w:numPr>
      </w:pPr>
      <w:r>
        <w:t xml:space="preserve">cd/lux &lt; 65,535: select x1. (Max value: 65,535. Resolution 1 cd/lux)</w:t>
      </w:r>
    </w:p>
    <w:p>
      <w:pPr>
        <w:pStyle w:val="Compact"/>
        <w:numPr>
          <w:ilvl w:val="0"/>
          <w:numId w:val="1005"/>
        </w:numPr>
      </w:pPr>
      <w:r>
        <w:t xml:space="preserve">65,535 &lt;= cd/lux &lt; 655,350: select x10 resolution (Max value: 655,350.</w:t>
      </w:r>
      <w:r>
        <w:t xml:space="preserve"> </w:t>
      </w:r>
      <w:r>
        <w:t xml:space="preserve">Resolution 10 cd/lux )</w:t>
      </w:r>
    </w:p>
    <w:p>
      <w:pPr>
        <w:pStyle w:val="Compact"/>
        <w:numPr>
          <w:ilvl w:val="0"/>
          <w:numId w:val="1005"/>
        </w:numPr>
      </w:pPr>
      <w:r>
        <w:t xml:space="preserve">cd/lux &gt;= 655,350: select x100 resolution (Max value: 6,553,500.</w:t>
      </w:r>
      <w:r>
        <w:t xml:space="preserve"> </w:t>
      </w:r>
      <w:r>
        <w:t xml:space="preserve">Resolution 100 cd/lux)</w:t>
      </w:r>
    </w:p>
    <w:p>
      <w:pPr>
        <w:pStyle w:val="BlockText"/>
      </w:pPr>
      <w:r>
        <w:t xml:space="preserve">This is because log data is stored and transferred in 2 bytes, which can</w:t>
      </w:r>
      <w:r>
        <w:t xml:space="preserve"> </w:t>
      </w:r>
      <w:r>
        <w:t xml:space="preserve">only represent up to 65,535 in value.</w:t>
      </w:r>
    </w:p>
    <w:bookmarkEnd w:id="31"/>
    <w:bookmarkStart w:id="32" w:name="live-plotting"/>
    <w:p>
      <w:pPr>
        <w:pStyle w:val="Heading2"/>
      </w:pPr>
      <w:r>
        <w:t xml:space="preserve">Live Plotting</w:t>
      </w:r>
    </w:p>
    <w:p>
      <w:pPr>
        <w:pStyle w:val="Compact"/>
        <w:numPr>
          <w:ilvl w:val="0"/>
          <w:numId w:val="1006"/>
        </w:numPr>
      </w:pPr>
      <w:r>
        <w:t xml:space="preserve">Lumen/Candela/Lux each has 600 sampling data points</w:t>
      </w:r>
    </w:p>
    <w:p>
      <w:pPr>
        <w:pStyle w:val="Compact"/>
        <w:numPr>
          <w:ilvl w:val="0"/>
          <w:numId w:val="1006"/>
        </w:numPr>
      </w:pPr>
      <w:r>
        <w:t xml:space="preserve">Sampling time: adjustable between 0.2s - 60.0s</w:t>
      </w:r>
    </w:p>
    <w:p>
      <w:pPr>
        <w:pStyle w:val="Compact"/>
        <w:numPr>
          <w:ilvl w:val="0"/>
          <w:numId w:val="1006"/>
        </w:numPr>
      </w:pPr>
      <w:r>
        <w:t xml:space="preserve">Maximum logging time: 600 mins (10 hrs)</w:t>
      </w:r>
    </w:p>
    <w:bookmarkEnd w:id="32"/>
    <w:bookmarkStart w:id="33" w:name="sensor-sampling-time-interval"/>
    <w:p>
      <w:pPr>
        <w:pStyle w:val="Heading2"/>
      </w:pPr>
      <w:r>
        <w:t xml:space="preserve">Sensor sampling time interval</w:t>
      </w:r>
    </w:p>
    <w:p>
      <w:pPr>
        <w:pStyle w:val="Compact"/>
        <w:numPr>
          <w:ilvl w:val="0"/>
          <w:numId w:val="1007"/>
        </w:numPr>
      </w:pPr>
      <w:r>
        <w:t xml:space="preserve">Sensor sampling time interval: 150ms</w:t>
      </w:r>
    </w:p>
    <w:p>
      <w:pPr>
        <w:pStyle w:val="Compact"/>
        <w:numPr>
          <w:ilvl w:val="0"/>
          <w:numId w:val="1007"/>
        </w:numPr>
      </w:pPr>
      <w:r>
        <w:t xml:space="preserve">Sampling rate: ~6.6 times per second.</w:t>
      </w:r>
    </w:p>
    <w:bookmarkEnd w:id="33"/>
    <w:bookmarkStart w:id="34" w:name="lux-and-candela-measurement"/>
    <w:p>
      <w:pPr>
        <w:pStyle w:val="Heading2"/>
      </w:pPr>
      <w:r>
        <w:t xml:space="preserve">Lux and Candela Measurement</w:t>
      </w:r>
    </w:p>
    <w:p>
      <w:pPr>
        <w:pStyle w:val="Compact"/>
        <w:numPr>
          <w:ilvl w:val="0"/>
          <w:numId w:val="1008"/>
        </w:numPr>
      </w:pPr>
      <w:r>
        <w:t xml:space="preserve">Distance to surface range: 1-10m</w:t>
      </w:r>
    </w:p>
    <w:p>
      <w:pPr>
        <w:pStyle w:val="Compact"/>
        <w:numPr>
          <w:ilvl w:val="0"/>
          <w:numId w:val="1008"/>
        </w:numPr>
      </w:pPr>
      <w:r>
        <w:t xml:space="preserve">External sensor cable length: 2m</w:t>
      </w:r>
    </w:p>
    <w:p>
      <w:pPr>
        <w:pStyle w:val="Compact"/>
        <w:numPr>
          <w:ilvl w:val="0"/>
          <w:numId w:val="1008"/>
        </w:numPr>
      </w:pPr>
      <w:r>
        <w:t xml:space="preserve">External sensor extension cable length: 10m (Not included. Can be purchased separately)</w:t>
      </w:r>
    </w:p>
    <w:bookmarkEnd w:id="34"/>
    <w:bookmarkStart w:id="35" w:name="wavelength"/>
    <w:p>
      <w:pPr>
        <w:pStyle w:val="Heading2"/>
      </w:pPr>
      <w:r>
        <w:t xml:space="preserve">Wavelength</w:t>
      </w:r>
    </w:p>
    <w:p>
      <w:pPr>
        <w:pStyle w:val="Compact"/>
        <w:numPr>
          <w:ilvl w:val="0"/>
          <w:numId w:val="1009"/>
        </w:numPr>
      </w:pPr>
      <w:r>
        <w:t xml:space="preserve">Range: 450-650nm (Not for UV/IR light)</w:t>
      </w:r>
    </w:p>
    <w:bookmarkEnd w:id="35"/>
    <w:bookmarkStart w:id="36" w:name="data-logging-and-transfer"/>
    <w:p>
      <w:pPr>
        <w:pStyle w:val="Heading2"/>
      </w:pPr>
      <w:r>
        <w:t xml:space="preserve">Data Logging and Transfer</w:t>
      </w:r>
    </w:p>
    <w:p>
      <w:pPr>
        <w:pStyle w:val="Compact"/>
        <w:numPr>
          <w:ilvl w:val="0"/>
          <w:numId w:val="1010"/>
        </w:numPr>
      </w:pPr>
      <w:r>
        <w:t xml:space="preserve">Data length: 3620 bytes</w:t>
      </w:r>
    </w:p>
    <w:p>
      <w:pPr>
        <w:pStyle w:val="Compact"/>
        <w:numPr>
          <w:ilvl w:val="0"/>
          <w:numId w:val="1010"/>
        </w:numPr>
      </w:pPr>
      <w:r>
        <w:t xml:space="preserve">Data transfer time: approx. 5s</w:t>
      </w:r>
    </w:p>
    <w:p>
      <w:pPr>
        <w:pStyle w:val="Compact"/>
        <w:numPr>
          <w:ilvl w:val="0"/>
          <w:numId w:val="1010"/>
        </w:numPr>
      </w:pPr>
      <w:r>
        <w:t xml:space="preserve">Cmmunication interface: RS485 USB</w:t>
      </w:r>
    </w:p>
    <w:bookmarkEnd w:id="36"/>
    <w:bookmarkStart w:id="37" w:name="timer"/>
    <w:p>
      <w:pPr>
        <w:pStyle w:val="Heading2"/>
      </w:pPr>
      <w:r>
        <w:t xml:space="preserve">Timer</w:t>
      </w:r>
    </w:p>
    <w:p>
      <w:pPr>
        <w:pStyle w:val="Compact"/>
        <w:numPr>
          <w:ilvl w:val="0"/>
          <w:numId w:val="1011"/>
        </w:numPr>
      </w:pPr>
      <w:r>
        <w:t xml:space="preserve">Up timer: up to 24 hours</w:t>
      </w:r>
    </w:p>
    <w:p>
      <w:pPr>
        <w:pStyle w:val="Compact"/>
        <w:numPr>
          <w:ilvl w:val="0"/>
          <w:numId w:val="1011"/>
        </w:numPr>
      </w:pPr>
      <w:r>
        <w:t xml:space="preserve">Down timer: 1-999 minutes</w:t>
      </w:r>
    </w:p>
    <w:bookmarkEnd w:id="37"/>
    <w:bookmarkStart w:id="38" w:name="power-supply"/>
    <w:p>
      <w:pPr>
        <w:pStyle w:val="Heading2"/>
      </w:pPr>
      <w:r>
        <w:t xml:space="preserve">Power Supply</w:t>
      </w:r>
    </w:p>
    <w:p>
      <w:pPr>
        <w:pStyle w:val="Compact"/>
        <w:numPr>
          <w:ilvl w:val="0"/>
          <w:numId w:val="1012"/>
        </w:numPr>
      </w:pPr>
      <w:r>
        <w:t xml:space="preserve">Power consumption: &lt; 4w</w:t>
      </w:r>
    </w:p>
    <w:p>
      <w:pPr>
        <w:pStyle w:val="Compact"/>
        <w:numPr>
          <w:ilvl w:val="0"/>
          <w:numId w:val="1012"/>
        </w:numPr>
      </w:pPr>
      <w:r>
        <w:t xml:space="preserve">AC power/DC power</w:t>
      </w:r>
    </w:p>
    <w:p>
      <w:pPr>
        <w:pStyle w:val="Compact"/>
        <w:numPr>
          <w:ilvl w:val="0"/>
          <w:numId w:val="1012"/>
        </w:numPr>
      </w:pPr>
      <w:r>
        <w:t xml:space="preserve">AC power range: 90~240V</w:t>
      </w:r>
    </w:p>
    <w:p>
      <w:pPr>
        <w:pStyle w:val="Compact"/>
        <w:numPr>
          <w:ilvl w:val="0"/>
          <w:numId w:val="1012"/>
        </w:numPr>
      </w:pPr>
      <w:r>
        <w:t xml:space="preserve">DC power range: 5~24V</w:t>
      </w:r>
    </w:p>
    <w:bookmarkEnd w:id="38"/>
    <w:bookmarkStart w:id="57" w:name="dimensions"/>
    <w:p>
      <w:pPr>
        <w:pStyle w:val="Heading2"/>
      </w:pPr>
      <w:r>
        <w:t xml:space="preserve">Dimensions</w:t>
      </w:r>
    </w:p>
    <w:p>
      <w:pPr>
        <w:pStyle w:val="Compact"/>
        <w:numPr>
          <w:ilvl w:val="0"/>
          <w:numId w:val="1013"/>
        </w:numPr>
      </w:pPr>
      <w:r>
        <w:t xml:space="preserve">Sphere openning sizes: 0.7”, 1.5”, 2.9”</w:t>
      </w:r>
    </w:p>
    <w:p>
      <w:pPr>
        <w:pStyle w:val="Compact"/>
        <w:numPr>
          <w:ilvl w:val="0"/>
          <w:numId w:val="1013"/>
        </w:numPr>
      </w:pPr>
      <w:r>
        <w:t xml:space="preserve">Sphere diameter: 6.29”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Home Screen" title="" id="40" name="Picture"/>
            <a:graphic>
              <a:graphicData uri="http://schemas.openxmlformats.org/drawingml/2006/picture">
                <pic:pic>
                  <pic:nvPicPr>
                    <pic:cNvPr descr="../res/Home%20Screen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667000"/>
            <wp:effectExtent b="0" l="0" r="0" t="0"/>
            <wp:docPr descr="Lumen Measurement" title="" id="43" name="Picture"/>
            <a:graphic>
              <a:graphicData uri="http://schemas.openxmlformats.org/drawingml/2006/picture">
                <pic:pic>
                  <pic:nvPicPr>
                    <pic:cNvPr descr="../res/Lumen%20Measuremen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667000"/>
            <wp:effectExtent b="0" l="0" r="0" t="0"/>
            <wp:docPr descr="Candela Measurement" title="" id="46" name="Picture"/>
            <a:graphic>
              <a:graphicData uri="http://schemas.openxmlformats.org/drawingml/2006/picture">
                <pic:pic>
                  <pic:nvPicPr>
                    <pic:cNvPr descr="../res/Candela%20Measurement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667000"/>
            <wp:effectExtent b="0" l="0" r="0" t="0"/>
            <wp:docPr descr="Data Plotting and Logging" title="" id="49" name="Picture"/>
            <a:graphic>
              <a:graphicData uri="http://schemas.openxmlformats.org/drawingml/2006/picture">
                <pic:pic>
                  <pic:nvPicPr>
                    <pic:cNvPr descr="../res/Data%20Plotting%20and%20Logging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667000"/>
            <wp:effectExtent b="0" l="0" r="0" t="0"/>
            <wp:docPr descr="Data Transfer" title="" id="52" name="Picture"/>
            <a:graphic>
              <a:graphicData uri="http://schemas.openxmlformats.org/drawingml/2006/picture">
                <pic:pic>
                  <pic:nvPicPr>
                    <pic:cNvPr descr="../res/Data%20Transfer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667000"/>
            <wp:effectExtent b="0" l="0" r="0" t="0"/>
            <wp:docPr descr="Settings" title="" id="55" name="Picture"/>
            <a:graphic>
              <a:graphicData uri="http://schemas.openxmlformats.org/drawingml/2006/picture">
                <pic:pic>
                  <pic:nvPicPr>
                    <pic:cNvPr descr="../res/Settings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64" w:name="serial-data-reference"/>
    <w:p>
      <w:pPr>
        <w:pStyle w:val="Heading1"/>
      </w:pPr>
      <w:r>
        <w:t xml:space="preserve">Serial Data Reference</w:t>
      </w:r>
    </w:p>
    <w:p>
      <w:pPr>
        <w:pStyle w:val="BlockText"/>
      </w:pPr>
      <w:r>
        <w:t xml:space="preserve">This reference is created for decoding raw serial data read directly from</w:t>
      </w:r>
      <w:r>
        <w:t xml:space="preserve"> </w:t>
      </w:r>
      <w:r>
        <w:t xml:space="preserve">USB serial port or 3rd party application such as CoolTerm.</w:t>
      </w:r>
    </w:p>
    <w:p>
      <w:pPr>
        <w:pStyle w:val="FirstParagraph"/>
      </w:pPr>
      <w:r>
        <w:t xml:space="preserve">To see a sample serial data output, click</w:t>
      </w:r>
      <w:r>
        <w:t xml:space="preserve"> </w:t>
      </w:r>
      <w:hyperlink r:id="rId59">
        <w:r>
          <w:rPr>
            <w:rStyle w:val="Hyperlink"/>
          </w:rPr>
          <w:t xml:space="preserve">here</w:t>
        </w:r>
      </w:hyperlink>
      <w:r>
        <w:t xml:space="preserve">. The same data is used in the examples below.</w:t>
      </w:r>
    </w:p>
    <w:p>
      <w:pPr>
        <w:pStyle w:val="BodyText"/>
      </w:pPr>
      <w:r>
        <w:t xml:space="preserve">Total length:</w:t>
      </w:r>
      <w:r>
        <w:t xml:space="preserve"> </w:t>
      </w:r>
      <w:r>
        <w:rPr>
          <w:b/>
          <w:bCs/>
        </w:rPr>
        <w:t xml:space="preserve">3620 bytes</w:t>
      </w:r>
    </w:p>
    <w:p>
      <w:pPr>
        <w:pStyle w:val="Compact"/>
        <w:numPr>
          <w:ilvl w:val="0"/>
          <w:numId w:val="1014"/>
        </w:numPr>
      </w:pPr>
      <w:r>
        <w:t xml:space="preserve">Header: 1-16 bytes</w:t>
      </w:r>
    </w:p>
    <w:p>
      <w:pPr>
        <w:pStyle w:val="Compact"/>
        <w:numPr>
          <w:ilvl w:val="0"/>
          <w:numId w:val="1014"/>
        </w:numPr>
      </w:pPr>
      <w:r>
        <w:t xml:space="preserve">Body: 17-3616 bytes</w:t>
      </w:r>
    </w:p>
    <w:p>
      <w:pPr>
        <w:pStyle w:val="Compact"/>
        <w:numPr>
          <w:ilvl w:val="0"/>
          <w:numId w:val="1014"/>
        </w:numPr>
      </w:pPr>
      <w:r>
        <w:t xml:space="preserve">Ending: 3616-3620 bytes</w:t>
      </w:r>
    </w:p>
    <w:bookmarkStart w:id="60" w:name="table-of-content-1"/>
    <w:p>
      <w:pPr>
        <w:pStyle w:val="Heading2"/>
      </w:pPr>
      <w:r>
        <w:t xml:space="preserve">Table of Content</w:t>
      </w:r>
    </w:p>
    <w:p>
      <w:pPr>
        <w:pStyle w:val="Compact"/>
        <w:numPr>
          <w:ilvl w:val="0"/>
          <w:numId w:val="1015"/>
        </w:numPr>
      </w:pPr>
      <w:hyperlink w:anchor="header">
        <w:r>
          <w:rPr>
            <w:rStyle w:val="Hyperlink"/>
          </w:rPr>
          <w:t xml:space="preserve">Header</w:t>
        </w:r>
      </w:hyperlink>
    </w:p>
    <w:p>
      <w:pPr>
        <w:pStyle w:val="Compact"/>
        <w:numPr>
          <w:ilvl w:val="0"/>
          <w:numId w:val="1015"/>
        </w:numPr>
      </w:pPr>
      <w:hyperlink w:anchor="body">
        <w:r>
          <w:rPr>
            <w:rStyle w:val="Hyperlink"/>
          </w:rPr>
          <w:t xml:space="preserve">Body</w:t>
        </w:r>
      </w:hyperlink>
    </w:p>
    <w:p>
      <w:pPr>
        <w:pStyle w:val="Compact"/>
        <w:numPr>
          <w:ilvl w:val="0"/>
          <w:numId w:val="1015"/>
        </w:numPr>
      </w:pPr>
      <w:hyperlink w:anchor="ending">
        <w:r>
          <w:rPr>
            <w:rStyle w:val="Hyperlink"/>
          </w:rPr>
          <w:t xml:space="preserve">Ending</w:t>
        </w:r>
      </w:hyperlink>
    </w:p>
    <w:bookmarkEnd w:id="60"/>
    <w:bookmarkStart w:id="61" w:name="header"/>
    <w:p>
      <w:pPr>
        <w:pStyle w:val="Heading2"/>
      </w:pPr>
      <w:r>
        <w:t xml:space="preserve">Header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Byte position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1-2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3-4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5-6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7-8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9-10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11-12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13-14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15-16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Example data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aa aa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0e 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01 f4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00 64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00 01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00 01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00 01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56 44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Explanation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Start indicator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Data body length (3600 bytes fixed)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Sampling time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Distance to surface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Lumen multiples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Candela multiples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Lux multiples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Version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</w:p>
    <w:bookmarkEnd w:id="61"/>
    <w:bookmarkStart w:id="62" w:name="body"/>
    <w:p>
      <w:pPr>
        <w:pStyle w:val="Heading2"/>
      </w:pPr>
      <w:r>
        <w:t xml:space="preserve">Body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Byte position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17-1216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1217-2416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2417-3616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Example data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44 00 .. .. 00 00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00 00 .. .. 00 00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75 00 .. .. 00 00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Explanation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Lumen (each data point is 2 bytes)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Candela (each data point is 2 bytes)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Lux (each data point is 2 bytes)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</w:p>
    <w:p>
      <w:pPr>
        <w:pStyle w:val="Compact"/>
        <w:numPr>
          <w:ilvl w:val="0"/>
          <w:numId w:val="1016"/>
        </w:numPr>
      </w:pPr>
      <w:r>
        <w:t xml:space="preserve">TK2303D tester can take 600 sample points. Each sample point consists of 2 bytes.</w:t>
      </w:r>
    </w:p>
    <w:p>
      <w:pPr>
        <w:pStyle w:val="Compact"/>
        <w:numPr>
          <w:ilvl w:val="0"/>
          <w:numId w:val="1016"/>
        </w:numPr>
      </w:pPr>
      <w:r>
        <w:t xml:space="preserve">Lumen, Lux and Candela each has 600 * 2 = 1200 bytes data total.</w:t>
      </w:r>
    </w:p>
    <w:p>
      <w:pPr>
        <w:pStyle w:val="Compact"/>
        <w:numPr>
          <w:ilvl w:val="0"/>
          <w:numId w:val="1016"/>
        </w:numPr>
      </w:pPr>
      <w:r>
        <w:t xml:space="preserve">Data persists time ascending order.</w:t>
      </w:r>
    </w:p>
    <w:bookmarkEnd w:id="62"/>
    <w:bookmarkStart w:id="63" w:name="ending"/>
    <w:p>
      <w:pPr>
        <w:pStyle w:val="Heading2"/>
      </w:pPr>
      <w:r>
        <w:t xml:space="preserve">Ending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Byte position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3617-3618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3619-3620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Example data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ee ee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1a b0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Explanation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Ending indicator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meaning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© 2024 TKlamp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54" Target="media/rId54.png" /><Relationship Type="http://schemas.openxmlformats.org/officeDocument/2006/relationships/hyperlink" Id="rId26" Target="https://discord.gg/xVy4j9JcYx" TargetMode="External" /><Relationship Type="http://schemas.openxmlformats.org/officeDocument/2006/relationships/hyperlink" Id="rId22" Target="https://github.com/TKlamp/Data-Logging-Tutorial" TargetMode="External" /><Relationship Type="http://schemas.openxmlformats.org/officeDocument/2006/relationships/hyperlink" Id="rId23" Target="https://github.com/TKlamp/TKlamp-Docs/blob/main/docs/manual.md" TargetMode="External" /><Relationship Type="http://schemas.openxmlformats.org/officeDocument/2006/relationships/hyperlink" Id="rId24" Target="https://github.com/TKlamp/TKlamp-Docs/blob/main/docs/serial_data_reference.md" TargetMode="External" /><Relationship Type="http://schemas.openxmlformats.org/officeDocument/2006/relationships/hyperlink" Id="rId59" Target="https://github.com/TKlamp/TKlamp-Protocol/blob/main/docs/raw_serial_data_example.txt" TargetMode="External" /><Relationship Type="http://schemas.openxmlformats.org/officeDocument/2006/relationships/hyperlink" Id="rId20" Target="https://tklamp.co" TargetMode="External" /><Relationship Type="http://schemas.openxmlformats.org/officeDocument/2006/relationships/hyperlink" Id="rId21" Target="https://www.tklamp.co/order-onli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iscord.gg/xVy4j9JcYx" TargetMode="External" /><Relationship Type="http://schemas.openxmlformats.org/officeDocument/2006/relationships/hyperlink" Id="rId22" Target="https://github.com/TKlamp/Data-Logging-Tutorial" TargetMode="External" /><Relationship Type="http://schemas.openxmlformats.org/officeDocument/2006/relationships/hyperlink" Id="rId23" Target="https://github.com/TKlamp/TKlamp-Docs/blob/main/docs/manual.md" TargetMode="External" /><Relationship Type="http://schemas.openxmlformats.org/officeDocument/2006/relationships/hyperlink" Id="rId24" Target="https://github.com/TKlamp/TKlamp-Docs/blob/main/docs/serial_data_reference.md" TargetMode="External" /><Relationship Type="http://schemas.openxmlformats.org/officeDocument/2006/relationships/hyperlink" Id="rId59" Target="https://github.com/TKlamp/TKlamp-Protocol/blob/main/docs/raw_serial_data_example.txt" TargetMode="External" /><Relationship Type="http://schemas.openxmlformats.org/officeDocument/2006/relationships/hyperlink" Id="rId20" Target="https://tklamp.co" TargetMode="External" /><Relationship Type="http://schemas.openxmlformats.org/officeDocument/2006/relationships/hyperlink" Id="rId21" Target="https://www.tklamp.co/order-onli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TKlamp TK2303D User Manual</dc:title>
  <dc:creator>© 2024 TKlamp</dc:creator>
  <dc:language>en</dc:language>
  <cp:keywords>Flashlight, Tester</cp:keywords>
  <dcterms:created xsi:type="dcterms:W3CDTF">2024-09-26T17:06:10Z</dcterms:created>
  <dcterms:modified xsi:type="dcterms:W3CDTF">2024-09-26T17:06:10Z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2024-09-25</vt:lpwstr>
  </property>
</Properties>
</file>