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proofErr w:type="spellStart"/>
          <w:r>
            <w:t>Sadržaj</w:t>
          </w:r>
          <w:proofErr w:type="spellEnd"/>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B84839">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B84839">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B84839">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B84839">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B84839">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B84839">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B84839">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B84839">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B84839">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B84839">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B84839">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B84839">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B84839">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B84839">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B84839">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B84839">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B84839">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B84839">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B84839">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B84839">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B84839">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B84839">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B84839">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B84839">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B84839">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B84839">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B84839">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B84839">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B84839">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B84839">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B84839">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B84839">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B84839">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B84839">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B84839">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B84839">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B84839">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B84839">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B84839">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B84839">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fldSimple w:instr=" SEQ Slika \* ARABIC ">
        <w:r>
          <w:rPr>
            <w:noProof/>
          </w:rPr>
          <w:t>14</w:t>
        </w:r>
      </w:fldSimple>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058147BF" w:rsidR="00C8550B" w:rsidRDefault="00BD6412" w:rsidP="00DC0D80">
      <w:pPr>
        <w:pStyle w:val="Heading2"/>
      </w:pPr>
      <w:r>
        <w:t>Dijagram razmještaja</w:t>
      </w:r>
    </w:p>
    <w:p w14:paraId="60827BEF" w14:textId="3AFFEE63" w:rsidR="00BD6412" w:rsidRDefault="002373C7" w:rsidP="00BD6412">
      <w:r>
        <w:rPr>
          <w:noProof/>
        </w:rPr>
        <w:drawing>
          <wp:anchor distT="0" distB="0" distL="114300" distR="114300" simplePos="0" relativeHeight="251658240" behindDoc="0" locked="0" layoutInCell="1" allowOverlap="1" wp14:anchorId="503D5BAA" wp14:editId="7156F2B5">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14:sizeRelH relativeFrom="margin">
              <wp14:pctWidth>0</wp14:pctWidth>
            </wp14:sizeRelH>
            <wp14:sizeRelV relativeFrom="margin">
              <wp14:pctHeight>0</wp14:pctHeight>
            </wp14:sizeRelV>
          </wp:anchor>
        </w:drawing>
      </w:r>
    </w:p>
    <w:p w14:paraId="78A05D06" w14:textId="1996BB86" w:rsidR="002373C7" w:rsidRDefault="002373C7" w:rsidP="002373C7">
      <w:pPr>
        <w:pStyle w:val="Caption"/>
        <w:jc w:val="center"/>
      </w:pPr>
      <w:r>
        <w:t xml:space="preserve">  </w:t>
      </w:r>
      <w:r>
        <w:t>Slika 1</w:t>
      </w:r>
      <w:r>
        <w:rPr>
          <w:noProof/>
        </w:rPr>
        <w:t>7</w:t>
      </w:r>
      <w:r>
        <w:t>. Dijagram razmještaja</w:t>
      </w:r>
    </w:p>
    <w:p w14:paraId="16D2CF1A" w14:textId="7072A13C" w:rsidR="00BD6412" w:rsidRPr="00BD6412" w:rsidRDefault="00BD6412" w:rsidP="00BD6412"/>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1DE4AA97" w14:textId="17F71D83" w:rsidR="00933918" w:rsidRDefault="00933918" w:rsidP="00C8550B">
      <w:bookmarkStart w:id="52" w:name="_GoBack"/>
      <w:bookmarkEnd w:id="52"/>
    </w:p>
    <w:p w14:paraId="57BCB4F8" w14:textId="27B9F43F" w:rsidR="00B84839" w:rsidRDefault="00B84839" w:rsidP="00B84839">
      <w:pPr>
        <w:pStyle w:val="Heading2"/>
      </w:pPr>
      <w:r>
        <w:lastRenderedPageBreak/>
        <w:t xml:space="preserve">Dijagram </w:t>
      </w:r>
      <w:r w:rsidR="00933918">
        <w:t>stanja – prijava na sustav</w:t>
      </w:r>
    </w:p>
    <w:p w14:paraId="23DBE67C" w14:textId="4625F578" w:rsidR="00933918" w:rsidRDefault="00933918" w:rsidP="00933918"/>
    <w:p w14:paraId="3946CEF1" w14:textId="7A3E8718" w:rsidR="00933918" w:rsidRPr="00933918" w:rsidRDefault="00933918" w:rsidP="00933918">
      <w:r>
        <w:rPr>
          <w:noProof/>
        </w:rPr>
        <w:drawing>
          <wp:inline distT="0" distB="0" distL="0" distR="0" wp14:anchorId="4BD1A545" wp14:editId="6D8A8B36">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785"/>
                    </a:xfrm>
                    <a:prstGeom prst="rect">
                      <a:avLst/>
                    </a:prstGeom>
                  </pic:spPr>
                </pic:pic>
              </a:graphicData>
            </a:graphic>
          </wp:inline>
        </w:drawing>
      </w:r>
    </w:p>
    <w:p w14:paraId="559AF2B3" w14:textId="195DCB44" w:rsidR="00933918" w:rsidRDefault="00933918" w:rsidP="00933918">
      <w:pPr>
        <w:pStyle w:val="Caption"/>
        <w:ind w:left="2832"/>
      </w:pPr>
      <w:r>
        <w:t xml:space="preserve">     </w:t>
      </w:r>
      <w:r>
        <w:t>Slika 1</w:t>
      </w:r>
      <w:r>
        <w:t>8. Dijagram stanja – prijava na sustav</w:t>
      </w:r>
    </w:p>
    <w:p w14:paraId="7E014368" w14:textId="5D064BE8" w:rsidR="00C8550B" w:rsidRDefault="00C8550B" w:rsidP="00C8550B"/>
    <w:p w14:paraId="1183F827" w14:textId="219C334B" w:rsidR="00C8550B" w:rsidRDefault="00933918" w:rsidP="00C8550B">
      <w:r>
        <w:tab/>
      </w:r>
      <w:r>
        <w:tab/>
      </w:r>
      <w:r>
        <w:tab/>
      </w:r>
      <w:r>
        <w:tab/>
      </w:r>
    </w:p>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77777777" w:rsidR="00C8550B" w:rsidRDefault="00C8550B" w:rsidP="00C8550B"/>
    <w:p w14:paraId="39C9EA7C" w14:textId="77777777" w:rsidR="00C8550B" w:rsidRDefault="00C8550B" w:rsidP="00C8550B"/>
    <w:p w14:paraId="1235655A" w14:textId="77777777" w:rsidR="00C8550B" w:rsidRDefault="00C8550B" w:rsidP="00C8550B">
      <w:pPr>
        <w:pStyle w:val="Heading1"/>
      </w:pPr>
      <w:bookmarkStart w:id="53" w:name="_Toc531209222"/>
      <w:r>
        <w:t>Zaključak i budući rad</w:t>
      </w:r>
      <w:bookmarkEnd w:id="53"/>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4" w:name="_Toc531209223"/>
      <w:r>
        <w:t>Popis literature</w:t>
      </w:r>
      <w:bookmarkEnd w:id="54"/>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29">
        <w:r>
          <w:rPr>
            <w:rFonts w:ascii="Arial" w:eastAsia="Arial" w:hAnsi="Arial" w:cs="Arial"/>
            <w:color w:val="0000FF"/>
            <w:u w:val="single"/>
          </w:rPr>
          <w:t>http://www.fer.hr/predmet/opp</w:t>
        </w:r>
      </w:hyperlink>
      <w:hyperlink r:id="rId30"/>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1"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2" w:history="1">
        <w:r w:rsidRPr="00C8550B">
          <w:rPr>
            <w:rStyle w:val="Hyperlink"/>
            <w:rFonts w:ascii="Arial" w:hAnsi="Arial" w:cs="Arial"/>
          </w:rPr>
          <w:t>https://www.sourcetreeapp.com/</w:t>
        </w:r>
      </w:hyperlink>
      <w:hyperlink r:id="rId33"/>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5" w:name="_Toc531209224"/>
      <w:r>
        <w:lastRenderedPageBreak/>
        <w:t>Dodatak A: Indeks (slika, dijagrama, tablica, ispisa kôda)</w:t>
      </w:r>
      <w:bookmarkEnd w:id="55"/>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B84839">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B84839">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B84839">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B84839">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B84839">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B84839">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B84839">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B84839">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B84839">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B84839">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B84839">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B84839">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B84839">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B84839">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B84839">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B84839">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B84839">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6" w:name="_Toc531209225"/>
      <w:r>
        <w:lastRenderedPageBreak/>
        <w:t>Dodatak B: Dnevnik sastajanja</w:t>
      </w:r>
      <w:bookmarkEnd w:id="56"/>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t>Kratka rasprava o dosad napravljenoj dokumentaciji, pojašnjenje nejasnoća pojedinih područja drugim članovima.</w:t>
            </w:r>
          </w:p>
          <w:p w14:paraId="4C94B654" w14:textId="517EB3AB" w:rsidR="00335B10" w:rsidRDefault="00335B10" w:rsidP="004A4AD3">
            <w:r>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57" w:name="_Toc531209226"/>
      <w:r w:rsidRPr="00007F69">
        <w:lastRenderedPageBreak/>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lastRenderedPageBreak/>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lastRenderedPageBreak/>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6"/>
      <w:footerReference w:type="first" r:id="rId3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7C63" w14:textId="77777777" w:rsidR="009C42CD" w:rsidRDefault="009C42CD" w:rsidP="002E3D50">
      <w:pPr>
        <w:spacing w:after="0" w:line="240" w:lineRule="auto"/>
      </w:pPr>
      <w:r>
        <w:separator/>
      </w:r>
    </w:p>
  </w:endnote>
  <w:endnote w:type="continuationSeparator" w:id="0">
    <w:p w14:paraId="17744123" w14:textId="77777777" w:rsidR="009C42CD" w:rsidRDefault="009C42CD"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B84839" w:rsidRDefault="00B84839" w:rsidP="00B65D5F">
    <w:pPr>
      <w:pStyle w:val="Footer"/>
      <w:tabs>
        <w:tab w:val="clear" w:pos="4536"/>
      </w:tabs>
    </w:pPr>
    <w:r>
      <w:tab/>
    </w:r>
  </w:p>
  <w:p w14:paraId="7DBCB0DE" w14:textId="77777777" w:rsidR="00B84839" w:rsidRDefault="00B84839"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B84839" w:rsidRDefault="00B84839"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B84839" w:rsidRDefault="00B84839"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B84839" w:rsidRDefault="00B8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B84839" w:rsidRDefault="00B8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33DA" w14:textId="77777777" w:rsidR="009C42CD" w:rsidRDefault="009C42CD" w:rsidP="002E3D50">
      <w:pPr>
        <w:spacing w:after="0" w:line="240" w:lineRule="auto"/>
      </w:pPr>
      <w:r>
        <w:separator/>
      </w:r>
    </w:p>
  </w:footnote>
  <w:footnote w:type="continuationSeparator" w:id="0">
    <w:p w14:paraId="003DDAC0" w14:textId="77777777" w:rsidR="009C42CD" w:rsidRDefault="009C42CD"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B84839" w:rsidRDefault="00B84839" w:rsidP="00B65D5F">
    <w:pPr>
      <w:pStyle w:val="Header"/>
      <w:tabs>
        <w:tab w:val="clear" w:pos="4536"/>
      </w:tabs>
    </w:pPr>
    <w:r>
      <w:t>Oblikovanje programske potpore</w:t>
    </w:r>
    <w:r>
      <w:tab/>
      <w:t>Sustav za praćenje rada auto servisa</w:t>
    </w:r>
  </w:p>
  <w:p w14:paraId="473394B1" w14:textId="77777777" w:rsidR="00B84839" w:rsidRDefault="00B8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B84839" w:rsidRDefault="00B84839"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57B12"/>
    <w:rsid w:val="001D6B46"/>
    <w:rsid w:val="001F586F"/>
    <w:rsid w:val="002373C7"/>
    <w:rsid w:val="002477D7"/>
    <w:rsid w:val="002779B3"/>
    <w:rsid w:val="00295269"/>
    <w:rsid w:val="002E3D50"/>
    <w:rsid w:val="00310F7C"/>
    <w:rsid w:val="003113CA"/>
    <w:rsid w:val="00314770"/>
    <w:rsid w:val="00335B10"/>
    <w:rsid w:val="00345C74"/>
    <w:rsid w:val="00410BE2"/>
    <w:rsid w:val="0042396D"/>
    <w:rsid w:val="00432B8F"/>
    <w:rsid w:val="00474066"/>
    <w:rsid w:val="004A4AD3"/>
    <w:rsid w:val="004B69EF"/>
    <w:rsid w:val="0053491D"/>
    <w:rsid w:val="005611FE"/>
    <w:rsid w:val="005629D5"/>
    <w:rsid w:val="005B0FBA"/>
    <w:rsid w:val="005B2A47"/>
    <w:rsid w:val="005E45A5"/>
    <w:rsid w:val="006355AD"/>
    <w:rsid w:val="006E3950"/>
    <w:rsid w:val="0075686E"/>
    <w:rsid w:val="00796BEF"/>
    <w:rsid w:val="007B5165"/>
    <w:rsid w:val="007F1E8C"/>
    <w:rsid w:val="00856FF7"/>
    <w:rsid w:val="00933918"/>
    <w:rsid w:val="00963C7F"/>
    <w:rsid w:val="009C42CD"/>
    <w:rsid w:val="00B06FC6"/>
    <w:rsid w:val="00B1691A"/>
    <w:rsid w:val="00B65D5F"/>
    <w:rsid w:val="00B84839"/>
    <w:rsid w:val="00BD6412"/>
    <w:rsid w:val="00C101CC"/>
    <w:rsid w:val="00C43BFA"/>
    <w:rsid w:val="00C8550B"/>
    <w:rsid w:val="00CA2D9A"/>
    <w:rsid w:val="00CA4238"/>
    <w:rsid w:val="00CB6817"/>
    <w:rsid w:val="00CC2678"/>
    <w:rsid w:val="00CC68D1"/>
    <w:rsid w:val="00D1311E"/>
    <w:rsid w:val="00D40B05"/>
    <w:rsid w:val="00D67B2D"/>
    <w:rsid w:val="00DB79A5"/>
    <w:rsid w:val="00DC0D80"/>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argouml.tigri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er.hr/predmet/o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www.sourcetreeapp.com/"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astah.net/editions/commun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fer.hr/predmet/opp"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D3D0B-8C91-46BE-9F97-421FF5D1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38</Pages>
  <Words>5108</Words>
  <Characters>29118</Characters>
  <Application>Microsoft Office Word</Application>
  <DocSecurity>0</DocSecurity>
  <Lines>242</Lines>
  <Paragraphs>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17</cp:revision>
  <cp:lastPrinted>2018-11-28T22:22:00Z</cp:lastPrinted>
  <dcterms:created xsi:type="dcterms:W3CDTF">2018-11-27T17:57:00Z</dcterms:created>
  <dcterms:modified xsi:type="dcterms:W3CDTF">2019-01-11T12:15:00Z</dcterms:modified>
</cp:coreProperties>
</file>