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D4CA1" w14:textId="3FCEB871" w:rsidR="003D0F01" w:rsidRPr="00A915AF" w:rsidRDefault="003D0F01" w:rsidP="003D0F01">
      <w:pPr>
        <w:rPr>
          <w:b/>
          <w:sz w:val="28"/>
          <w:szCs w:val="28"/>
        </w:rPr>
      </w:pPr>
      <w:r w:rsidRPr="00A915AF">
        <w:rPr>
          <w:b/>
          <w:sz w:val="28"/>
          <w:szCs w:val="28"/>
        </w:rPr>
        <w:t xml:space="preserve">Modelling of </w:t>
      </w:r>
      <w:r w:rsidR="00AC5CAF">
        <w:rPr>
          <w:b/>
          <w:sz w:val="28"/>
          <w:szCs w:val="28"/>
        </w:rPr>
        <w:t>Chronic Obstructive Pulmonary Disease</w:t>
      </w:r>
      <w:r w:rsidR="007F33D9">
        <w:rPr>
          <w:b/>
          <w:sz w:val="28"/>
          <w:szCs w:val="28"/>
        </w:rPr>
        <w:t xml:space="preserve"> (COPD)</w:t>
      </w:r>
      <w:r w:rsidR="00AC5CAF">
        <w:rPr>
          <w:b/>
          <w:sz w:val="28"/>
          <w:szCs w:val="28"/>
        </w:rPr>
        <w:t xml:space="preserve"> </w:t>
      </w:r>
      <w:r w:rsidR="00FB3E0E" w:rsidRPr="00A915AF">
        <w:rPr>
          <w:b/>
          <w:bCs/>
          <w:sz w:val="28"/>
          <w:szCs w:val="28"/>
        </w:rPr>
        <w:t xml:space="preserve">within the </w:t>
      </w:r>
      <w:r w:rsidR="00FB3E0E" w:rsidRPr="00A915AF">
        <w:rPr>
          <w:b/>
          <w:sz w:val="28"/>
          <w:szCs w:val="28"/>
        </w:rPr>
        <w:t>Thanzi La Onse Model</w:t>
      </w:r>
    </w:p>
    <w:p w14:paraId="3101C143" w14:textId="77777777" w:rsidR="00FB3E0E" w:rsidRDefault="00FB3E0E" w:rsidP="008A2828">
      <w:pPr>
        <w:spacing w:after="0"/>
        <w:rPr>
          <w:b/>
          <w:bCs/>
        </w:rPr>
      </w:pPr>
    </w:p>
    <w:p w14:paraId="2B5FFC16" w14:textId="77777777" w:rsidR="00FB3E0E" w:rsidRDefault="00FB3E0E" w:rsidP="008A2828">
      <w:pPr>
        <w:spacing w:after="0"/>
        <w:rPr>
          <w:b/>
          <w:bCs/>
        </w:rPr>
      </w:pPr>
      <w:r>
        <w:rPr>
          <w:b/>
          <w:bCs/>
        </w:rPr>
        <w:t>Background: The Thanzi La Onse Model</w:t>
      </w:r>
    </w:p>
    <w:p w14:paraId="41B24F6D" w14:textId="3B77B08C" w:rsidR="0094598F" w:rsidRPr="00A915AF" w:rsidRDefault="0094598F" w:rsidP="008A2828">
      <w:pPr>
        <w:spacing w:after="0"/>
        <w:rPr>
          <w:bCs/>
        </w:rPr>
      </w:pPr>
      <w:r>
        <w:rPr>
          <w:bCs/>
        </w:rPr>
        <w:t xml:space="preserve">As part of the Thanzi La Onse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w:t>
      </w:r>
      <w:r w:rsidR="00B904DF">
        <w:rPr>
          <w:bCs/>
        </w:rPr>
        <w:t>explicitly</w:t>
      </w:r>
      <w:r>
        <w:rPr>
          <w:bCs/>
        </w:rPr>
        <w:t xml:space="preserve"> simulate the individual life and health experiences of a representative proportion of 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This document describes the module on </w:t>
      </w:r>
      <w:r w:rsidR="004C478E">
        <w:rPr>
          <w:bCs/>
        </w:rPr>
        <w:t xml:space="preserve">chronic obstructive pulmonary disease (COPD). </w:t>
      </w:r>
      <w:r w:rsidR="00202D97">
        <w:rPr>
          <w:bCs/>
        </w:rPr>
        <w:t xml:space="preserve"> </w:t>
      </w:r>
    </w:p>
    <w:p w14:paraId="6BAB1FDA" w14:textId="77777777" w:rsidR="008A2828" w:rsidRDefault="008A2828" w:rsidP="008A2828">
      <w:pPr>
        <w:spacing w:after="0"/>
        <w:rPr>
          <w:b/>
          <w:bCs/>
        </w:rPr>
      </w:pPr>
    </w:p>
    <w:p w14:paraId="709DE3B5" w14:textId="6323B387" w:rsidR="00FB3E0E" w:rsidRDefault="0053780F" w:rsidP="008A2828">
      <w:pPr>
        <w:spacing w:after="0"/>
        <w:rPr>
          <w:b/>
          <w:bCs/>
        </w:rPr>
      </w:pPr>
      <w:r>
        <w:rPr>
          <w:b/>
          <w:bCs/>
        </w:rPr>
        <w:t xml:space="preserve">Background: </w:t>
      </w:r>
      <w:r w:rsidR="00FB3E0E">
        <w:rPr>
          <w:b/>
          <w:bCs/>
        </w:rPr>
        <w:t xml:space="preserve">General approach to decisions on modelling </w:t>
      </w:r>
      <w:r w:rsidR="00F63FD8">
        <w:rPr>
          <w:b/>
          <w:bCs/>
        </w:rPr>
        <w:t xml:space="preserve">causal influences </w:t>
      </w:r>
      <w:r w:rsidR="00FB3E0E">
        <w:rPr>
          <w:b/>
          <w:bCs/>
        </w:rPr>
        <w:t xml:space="preserve">and </w:t>
      </w:r>
      <w:r w:rsidR="00F63FD8">
        <w:rPr>
          <w:b/>
          <w:bCs/>
        </w:rPr>
        <w:t xml:space="preserve">effects of </w:t>
      </w:r>
      <w:r w:rsidR="00FB3E0E">
        <w:rPr>
          <w:b/>
          <w:bCs/>
        </w:rPr>
        <w:t>interventions</w:t>
      </w:r>
    </w:p>
    <w:p w14:paraId="74359228" w14:textId="06635860" w:rsidR="00A915AF" w:rsidRPr="0008547E" w:rsidRDefault="00A915AF" w:rsidP="008A2828">
      <w:pPr>
        <w:spacing w:after="0"/>
        <w:rPr>
          <w:bCs/>
        </w:rPr>
      </w:pPr>
      <w:r>
        <w:rPr>
          <w:bCs/>
        </w:rPr>
        <w:t xml:space="preserve">This module was designed in the context of an overall approach to modelling causal effects in general and causal effects of interventions in particular.  </w:t>
      </w:r>
      <w:r w:rsidR="00634A79">
        <w:t xml:space="preserve">The </w:t>
      </w:r>
      <w:r w:rsidR="00B904DF">
        <w:t>overall</w:t>
      </w:r>
      <w:r w:rsidR="00634A79">
        <w:t xml:space="preserve"> intent is to adopt as simple a structure as can be conceived, whilst still capturing the essential elements of a disease and the interventions used to prevent or treat.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demographic, s</w:t>
      </w:r>
      <w:r w:rsidR="00F63FD8">
        <w:t>ocial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w:t>
      </w:r>
      <w:r w:rsidR="00634A79">
        <w:t xml:space="preserve">the intent is that </w:t>
      </w:r>
      <w:r>
        <w:t xml:space="preserve">this </w:t>
      </w:r>
      <w:r w:rsidR="00634A79">
        <w:t>is t</w:t>
      </w:r>
      <w:r>
        <w:t>aken into account and the Malawi-specific link included.</w:t>
      </w:r>
    </w:p>
    <w:p w14:paraId="46350F07" w14:textId="77777777" w:rsidR="00634A79" w:rsidRDefault="00A915AF" w:rsidP="008A2828">
      <w:pPr>
        <w:spacing w:after="0"/>
      </w:pPr>
      <w:r>
        <w:t xml:space="preserve">In the special case of </w:t>
      </w:r>
      <w:r w:rsidR="00634A79">
        <w:t xml:space="preserve">a </w:t>
      </w:r>
      <w:r>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t xml:space="preserve">orm our own opinion on intervention efficacy based on the source trials.  </w:t>
      </w:r>
    </w:p>
    <w:p w14:paraId="7C4CD32B" w14:textId="7BEFC1E1" w:rsidR="0053780F" w:rsidRDefault="00634A79" w:rsidP="008A2828">
      <w:pPr>
        <w:spacing w:after="0"/>
      </w:pPr>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due to the fact that such measures are less likely to differ substantively by context.   Interactions </w:t>
      </w:r>
      <w:r>
        <w:t xml:space="preserve">between </w:t>
      </w:r>
      <w:r w:rsidR="00B904DF">
        <w:t>characteristics</w:t>
      </w:r>
      <w:r>
        <w:t xml:space="preserve"> (on the multiplicative scale) are </w:t>
      </w:r>
      <w:r w:rsidR="00A915AF">
        <w:t xml:space="preserve">only </w:t>
      </w:r>
      <w:r>
        <w:t>to be</w:t>
      </w:r>
      <w:r w:rsidR="00A915AF">
        <w:t xml:space="preserv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p>
    <w:p w14:paraId="3EF53799" w14:textId="77777777" w:rsidR="008A2828" w:rsidRDefault="008A2828" w:rsidP="008A2828">
      <w:pPr>
        <w:spacing w:after="0"/>
        <w:rPr>
          <w:b/>
        </w:rPr>
      </w:pPr>
    </w:p>
    <w:p w14:paraId="2A4E0259" w14:textId="1EF1D7EC" w:rsidR="0053780F" w:rsidRPr="0053780F" w:rsidRDefault="0053780F" w:rsidP="008A2828">
      <w:pPr>
        <w:spacing w:after="0"/>
        <w:rPr>
          <w:b/>
        </w:rPr>
      </w:pPr>
      <w:r w:rsidRPr="0053780F">
        <w:rPr>
          <w:b/>
        </w:rPr>
        <w:t xml:space="preserve">Background: </w:t>
      </w:r>
      <w:r>
        <w:rPr>
          <w:b/>
        </w:rPr>
        <w:t xml:space="preserve"> Demographic and social characteristics modelled</w:t>
      </w:r>
    </w:p>
    <w:p w14:paraId="1F659A37" w14:textId="37EDCCA0" w:rsidR="0053780F" w:rsidRDefault="008044EB" w:rsidP="008A2828">
      <w:pPr>
        <w:spacing w:after="0"/>
      </w:pPr>
      <w:r>
        <w:t xml:space="preserve">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w:t>
      </w:r>
      <w:r>
        <w:lastRenderedPageBreak/>
        <w:t>improved sanitation, clean drinking water, hand washing facilities, and whether they experience indoor air pollution (wood burning stove).  We assign individuals a current education status (none, primary, secondary) which is updated 3 monthly from age 5 to 20.  From  age 15 we assign BMI in 5 categories, tobacco use status, drinking excess alcohol, having low exercise, high sugar intake, high salt intake, and marital status (never, currently, widowed/divorced).  The status with regard to such variables for individuals can change over time.  The influences between these variables are described in detail in a separate document.</w:t>
      </w:r>
    </w:p>
    <w:p w14:paraId="1A0DC13C" w14:textId="77777777" w:rsidR="007C3909" w:rsidRPr="007C3909" w:rsidRDefault="007C3909" w:rsidP="008A2828">
      <w:pPr>
        <w:spacing w:after="0"/>
      </w:pPr>
    </w:p>
    <w:p w14:paraId="17D9FCC9" w14:textId="5319B4AB" w:rsidR="00FB3E0E" w:rsidRPr="007F33D9" w:rsidRDefault="00FB3E0E" w:rsidP="008A2828">
      <w:pPr>
        <w:spacing w:after="0"/>
        <w:rPr>
          <w:b/>
          <w:bCs/>
        </w:rPr>
      </w:pPr>
      <w:r w:rsidRPr="007F33D9">
        <w:rPr>
          <w:b/>
          <w:bCs/>
        </w:rPr>
        <w:t>Approach to modelling</w:t>
      </w:r>
      <w:r w:rsidR="00937573" w:rsidRPr="007F33D9">
        <w:rPr>
          <w:b/>
          <w:bCs/>
        </w:rPr>
        <w:t xml:space="preserve"> </w:t>
      </w:r>
      <w:r w:rsidR="007F33D9" w:rsidRPr="007F33D9">
        <w:rPr>
          <w:b/>
          <w:bCs/>
        </w:rPr>
        <w:t>COPD</w:t>
      </w:r>
      <w:r w:rsidR="0051226C" w:rsidRPr="007F33D9">
        <w:rPr>
          <w:b/>
          <w:bCs/>
        </w:rPr>
        <w:t xml:space="preserve">: </w:t>
      </w:r>
      <w:r w:rsidRPr="007F33D9">
        <w:rPr>
          <w:b/>
          <w:bCs/>
        </w:rPr>
        <w:t>rationale for model structure</w:t>
      </w:r>
      <w:r w:rsidR="0051226C" w:rsidRPr="007F33D9">
        <w:rPr>
          <w:b/>
          <w:bCs/>
        </w:rPr>
        <w:t xml:space="preserve"> and choice of parameter values</w:t>
      </w:r>
    </w:p>
    <w:p w14:paraId="20C36577" w14:textId="1AFC5848" w:rsidR="00FE35B5" w:rsidRPr="007F33D9" w:rsidRDefault="00FE35B5" w:rsidP="008A2828">
      <w:pPr>
        <w:spacing w:after="0"/>
        <w:rPr>
          <w:b/>
          <w:bCs/>
        </w:rPr>
      </w:pPr>
      <w:r w:rsidRPr="007F33D9">
        <w:rPr>
          <w:b/>
          <w:bCs/>
        </w:rPr>
        <w:t>Variables</w:t>
      </w:r>
      <w:r w:rsidR="001B7D63" w:rsidRPr="007F33D9">
        <w:rPr>
          <w:b/>
          <w:bCs/>
        </w:rPr>
        <w:t xml:space="preserve"> </w:t>
      </w:r>
      <w:r w:rsidR="000957C6">
        <w:rPr>
          <w:b/>
          <w:bCs/>
        </w:rPr>
        <w:t xml:space="preserve">(properties) </w:t>
      </w:r>
      <w:r w:rsidR="001B7D63" w:rsidRPr="007F33D9">
        <w:rPr>
          <w:b/>
          <w:bCs/>
        </w:rPr>
        <w:t>modelled</w:t>
      </w:r>
    </w:p>
    <w:p w14:paraId="2C25B67A" w14:textId="487FB5B6" w:rsidR="005377C8" w:rsidRPr="005377C8" w:rsidRDefault="00FC7D28" w:rsidP="008A2828">
      <w:pPr>
        <w:spacing w:after="0"/>
        <w:rPr>
          <w:bCs/>
        </w:rPr>
      </w:pPr>
      <w:r w:rsidRPr="005377C8">
        <w:rPr>
          <w:bCs/>
        </w:rPr>
        <w:t xml:space="preserve">The </w:t>
      </w:r>
      <w:r w:rsidR="00691C2B" w:rsidRPr="005377C8">
        <w:rPr>
          <w:bCs/>
        </w:rPr>
        <w:t xml:space="preserve">model </w:t>
      </w:r>
      <w:r w:rsidRPr="005377C8">
        <w:rPr>
          <w:bCs/>
        </w:rPr>
        <w:t>update</w:t>
      </w:r>
      <w:r w:rsidR="00691C2B" w:rsidRPr="005377C8">
        <w:rPr>
          <w:bCs/>
        </w:rPr>
        <w:t>s</w:t>
      </w:r>
      <w:r w:rsidRPr="005377C8">
        <w:rPr>
          <w:bCs/>
        </w:rPr>
        <w:t xml:space="preserve"> information on each individual with regard to </w:t>
      </w:r>
      <w:r w:rsidR="005377C8" w:rsidRPr="005377C8">
        <w:rPr>
          <w:bCs/>
        </w:rPr>
        <w:t>lung function</w:t>
      </w:r>
      <w:r w:rsidRPr="005377C8">
        <w:rPr>
          <w:bCs/>
        </w:rPr>
        <w:t xml:space="preserve"> status every 3 months.  </w:t>
      </w:r>
      <w:r w:rsidR="000957C6">
        <w:rPr>
          <w:b/>
        </w:rPr>
        <w:t>ch_l</w:t>
      </w:r>
      <w:r w:rsidR="005377C8" w:rsidRPr="000957C6">
        <w:rPr>
          <w:b/>
        </w:rPr>
        <w:t>ung function</w:t>
      </w:r>
      <w:r w:rsidR="005377C8" w:rsidRPr="005377C8">
        <w:rPr>
          <w:bCs/>
        </w:rPr>
        <w:t xml:space="preserve"> is a property taking the values 0 – 6 with 3 considered to represent mild COPD, 4 </w:t>
      </w:r>
      <w:r w:rsidR="005377C8">
        <w:rPr>
          <w:bCs/>
        </w:rPr>
        <w:t xml:space="preserve">moderate, 5 severe and 6 very severe </w:t>
      </w:r>
      <w:r w:rsidR="000957C6">
        <w:rPr>
          <w:bCs/>
        </w:rPr>
        <w:t xml:space="preserve">lung obstruction </w:t>
      </w:r>
      <w:r w:rsidR="005377C8">
        <w:rPr>
          <w:bCs/>
        </w:rPr>
        <w:t xml:space="preserve">(as reported in </w:t>
      </w:r>
      <w:r w:rsidR="005377C8" w:rsidRPr="005377C8">
        <w:rPr>
          <w:bCs/>
          <w:lang w:val="en-US"/>
        </w:rPr>
        <w:t>Njoroge et al 2021</w:t>
      </w:r>
      <w:r w:rsidR="005377C8">
        <w:rPr>
          <w:bCs/>
          <w:lang w:val="en-US"/>
        </w:rPr>
        <w:t xml:space="preserve">).  </w:t>
      </w:r>
      <w:r w:rsidR="005377C8" w:rsidRPr="005377C8">
        <w:rPr>
          <w:bCs/>
        </w:rPr>
        <w:t>Levels 1 and 2 represent pre-clinical low level obstruction.</w:t>
      </w:r>
      <w:r w:rsidR="000957C6">
        <w:rPr>
          <w:bCs/>
        </w:rPr>
        <w:t xml:space="preserve">  </w:t>
      </w:r>
      <w:r w:rsidR="000957C6" w:rsidRPr="000957C6">
        <w:rPr>
          <w:b/>
        </w:rPr>
        <w:t>ch_has_inhaler</w:t>
      </w:r>
      <w:r w:rsidR="000957C6">
        <w:rPr>
          <w:bCs/>
        </w:rPr>
        <w:t xml:space="preserve"> indicates whether the person has access to an inhaler, whether that be short or long acting, and whether it be a bronchodilator or a steroid inhaler.    </w:t>
      </w:r>
    </w:p>
    <w:p w14:paraId="4A1100A7" w14:textId="77777777" w:rsidR="008A2828" w:rsidRDefault="008A2828" w:rsidP="008A2828">
      <w:pPr>
        <w:spacing w:after="0"/>
        <w:rPr>
          <w:b/>
          <w:bCs/>
          <w:color w:val="000000" w:themeColor="text1"/>
        </w:rPr>
      </w:pPr>
    </w:p>
    <w:p w14:paraId="01A387AF" w14:textId="6062D1A1" w:rsidR="00CE339F" w:rsidRPr="00A044EF" w:rsidRDefault="00CE339F" w:rsidP="008A2828">
      <w:pPr>
        <w:spacing w:after="0"/>
        <w:rPr>
          <w:b/>
          <w:bCs/>
          <w:color w:val="000000" w:themeColor="text1"/>
        </w:rPr>
      </w:pPr>
      <w:r w:rsidRPr="00A044EF">
        <w:rPr>
          <w:b/>
          <w:bCs/>
          <w:color w:val="000000" w:themeColor="text1"/>
        </w:rPr>
        <w:t>Causal influences on COPD progression</w:t>
      </w:r>
    </w:p>
    <w:p w14:paraId="7E11A9A4" w14:textId="08054732" w:rsidR="00CE339F" w:rsidRPr="008240CA" w:rsidRDefault="00DD7E44" w:rsidP="008A2828">
      <w:pPr>
        <w:spacing w:after="0"/>
        <w:rPr>
          <w:color w:val="4472C4" w:themeColor="accent1"/>
        </w:rPr>
      </w:pPr>
      <w:r w:rsidRPr="00DD7E44">
        <w:rPr>
          <w:color w:val="000000" w:themeColor="text1"/>
        </w:rPr>
        <w:t>There is</w:t>
      </w:r>
      <w:r>
        <w:rPr>
          <w:color w:val="000000" w:themeColor="text1"/>
        </w:rPr>
        <w:t xml:space="preserve"> assumed to be a (very low) underlying rate of progression to the next higher lung function category.  This rate is affected by whether the person is currently a smoker (</w:t>
      </w:r>
      <w:r w:rsidRPr="00DD7E44">
        <w:rPr>
          <w:color w:val="000000" w:themeColor="text1"/>
        </w:rPr>
        <w:t>rel_risk_tob</w:t>
      </w:r>
      <w:r>
        <w:rPr>
          <w:color w:val="000000" w:themeColor="text1"/>
        </w:rPr>
        <w:t>), and whether they have a woodburning stove in their home (</w:t>
      </w:r>
      <w:r w:rsidRPr="00DD7E44">
        <w:rPr>
          <w:color w:val="000000" w:themeColor="text1"/>
        </w:rPr>
        <w:t>rel_risk_wood_burn_stove</w:t>
      </w:r>
      <w:r>
        <w:rPr>
          <w:color w:val="000000" w:themeColor="text1"/>
        </w:rPr>
        <w:t xml:space="preserve">).  </w:t>
      </w:r>
      <w:r w:rsidRPr="00DD7E44">
        <w:rPr>
          <w:color w:val="000000" w:themeColor="text1"/>
        </w:rPr>
        <w:t xml:space="preserve"> </w:t>
      </w:r>
    </w:p>
    <w:p w14:paraId="4C8700DF" w14:textId="77777777" w:rsidR="008A2828" w:rsidRDefault="008A2828" w:rsidP="008A2828">
      <w:pPr>
        <w:spacing w:after="0"/>
        <w:rPr>
          <w:b/>
          <w:bCs/>
          <w:color w:val="000000" w:themeColor="text1"/>
        </w:rPr>
      </w:pPr>
    </w:p>
    <w:p w14:paraId="5752F96B" w14:textId="0952E77B" w:rsidR="00FE35B5" w:rsidRPr="00A044EF" w:rsidRDefault="00FE35B5" w:rsidP="008A2828">
      <w:pPr>
        <w:spacing w:after="0"/>
        <w:rPr>
          <w:b/>
          <w:bCs/>
          <w:color w:val="000000" w:themeColor="text1"/>
        </w:rPr>
      </w:pPr>
      <w:r w:rsidRPr="00A044EF">
        <w:rPr>
          <w:b/>
          <w:bCs/>
          <w:color w:val="000000" w:themeColor="text1"/>
        </w:rPr>
        <w:t xml:space="preserve">Incidence of </w:t>
      </w:r>
      <w:r w:rsidR="00380B19">
        <w:rPr>
          <w:b/>
          <w:bCs/>
          <w:color w:val="000000" w:themeColor="text1"/>
        </w:rPr>
        <w:t xml:space="preserve">moderate and </w:t>
      </w:r>
      <w:r w:rsidR="00A044EF" w:rsidRPr="00A044EF">
        <w:rPr>
          <w:b/>
          <w:bCs/>
          <w:color w:val="000000" w:themeColor="text1"/>
        </w:rPr>
        <w:t>severe COPD exacerbation</w:t>
      </w:r>
      <w:r w:rsidR="00A044EF">
        <w:rPr>
          <w:b/>
          <w:bCs/>
          <w:color w:val="000000" w:themeColor="text1"/>
        </w:rPr>
        <w:t xml:space="preserve"> </w:t>
      </w:r>
    </w:p>
    <w:p w14:paraId="25376EF1" w14:textId="685B0CC1" w:rsidR="00B75D33" w:rsidRPr="00DD7E44" w:rsidRDefault="00DD7E44" w:rsidP="008A2828">
      <w:pPr>
        <w:spacing w:after="0"/>
        <w:rPr>
          <w:bCs/>
          <w:color w:val="000000" w:themeColor="text1"/>
        </w:rPr>
      </w:pPr>
      <w:r w:rsidRPr="00DD7E44">
        <w:rPr>
          <w:bCs/>
          <w:color w:val="000000" w:themeColor="text1"/>
        </w:rPr>
        <w:t>prob_mod_exacerb and prob_sev_exacerb</w:t>
      </w:r>
      <w:r w:rsidR="00834600">
        <w:rPr>
          <w:bCs/>
          <w:color w:val="000000" w:themeColor="text1"/>
        </w:rPr>
        <w:t>.  Each of these depends on the current level of ch_lungfunction.</w:t>
      </w:r>
    </w:p>
    <w:p w14:paraId="1A105100" w14:textId="77777777" w:rsidR="008A2828" w:rsidRDefault="008A2828" w:rsidP="008A2828">
      <w:pPr>
        <w:spacing w:after="0"/>
        <w:rPr>
          <w:b/>
          <w:bCs/>
          <w:color w:val="000000" w:themeColor="text1"/>
        </w:rPr>
      </w:pPr>
    </w:p>
    <w:p w14:paraId="686FFBA5" w14:textId="723944C6" w:rsidR="00FC00F0" w:rsidRPr="00FB651B" w:rsidRDefault="00FC00F0" w:rsidP="008A2828">
      <w:pPr>
        <w:spacing w:after="0"/>
        <w:rPr>
          <w:b/>
          <w:bCs/>
          <w:color w:val="000000" w:themeColor="text1"/>
        </w:rPr>
      </w:pPr>
      <w:r w:rsidRPr="00FB651B">
        <w:rPr>
          <w:b/>
          <w:bCs/>
          <w:color w:val="000000" w:themeColor="text1"/>
        </w:rPr>
        <w:t xml:space="preserve">Initiation </w:t>
      </w:r>
      <w:r w:rsidR="00AA58BB">
        <w:rPr>
          <w:b/>
          <w:bCs/>
          <w:color w:val="000000" w:themeColor="text1"/>
        </w:rPr>
        <w:t xml:space="preserve">of </w:t>
      </w:r>
      <w:r w:rsidR="00FB651B" w:rsidRPr="00FB651B">
        <w:rPr>
          <w:b/>
          <w:bCs/>
          <w:color w:val="000000" w:themeColor="text1"/>
        </w:rPr>
        <w:t>bronchodilator (alpha 2 agonist</w:t>
      </w:r>
      <w:r w:rsidR="00380B19">
        <w:rPr>
          <w:b/>
          <w:bCs/>
          <w:color w:val="000000" w:themeColor="text1"/>
        </w:rPr>
        <w:t xml:space="preserve"> or </w:t>
      </w:r>
      <w:r w:rsidR="00380B19" w:rsidRPr="00380B19">
        <w:rPr>
          <w:b/>
          <w:bCs/>
          <w:color w:val="000000" w:themeColor="text1"/>
        </w:rPr>
        <w:t>antimuscarinic</w:t>
      </w:r>
      <w:r w:rsidR="00FB651B" w:rsidRPr="00FB651B">
        <w:rPr>
          <w:b/>
          <w:bCs/>
          <w:color w:val="000000" w:themeColor="text1"/>
        </w:rPr>
        <w:t xml:space="preserve">) and/or steroid inhaler </w:t>
      </w:r>
    </w:p>
    <w:p w14:paraId="2B15CF12" w14:textId="32333357" w:rsidR="00210A2B" w:rsidRDefault="004F1E60" w:rsidP="008A2828">
      <w:pPr>
        <w:spacing w:after="0"/>
        <w:rPr>
          <w:bCs/>
          <w:color w:val="000000" w:themeColor="text1"/>
        </w:rPr>
      </w:pPr>
      <w:r w:rsidRPr="00DD7E44">
        <w:rPr>
          <w:bCs/>
          <w:color w:val="000000" w:themeColor="text1"/>
        </w:rPr>
        <w:t xml:space="preserve">We assume </w:t>
      </w:r>
      <w:r w:rsidR="00380B19" w:rsidRPr="00DD7E44">
        <w:rPr>
          <w:bCs/>
          <w:color w:val="000000" w:themeColor="text1"/>
        </w:rPr>
        <w:t xml:space="preserve">that a person with ch_lung_function </w:t>
      </w:r>
      <w:r w:rsidR="00DD7E44" w:rsidRPr="00DD7E44">
        <w:rPr>
          <w:bCs/>
          <w:color w:val="000000" w:themeColor="text1"/>
        </w:rPr>
        <w:t xml:space="preserve">= 5 or 6 with </w:t>
      </w:r>
      <w:r w:rsidR="00380B19" w:rsidRPr="00DD7E44">
        <w:rPr>
          <w:bCs/>
          <w:color w:val="000000" w:themeColor="text1"/>
        </w:rPr>
        <w:t>a moderate or severe exacerbation</w:t>
      </w:r>
      <w:r w:rsidR="00DD7E44" w:rsidRPr="00DD7E44">
        <w:rPr>
          <w:bCs/>
          <w:color w:val="000000" w:themeColor="text1"/>
        </w:rPr>
        <w:t xml:space="preserve"> will present for care and be given an inhaler to use thereafter.  </w:t>
      </w:r>
      <w:r w:rsidR="00380B19" w:rsidRPr="00DD7E44">
        <w:rPr>
          <w:bCs/>
          <w:color w:val="000000" w:themeColor="text1"/>
        </w:rPr>
        <w:t xml:space="preserve"> </w:t>
      </w:r>
    </w:p>
    <w:p w14:paraId="3E315F7E" w14:textId="77777777" w:rsidR="00622F96" w:rsidRDefault="00622F96" w:rsidP="008A2828">
      <w:pPr>
        <w:spacing w:after="0"/>
        <w:rPr>
          <w:b/>
          <w:bCs/>
          <w:color w:val="000000" w:themeColor="text1"/>
        </w:rPr>
      </w:pPr>
    </w:p>
    <w:p w14:paraId="7DB4F74F" w14:textId="2FB141AD" w:rsidR="0095443D" w:rsidRPr="00FB651B" w:rsidRDefault="0095443D" w:rsidP="008A2828">
      <w:pPr>
        <w:spacing w:after="0"/>
        <w:rPr>
          <w:b/>
          <w:bCs/>
          <w:color w:val="000000" w:themeColor="text1"/>
        </w:rPr>
      </w:pPr>
      <w:r w:rsidRPr="00FB651B">
        <w:rPr>
          <w:b/>
          <w:bCs/>
          <w:color w:val="000000" w:themeColor="text1"/>
        </w:rPr>
        <w:t>Disability weights</w:t>
      </w:r>
    </w:p>
    <w:p w14:paraId="22807E92" w14:textId="3BD805FA" w:rsidR="00FA6877" w:rsidRPr="008A2828" w:rsidRDefault="008A2828" w:rsidP="008A2828">
      <w:pPr>
        <w:spacing w:after="0"/>
        <w:rPr>
          <w:rFonts w:ascii="Calibri" w:eastAsia="Times New Roman" w:hAnsi="Calibri" w:cs="Calibri"/>
          <w:color w:val="000000" w:themeColor="text1"/>
          <w:lang w:eastAsia="en-GB"/>
        </w:rPr>
      </w:pPr>
      <w:r>
        <w:rPr>
          <w:rFonts w:ascii="Calibri" w:eastAsia="Times New Roman" w:hAnsi="Calibri" w:cs="Calibri"/>
          <w:color w:val="000000" w:themeColor="text1"/>
          <w:lang w:eastAsia="en-GB"/>
        </w:rPr>
        <w:t xml:space="preserve">Lungfunction category 4    0.02 </w:t>
      </w:r>
      <w:r w:rsidR="005912E7">
        <w:rPr>
          <w:rFonts w:ascii="Calibri" w:eastAsia="Times New Roman" w:hAnsi="Calibri" w:cs="Calibri"/>
          <w:color w:val="000000" w:themeColor="text1"/>
          <w:lang w:eastAsia="en-GB"/>
        </w:rPr>
        <w:t xml:space="preserve">  </w:t>
      </w:r>
      <w:r>
        <w:rPr>
          <w:rFonts w:ascii="Calibri" w:eastAsia="Times New Roman" w:hAnsi="Calibri" w:cs="Calibri"/>
          <w:color w:val="000000" w:themeColor="text1"/>
          <w:lang w:eastAsia="en-GB"/>
        </w:rPr>
        <w:t>Lungfunction category 5    0.</w:t>
      </w:r>
      <w:r w:rsidR="00F20209">
        <w:rPr>
          <w:rFonts w:ascii="Calibri" w:eastAsia="Times New Roman" w:hAnsi="Calibri" w:cs="Calibri"/>
          <w:color w:val="000000" w:themeColor="text1"/>
          <w:lang w:eastAsia="en-GB"/>
        </w:rPr>
        <w:t>20</w:t>
      </w:r>
      <w:r w:rsidR="005912E7">
        <w:rPr>
          <w:rFonts w:ascii="Calibri" w:eastAsia="Times New Roman" w:hAnsi="Calibri" w:cs="Calibri"/>
          <w:color w:val="000000" w:themeColor="text1"/>
          <w:lang w:eastAsia="en-GB"/>
        </w:rPr>
        <w:t xml:space="preserve">   </w:t>
      </w:r>
      <w:r>
        <w:rPr>
          <w:rFonts w:ascii="Calibri" w:eastAsia="Times New Roman" w:hAnsi="Calibri" w:cs="Calibri"/>
          <w:color w:val="000000" w:themeColor="text1"/>
          <w:lang w:eastAsia="en-GB"/>
        </w:rPr>
        <w:t>Lungfunction category 6    0.</w:t>
      </w:r>
      <w:r w:rsidR="00F20209">
        <w:rPr>
          <w:rFonts w:ascii="Calibri" w:eastAsia="Times New Roman" w:hAnsi="Calibri" w:cs="Calibri"/>
          <w:color w:val="000000" w:themeColor="text1"/>
          <w:lang w:eastAsia="en-GB"/>
        </w:rPr>
        <w:t>40</w:t>
      </w:r>
    </w:p>
    <w:p w14:paraId="3AEB177E" w14:textId="77777777" w:rsidR="008A2828" w:rsidRDefault="008A2828" w:rsidP="008A2828">
      <w:pPr>
        <w:spacing w:after="0"/>
        <w:rPr>
          <w:b/>
          <w:color w:val="000000" w:themeColor="text1"/>
        </w:rPr>
      </w:pPr>
    </w:p>
    <w:p w14:paraId="12643F5B" w14:textId="5CB58639" w:rsidR="00A044EF" w:rsidRPr="00A044EF" w:rsidRDefault="00A044EF" w:rsidP="008A2828">
      <w:pPr>
        <w:spacing w:after="0"/>
        <w:rPr>
          <w:b/>
          <w:color w:val="000000" w:themeColor="text1"/>
        </w:rPr>
      </w:pPr>
      <w:r w:rsidRPr="00A044EF">
        <w:rPr>
          <w:b/>
          <w:color w:val="000000" w:themeColor="text1"/>
        </w:rPr>
        <w:t>Symptoms</w:t>
      </w:r>
    </w:p>
    <w:p w14:paraId="52D6F59C" w14:textId="6D99D75B" w:rsidR="00A044EF" w:rsidRPr="00AA58BB" w:rsidRDefault="00AA58BB" w:rsidP="008A2828">
      <w:pPr>
        <w:spacing w:after="0"/>
        <w:rPr>
          <w:bCs/>
          <w:color w:val="000000" w:themeColor="text1"/>
        </w:rPr>
      </w:pPr>
      <w:r w:rsidRPr="00AA58BB">
        <w:rPr>
          <w:bCs/>
          <w:color w:val="000000" w:themeColor="text1"/>
        </w:rPr>
        <w:t>breathless_moderate and breathless_severe</w:t>
      </w:r>
      <w:r w:rsidR="00834600">
        <w:rPr>
          <w:bCs/>
          <w:color w:val="000000" w:themeColor="text1"/>
        </w:rPr>
        <w:t xml:space="preserve"> are synonymous with currently having a moderate or severe exacerbation.  E</w:t>
      </w:r>
      <w:r w:rsidRPr="00AA58BB">
        <w:rPr>
          <w:bCs/>
          <w:color w:val="000000" w:themeColor="text1"/>
        </w:rPr>
        <w:t xml:space="preserve">ach of </w:t>
      </w:r>
      <w:r w:rsidR="00834600">
        <w:rPr>
          <w:bCs/>
          <w:color w:val="000000" w:themeColor="text1"/>
        </w:rPr>
        <w:t>these</w:t>
      </w:r>
      <w:r w:rsidRPr="00AA58BB">
        <w:rPr>
          <w:bCs/>
          <w:color w:val="000000" w:themeColor="text1"/>
        </w:rPr>
        <w:t xml:space="preserve"> prompt</w:t>
      </w:r>
      <w:r w:rsidR="00834600">
        <w:rPr>
          <w:bCs/>
          <w:color w:val="000000" w:themeColor="text1"/>
        </w:rPr>
        <w:t>s</w:t>
      </w:r>
      <w:r w:rsidRPr="00AA58BB">
        <w:rPr>
          <w:bCs/>
          <w:color w:val="000000" w:themeColor="text1"/>
        </w:rPr>
        <w:t xml:space="preserve"> presentation for health care.</w:t>
      </w:r>
      <w:r w:rsidR="00834600">
        <w:rPr>
          <w:bCs/>
          <w:color w:val="000000" w:themeColor="text1"/>
        </w:rPr>
        <w:t xml:space="preserve">  </w:t>
      </w:r>
    </w:p>
    <w:p w14:paraId="437A7387" w14:textId="77777777" w:rsidR="008A2828" w:rsidRDefault="008A2828" w:rsidP="008A2828">
      <w:pPr>
        <w:spacing w:after="0"/>
        <w:jc w:val="both"/>
        <w:rPr>
          <w:b/>
          <w:bCs/>
          <w:color w:val="000000" w:themeColor="text1"/>
        </w:rPr>
      </w:pPr>
    </w:p>
    <w:p w14:paraId="653ADE79" w14:textId="7F002438" w:rsidR="00CA74E5" w:rsidRPr="00FB651B" w:rsidRDefault="00CA74E5" w:rsidP="008A2828">
      <w:pPr>
        <w:spacing w:after="0"/>
        <w:jc w:val="both"/>
        <w:rPr>
          <w:b/>
          <w:bCs/>
          <w:color w:val="000000" w:themeColor="text1"/>
        </w:rPr>
      </w:pPr>
      <w:r w:rsidRPr="00FB651B">
        <w:rPr>
          <w:b/>
          <w:bCs/>
          <w:color w:val="000000" w:themeColor="text1"/>
        </w:rPr>
        <w:t>Health System Interactions</w:t>
      </w:r>
    </w:p>
    <w:p w14:paraId="7E785459" w14:textId="53BDC2E6" w:rsidR="00CA74E5" w:rsidRDefault="005912E7" w:rsidP="008A2828">
      <w:pPr>
        <w:spacing w:after="0"/>
        <w:jc w:val="both"/>
        <w:rPr>
          <w:bCs/>
          <w:color w:val="000000" w:themeColor="text1"/>
        </w:rPr>
      </w:pPr>
      <w:r w:rsidRPr="00AA58BB">
        <w:rPr>
          <w:bCs/>
          <w:color w:val="000000" w:themeColor="text1"/>
        </w:rPr>
        <w:t xml:space="preserve">breathless_moderate </w:t>
      </w:r>
      <w:r>
        <w:rPr>
          <w:bCs/>
          <w:color w:val="000000" w:themeColor="text1"/>
        </w:rPr>
        <w:t>or</w:t>
      </w:r>
      <w:r w:rsidRPr="00AA58BB">
        <w:rPr>
          <w:bCs/>
          <w:color w:val="000000" w:themeColor="text1"/>
        </w:rPr>
        <w:t xml:space="preserve"> breathless_severe</w:t>
      </w:r>
      <w:r w:rsidRPr="00A044EF">
        <w:rPr>
          <w:i/>
          <w:iCs/>
          <w:color w:val="000000" w:themeColor="text1"/>
        </w:rPr>
        <w:t xml:space="preserve"> </w:t>
      </w:r>
      <w:r w:rsidRPr="00AA58BB">
        <w:rPr>
          <w:bCs/>
          <w:color w:val="000000" w:themeColor="text1"/>
        </w:rPr>
        <w:t>prompt presentation for health care</w:t>
      </w:r>
      <w:r>
        <w:rPr>
          <w:bCs/>
          <w:color w:val="000000" w:themeColor="text1"/>
        </w:rPr>
        <w:t>.  An inhaler is given (if available).  If breathless_severe then oxygen is provided if available.</w:t>
      </w:r>
    </w:p>
    <w:p w14:paraId="2D326D9B" w14:textId="77777777" w:rsidR="00622F96" w:rsidRDefault="00622F96" w:rsidP="008A2828">
      <w:pPr>
        <w:spacing w:after="0"/>
        <w:jc w:val="both"/>
        <w:rPr>
          <w:bCs/>
          <w:color w:val="000000" w:themeColor="text1"/>
        </w:rPr>
      </w:pPr>
    </w:p>
    <w:p w14:paraId="2C868DB7" w14:textId="77777777" w:rsidR="00622F96" w:rsidRPr="00A044EF" w:rsidRDefault="00622F96" w:rsidP="00622F96">
      <w:pPr>
        <w:spacing w:after="0"/>
        <w:rPr>
          <w:b/>
          <w:bCs/>
          <w:color w:val="000000" w:themeColor="text1"/>
        </w:rPr>
      </w:pPr>
      <w:r w:rsidRPr="00A044EF">
        <w:rPr>
          <w:b/>
          <w:bCs/>
          <w:color w:val="000000" w:themeColor="text1"/>
        </w:rPr>
        <w:t>Risk of death from COPD given a severe exacerbation</w:t>
      </w:r>
    </w:p>
    <w:p w14:paraId="40F76458" w14:textId="77777777" w:rsidR="00622F96" w:rsidRDefault="00622F96" w:rsidP="00622F96">
      <w:pPr>
        <w:spacing w:after="0"/>
        <w:rPr>
          <w:b/>
          <w:bCs/>
          <w:color w:val="000000" w:themeColor="text1"/>
        </w:rPr>
      </w:pPr>
      <w:r w:rsidRPr="00380B19">
        <w:rPr>
          <w:rFonts w:ascii="Calibri" w:hAnsi="Calibri" w:cs="Calibri"/>
          <w:color w:val="000000" w:themeColor="text1"/>
        </w:rPr>
        <w:t xml:space="preserve">Given a severe exacerbation, the risk of death is </w:t>
      </w:r>
      <w:r w:rsidRPr="00834600">
        <w:rPr>
          <w:rFonts w:ascii="Calibri" w:hAnsi="Calibri" w:cs="Calibri"/>
          <w:color w:val="000000" w:themeColor="text1"/>
        </w:rPr>
        <w:t>dependent on age.</w:t>
      </w:r>
    </w:p>
    <w:p w14:paraId="6DD16D04" w14:textId="77777777" w:rsidR="00622F96" w:rsidRDefault="00622F96" w:rsidP="00622F96">
      <w:pPr>
        <w:spacing w:after="0"/>
        <w:rPr>
          <w:b/>
          <w:bCs/>
          <w:color w:val="000000" w:themeColor="text1"/>
        </w:rPr>
      </w:pPr>
    </w:p>
    <w:p w14:paraId="1650259F" w14:textId="77777777" w:rsidR="00622F96" w:rsidRPr="00FB651B" w:rsidRDefault="00622F96" w:rsidP="00622F96">
      <w:pPr>
        <w:spacing w:after="0"/>
        <w:rPr>
          <w:b/>
          <w:bCs/>
          <w:color w:val="000000" w:themeColor="text1"/>
        </w:rPr>
      </w:pPr>
      <w:r w:rsidRPr="00FB651B">
        <w:rPr>
          <w:b/>
          <w:bCs/>
          <w:color w:val="000000" w:themeColor="text1"/>
        </w:rPr>
        <w:t>Effect of oxygen on risk of death from severe exacerbation</w:t>
      </w:r>
    </w:p>
    <w:p w14:paraId="1BBFFF49" w14:textId="77777777" w:rsidR="00622F96" w:rsidRPr="00380B19" w:rsidRDefault="00622F96" w:rsidP="00622F96">
      <w:pPr>
        <w:spacing w:after="0"/>
        <w:rPr>
          <w:rFonts w:ascii="Calibri" w:hAnsi="Calibri" w:cs="Calibri"/>
          <w:color w:val="000000" w:themeColor="text1"/>
        </w:rPr>
      </w:pPr>
      <w:r>
        <w:rPr>
          <w:rFonts w:ascii="Calibri" w:hAnsi="Calibri" w:cs="Calibri"/>
          <w:color w:val="000000" w:themeColor="text1"/>
        </w:rPr>
        <w:t>Access to oxygen during the exacerbation reduces the risk by multiplying by 0.6.</w:t>
      </w:r>
    </w:p>
    <w:p w14:paraId="5C365C7A" w14:textId="77777777" w:rsidR="00622F96" w:rsidRPr="00364678" w:rsidRDefault="00622F96" w:rsidP="008A2828">
      <w:pPr>
        <w:spacing w:after="0"/>
        <w:jc w:val="both"/>
        <w:rPr>
          <w:b/>
          <w:bCs/>
          <w:color w:val="000000" w:themeColor="text1"/>
        </w:rPr>
      </w:pPr>
    </w:p>
    <w:p w14:paraId="345F4BC9" w14:textId="518BDC2E" w:rsidR="00362969" w:rsidRDefault="00362969">
      <w:pPr>
        <w:rPr>
          <w:b/>
          <w:bCs/>
          <w:color w:val="000000" w:themeColor="text1"/>
        </w:rPr>
      </w:pPr>
    </w:p>
    <w:p w14:paraId="3392A04A" w14:textId="611316D1" w:rsidR="00FB3E0E" w:rsidRPr="00FB651B" w:rsidRDefault="00FB3E0E" w:rsidP="008A2828">
      <w:pPr>
        <w:spacing w:after="0"/>
        <w:rPr>
          <w:b/>
          <w:bCs/>
          <w:color w:val="000000" w:themeColor="text1"/>
        </w:rPr>
      </w:pPr>
      <w:r w:rsidRPr="00FB651B">
        <w:rPr>
          <w:b/>
          <w:bCs/>
          <w:color w:val="000000" w:themeColor="text1"/>
        </w:rPr>
        <w:lastRenderedPageBreak/>
        <w:t>Main Limitations</w:t>
      </w:r>
      <w:r w:rsidR="00FB651B">
        <w:rPr>
          <w:b/>
          <w:bCs/>
          <w:color w:val="000000" w:themeColor="text1"/>
        </w:rPr>
        <w:t xml:space="preserve"> </w:t>
      </w:r>
    </w:p>
    <w:p w14:paraId="1F6C92DD" w14:textId="0B2AD7A5" w:rsidR="00D3113E" w:rsidRPr="00364678" w:rsidRDefault="00F46D86" w:rsidP="008A2828">
      <w:pPr>
        <w:spacing w:after="0"/>
        <w:rPr>
          <w:bCs/>
          <w:color w:val="000000" w:themeColor="text1"/>
        </w:rPr>
      </w:pPr>
      <w:r w:rsidRPr="00F46D86">
        <w:rPr>
          <w:bCs/>
          <w:color w:val="000000" w:themeColor="text1"/>
        </w:rPr>
        <w:t>We consider that the structure conveys the progression and outcomes of COPD at an adequate level, given current knowledge, but some uncertainty remains.  There are very few direct data</w:t>
      </w:r>
      <w:r w:rsidR="00364678">
        <w:rPr>
          <w:bCs/>
          <w:color w:val="000000" w:themeColor="text1"/>
        </w:rPr>
        <w:t xml:space="preserve"> </w:t>
      </w:r>
      <w:r w:rsidRPr="00F46D86">
        <w:rPr>
          <w:bCs/>
          <w:color w:val="000000" w:themeColor="text1"/>
        </w:rPr>
        <w:t xml:space="preserve">from Malawi available. </w:t>
      </w:r>
      <w:r w:rsidR="00834600">
        <w:rPr>
          <w:bCs/>
          <w:color w:val="000000" w:themeColor="text1"/>
        </w:rPr>
        <w:t xml:space="preserve"> The effect on progression of lung obstruction (increase in ch_lungfunction) of living in a home with a woodburning stove is very uncertain. </w:t>
      </w:r>
      <w:r w:rsidRPr="00F46D86">
        <w:rPr>
          <w:bCs/>
          <w:color w:val="000000" w:themeColor="text1"/>
        </w:rPr>
        <w:t xml:space="preserve"> More generally, it is often unclear from epidemiologic and trial data what is the role of COPD per se compared with other effects of smoking.</w:t>
      </w:r>
    </w:p>
    <w:p w14:paraId="3938AF46" w14:textId="77777777" w:rsidR="008A2828" w:rsidRDefault="008A2828" w:rsidP="008A2828">
      <w:pPr>
        <w:spacing w:after="0"/>
        <w:rPr>
          <w:b/>
          <w:bCs/>
          <w:color w:val="000000" w:themeColor="text1"/>
        </w:rPr>
      </w:pPr>
    </w:p>
    <w:p w14:paraId="234AE85A" w14:textId="6429F8BF" w:rsidR="00176603" w:rsidRPr="00364678" w:rsidRDefault="00176603" w:rsidP="008A2828">
      <w:pPr>
        <w:spacing w:after="0"/>
        <w:rPr>
          <w:b/>
          <w:bCs/>
          <w:color w:val="000000" w:themeColor="text1"/>
        </w:rPr>
      </w:pPr>
      <w:r w:rsidRPr="00FB651B">
        <w:rPr>
          <w:b/>
          <w:bCs/>
          <w:color w:val="000000" w:themeColor="text1"/>
        </w:rPr>
        <w:t xml:space="preserve">Outstanding Issues </w:t>
      </w:r>
    </w:p>
    <w:p w14:paraId="39C6C094" w14:textId="144662A3" w:rsidR="00FB651B" w:rsidRPr="00364678" w:rsidRDefault="00364678" w:rsidP="008A2828">
      <w:pPr>
        <w:spacing w:after="0"/>
        <w:rPr>
          <w:bCs/>
          <w:color w:val="000000" w:themeColor="text1"/>
        </w:rPr>
      </w:pPr>
      <w:r w:rsidRPr="00364678">
        <w:rPr>
          <w:bCs/>
          <w:color w:val="000000" w:themeColor="text1"/>
        </w:rPr>
        <w:t>Uncertain whether t</w:t>
      </w:r>
      <w:r w:rsidRPr="00834600">
        <w:rPr>
          <w:bCs/>
          <w:color w:val="000000" w:themeColor="text1"/>
        </w:rPr>
        <w:t>o assume an effect of inhaler use on progression of underlying lung function</w:t>
      </w:r>
      <w:r w:rsidR="00834600" w:rsidRPr="00834600">
        <w:rPr>
          <w:bCs/>
          <w:color w:val="000000" w:themeColor="text1"/>
        </w:rPr>
        <w:t xml:space="preserve"> </w:t>
      </w:r>
      <w:r w:rsidR="00834600" w:rsidRPr="00834600">
        <w:rPr>
          <w:color w:val="000000" w:themeColor="text1"/>
        </w:rPr>
        <w:t>(Tashkin et al)</w:t>
      </w:r>
      <w:r w:rsidRPr="00834600">
        <w:rPr>
          <w:bCs/>
          <w:color w:val="000000" w:themeColor="text1"/>
        </w:rPr>
        <w:t>.</w:t>
      </w:r>
      <w:r w:rsidR="00834600" w:rsidRPr="00834600">
        <w:rPr>
          <w:bCs/>
          <w:color w:val="000000" w:themeColor="text1"/>
        </w:rPr>
        <w:t xml:space="preserve">  There</w:t>
      </w:r>
      <w:r w:rsidR="00834600">
        <w:rPr>
          <w:bCs/>
          <w:color w:val="000000" w:themeColor="text1"/>
        </w:rPr>
        <w:t xml:space="preserve"> perhaps should be an effect of inhaler access/use on the current disability weight.  </w:t>
      </w:r>
    </w:p>
    <w:p w14:paraId="3F084392" w14:textId="77777777" w:rsidR="008A2828" w:rsidRDefault="008A2828" w:rsidP="008A2828">
      <w:pPr>
        <w:spacing w:after="0"/>
        <w:rPr>
          <w:b/>
          <w:bCs/>
          <w:color w:val="000000" w:themeColor="text1"/>
        </w:rPr>
      </w:pPr>
    </w:p>
    <w:p w14:paraId="277338CB" w14:textId="4EA8DBE2" w:rsidR="00364678" w:rsidRDefault="00D53D83" w:rsidP="008A2828">
      <w:pPr>
        <w:spacing w:after="0"/>
        <w:rPr>
          <w:bCs/>
          <w:color w:val="000000" w:themeColor="text1"/>
        </w:rPr>
      </w:pPr>
      <w:r w:rsidRPr="00364678">
        <w:rPr>
          <w:b/>
          <w:bCs/>
          <w:color w:val="000000" w:themeColor="text1"/>
        </w:rPr>
        <w:t>Contributors</w:t>
      </w:r>
      <w:r w:rsidR="00176603" w:rsidRPr="00364678">
        <w:rPr>
          <w:b/>
          <w:bCs/>
          <w:color w:val="000000" w:themeColor="text1"/>
        </w:rPr>
        <w:t xml:space="preserve"> to this module</w:t>
      </w:r>
    </w:p>
    <w:p w14:paraId="72218079" w14:textId="6FEF2660" w:rsidR="00A21608" w:rsidRPr="00FE242A" w:rsidRDefault="00364678" w:rsidP="008A2828">
      <w:pPr>
        <w:spacing w:after="0"/>
        <w:rPr>
          <w:b/>
          <w:bCs/>
          <w:color w:val="000000" w:themeColor="text1"/>
        </w:rPr>
      </w:pPr>
      <w:r>
        <w:rPr>
          <w:bCs/>
          <w:color w:val="000000" w:themeColor="text1"/>
        </w:rPr>
        <w:t xml:space="preserve">Emmanuel Mnjowe, Andrew Phillips, </w:t>
      </w:r>
      <w:r w:rsidR="00834600">
        <w:rPr>
          <w:bCs/>
          <w:color w:val="000000" w:themeColor="text1"/>
        </w:rPr>
        <w:t xml:space="preserve">Tim Colbourn, Joe Collins, </w:t>
      </w:r>
      <w:r>
        <w:rPr>
          <w:bCs/>
          <w:color w:val="000000" w:themeColor="text1"/>
        </w:rPr>
        <w:t>Timothy Hallett</w:t>
      </w:r>
      <w:r w:rsidR="00834600">
        <w:rPr>
          <w:bCs/>
          <w:color w:val="000000" w:themeColor="text1"/>
        </w:rPr>
        <w:t>.</w:t>
      </w:r>
      <w:r w:rsidR="00A21608" w:rsidRPr="00AC5CAF">
        <w:rPr>
          <w:bCs/>
          <w:color w:val="4472C4" w:themeColor="accent1"/>
        </w:rPr>
        <w:br w:type="page"/>
      </w:r>
    </w:p>
    <w:p w14:paraId="0A4A83E4" w14:textId="77777777" w:rsidR="00A21608" w:rsidRPr="00AC5CAF" w:rsidRDefault="00A21608">
      <w:pPr>
        <w:rPr>
          <w:color w:val="4472C4" w:themeColor="accent1"/>
        </w:rPr>
        <w:sectPr w:rsidR="00A21608" w:rsidRPr="00AC5CAF" w:rsidSect="00224E2F">
          <w:pgSz w:w="11906" w:h="16838"/>
          <w:pgMar w:top="1440" w:right="1440" w:bottom="1440" w:left="1440" w:header="708" w:footer="708" w:gutter="0"/>
          <w:cols w:space="708"/>
          <w:docGrid w:linePitch="360"/>
        </w:sectPr>
      </w:pPr>
    </w:p>
    <w:p w14:paraId="67B284E3" w14:textId="0629FB6C" w:rsidR="00441225" w:rsidRPr="00A044EF" w:rsidRDefault="0009436E">
      <w:pPr>
        <w:rPr>
          <w:b/>
          <w:color w:val="000000" w:themeColor="text1"/>
        </w:rPr>
      </w:pPr>
      <w:r>
        <w:rPr>
          <w:b/>
          <w:noProof/>
          <w:color w:val="000000" w:themeColor="text1"/>
          <w:lang w:val="en-US"/>
        </w:rPr>
        <w:lastRenderedPageBreak/>
        <w:drawing>
          <wp:anchor distT="0" distB="0" distL="114300" distR="114300" simplePos="0" relativeHeight="251658240" behindDoc="1" locked="0" layoutInCell="1" allowOverlap="1" wp14:anchorId="29061FC1" wp14:editId="7A957272">
            <wp:simplePos x="0" y="0"/>
            <wp:positionH relativeFrom="margin">
              <wp:align>left</wp:align>
            </wp:positionH>
            <wp:positionV relativeFrom="paragraph">
              <wp:posOffset>285750</wp:posOffset>
            </wp:positionV>
            <wp:extent cx="7835900" cy="4257106"/>
            <wp:effectExtent l="0" t="0" r="0" b="0"/>
            <wp:wrapNone/>
            <wp:docPr id="41871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35900" cy="4257106"/>
                    </a:xfrm>
                    <a:prstGeom prst="rect">
                      <a:avLst/>
                    </a:prstGeom>
                    <a:noFill/>
                  </pic:spPr>
                </pic:pic>
              </a:graphicData>
            </a:graphic>
            <wp14:sizeRelH relativeFrom="page">
              <wp14:pctWidth>0</wp14:pctWidth>
            </wp14:sizeRelH>
            <wp14:sizeRelV relativeFrom="page">
              <wp14:pctHeight>0</wp14:pctHeight>
            </wp14:sizeRelV>
          </wp:anchor>
        </w:drawing>
      </w:r>
      <w:r w:rsidR="002D6EE0" w:rsidRPr="00A044EF">
        <w:rPr>
          <w:b/>
          <w:color w:val="000000" w:themeColor="text1"/>
        </w:rPr>
        <w:t xml:space="preserve">Figure 1.  </w:t>
      </w:r>
      <w:r w:rsidR="00274A3E">
        <w:rPr>
          <w:b/>
          <w:color w:val="000000" w:themeColor="text1"/>
        </w:rPr>
        <w:t>M</w:t>
      </w:r>
      <w:r w:rsidR="00441225" w:rsidRPr="00A044EF">
        <w:rPr>
          <w:b/>
          <w:color w:val="000000" w:themeColor="text1"/>
        </w:rPr>
        <w:t xml:space="preserve">odel structure and parameters.  </w:t>
      </w:r>
    </w:p>
    <w:p w14:paraId="7FD993C7" w14:textId="39EE4DC3" w:rsidR="00274A3E" w:rsidRDefault="00274A3E">
      <w:pPr>
        <w:rPr>
          <w:b/>
          <w:color w:val="000000" w:themeColor="text1"/>
        </w:rPr>
      </w:pPr>
    </w:p>
    <w:p w14:paraId="218FEDF3" w14:textId="3B759214" w:rsidR="00441225" w:rsidRDefault="00441225">
      <w:pPr>
        <w:rPr>
          <w:color w:val="4472C4" w:themeColor="accent1"/>
        </w:rPr>
      </w:pPr>
      <w:r w:rsidRPr="00AC5CAF">
        <w:rPr>
          <w:color w:val="4472C4" w:themeColor="accent1"/>
        </w:rPr>
        <w:br w:type="page"/>
      </w:r>
    </w:p>
    <w:p w14:paraId="1386DD7A" w14:textId="6847A0D5" w:rsidR="0009436E" w:rsidRPr="0009436E" w:rsidRDefault="0009436E">
      <w:pPr>
        <w:rPr>
          <w:b/>
          <w:color w:val="000000" w:themeColor="text1"/>
        </w:rPr>
      </w:pPr>
      <w:r w:rsidRPr="0009436E">
        <w:rPr>
          <w:b/>
          <w:color w:val="000000" w:themeColor="text1"/>
        </w:rPr>
        <w:lastRenderedPageBreak/>
        <w:t>Table 1.</w:t>
      </w:r>
      <w:r>
        <w:rPr>
          <w:b/>
          <w:color w:val="000000" w:themeColor="text1"/>
        </w:rPr>
        <w:t xml:space="preserve">  </w:t>
      </w:r>
      <w:r w:rsidR="00834600">
        <w:rPr>
          <w:b/>
          <w:color w:val="000000" w:themeColor="text1"/>
        </w:rPr>
        <w:t>Individual p</w:t>
      </w:r>
      <w:r>
        <w:rPr>
          <w:b/>
          <w:color w:val="000000" w:themeColor="text1"/>
        </w:rPr>
        <w:t>roperties.</w:t>
      </w:r>
    </w:p>
    <w:tbl>
      <w:tblPr>
        <w:tblStyle w:val="TableGrid"/>
        <w:tblW w:w="0" w:type="auto"/>
        <w:tblCellMar>
          <w:top w:w="113" w:type="dxa"/>
          <w:bottom w:w="113" w:type="dxa"/>
        </w:tblCellMar>
        <w:tblLook w:val="04A0" w:firstRow="1" w:lastRow="0" w:firstColumn="1" w:lastColumn="0" w:noHBand="0" w:noVBand="1"/>
      </w:tblPr>
      <w:tblGrid>
        <w:gridCol w:w="2835"/>
        <w:gridCol w:w="10490"/>
      </w:tblGrid>
      <w:tr w:rsidR="0009436E" w:rsidRPr="00AC5CAF" w14:paraId="547E77BC" w14:textId="77777777" w:rsidTr="0009436E">
        <w:trPr>
          <w:trHeight w:val="310"/>
        </w:trPr>
        <w:tc>
          <w:tcPr>
            <w:tcW w:w="2835" w:type="dxa"/>
            <w:tcBorders>
              <w:top w:val="nil"/>
              <w:left w:val="nil"/>
              <w:bottom w:val="nil"/>
              <w:right w:val="nil"/>
            </w:tcBorders>
            <w:shd w:val="clear" w:color="auto" w:fill="BFBFBF" w:themeFill="background1" w:themeFillShade="BF"/>
            <w:noWrap/>
            <w:hideMark/>
          </w:tcPr>
          <w:p w14:paraId="4C218E17" w14:textId="77777777" w:rsidR="0009436E" w:rsidRPr="00F95424" w:rsidRDefault="0009436E">
            <w:pPr>
              <w:rPr>
                <w:b/>
                <w:bCs/>
              </w:rPr>
            </w:pPr>
            <w:r w:rsidRPr="00F95424">
              <w:rPr>
                <w:b/>
                <w:bCs/>
              </w:rPr>
              <w:t>Variable</w:t>
            </w:r>
          </w:p>
        </w:tc>
        <w:tc>
          <w:tcPr>
            <w:tcW w:w="10490" w:type="dxa"/>
            <w:tcBorders>
              <w:top w:val="nil"/>
              <w:left w:val="nil"/>
              <w:bottom w:val="nil"/>
              <w:right w:val="nil"/>
            </w:tcBorders>
            <w:shd w:val="clear" w:color="auto" w:fill="BFBFBF" w:themeFill="background1" w:themeFillShade="BF"/>
            <w:noWrap/>
            <w:hideMark/>
          </w:tcPr>
          <w:p w14:paraId="3E54D622" w14:textId="77777777" w:rsidR="0009436E" w:rsidRPr="00F95424" w:rsidRDefault="0009436E">
            <w:pPr>
              <w:rPr>
                <w:b/>
                <w:bCs/>
              </w:rPr>
            </w:pPr>
            <w:r w:rsidRPr="00F95424">
              <w:rPr>
                <w:b/>
                <w:bCs/>
              </w:rPr>
              <w:t>Description</w:t>
            </w:r>
          </w:p>
        </w:tc>
      </w:tr>
      <w:tr w:rsidR="0009436E" w:rsidRPr="00AC5CAF" w14:paraId="2DD2E643" w14:textId="77777777" w:rsidTr="0009436E">
        <w:trPr>
          <w:trHeight w:val="997"/>
        </w:trPr>
        <w:tc>
          <w:tcPr>
            <w:tcW w:w="2835" w:type="dxa"/>
            <w:tcBorders>
              <w:top w:val="nil"/>
              <w:left w:val="nil"/>
              <w:bottom w:val="nil"/>
              <w:right w:val="nil"/>
            </w:tcBorders>
            <w:shd w:val="clear" w:color="auto" w:fill="F2F2F2" w:themeFill="background1" w:themeFillShade="F2"/>
            <w:noWrap/>
            <w:hideMark/>
          </w:tcPr>
          <w:p w14:paraId="12C445EF" w14:textId="2487E0BB" w:rsidR="0009436E" w:rsidRPr="00AC5CAF" w:rsidRDefault="0009436E" w:rsidP="00440920">
            <w:pPr>
              <w:rPr>
                <w:rFonts w:ascii="Calibri" w:hAnsi="Calibri" w:cs="Calibri"/>
                <w:color w:val="4472C4" w:themeColor="accent1"/>
              </w:rPr>
            </w:pPr>
            <w:r w:rsidRPr="00F95424">
              <w:rPr>
                <w:rFonts w:ascii="Calibri" w:hAnsi="Calibri" w:cs="Calibri"/>
              </w:rPr>
              <w:t>ch_lungfunction</w:t>
            </w:r>
          </w:p>
        </w:tc>
        <w:tc>
          <w:tcPr>
            <w:tcW w:w="10490" w:type="dxa"/>
            <w:tcBorders>
              <w:top w:val="nil"/>
              <w:left w:val="nil"/>
              <w:bottom w:val="nil"/>
              <w:right w:val="nil"/>
            </w:tcBorders>
            <w:noWrap/>
            <w:hideMark/>
          </w:tcPr>
          <w:p w14:paraId="0EBBA51D" w14:textId="04C0FB52" w:rsidR="0009436E" w:rsidRPr="00AC5CAF" w:rsidRDefault="0009436E" w:rsidP="00440920">
            <w:pPr>
              <w:rPr>
                <w:rFonts w:ascii="Calibri" w:hAnsi="Calibri" w:cs="Calibri"/>
                <w:color w:val="4472C4" w:themeColor="accent1"/>
                <w:sz w:val="24"/>
                <w:szCs w:val="24"/>
              </w:rPr>
            </w:pPr>
            <w:r w:rsidRPr="00F95424">
              <w:rPr>
                <w:rFonts w:ascii="Calibri" w:hAnsi="Calibri" w:cs="Calibri"/>
              </w:rPr>
              <w:t>Level of lung obstruction of the person, taking the values 0 – 6 with 3 considered to represent mild COPD, 4 moderate, 5 severe and 6 very severe lung obstruction</w:t>
            </w:r>
          </w:p>
        </w:tc>
      </w:tr>
      <w:tr w:rsidR="0009436E" w:rsidRPr="00AC5CAF" w14:paraId="648E8D5B" w14:textId="77777777" w:rsidTr="0009436E">
        <w:trPr>
          <w:trHeight w:val="310"/>
        </w:trPr>
        <w:tc>
          <w:tcPr>
            <w:tcW w:w="2835" w:type="dxa"/>
            <w:tcBorders>
              <w:top w:val="nil"/>
              <w:left w:val="nil"/>
              <w:bottom w:val="nil"/>
              <w:right w:val="nil"/>
            </w:tcBorders>
            <w:shd w:val="clear" w:color="auto" w:fill="F2F2F2" w:themeFill="background1" w:themeFillShade="F2"/>
            <w:noWrap/>
            <w:hideMark/>
          </w:tcPr>
          <w:p w14:paraId="0ED868E4" w14:textId="651F707A" w:rsidR="0009436E" w:rsidRPr="00AC5CAF" w:rsidRDefault="0009436E" w:rsidP="00440920">
            <w:pPr>
              <w:rPr>
                <w:rFonts w:ascii="Calibri" w:hAnsi="Calibri" w:cs="Calibri"/>
                <w:color w:val="4472C4" w:themeColor="accent1"/>
              </w:rPr>
            </w:pPr>
            <w:r w:rsidRPr="00F95424">
              <w:rPr>
                <w:rFonts w:ascii="Calibri" w:hAnsi="Calibri" w:cs="Calibri"/>
              </w:rPr>
              <w:t>ch_has_inhaler</w:t>
            </w:r>
          </w:p>
        </w:tc>
        <w:tc>
          <w:tcPr>
            <w:tcW w:w="10490" w:type="dxa"/>
            <w:tcBorders>
              <w:top w:val="nil"/>
              <w:left w:val="nil"/>
              <w:bottom w:val="nil"/>
              <w:right w:val="nil"/>
            </w:tcBorders>
            <w:noWrap/>
            <w:hideMark/>
          </w:tcPr>
          <w:p w14:paraId="1F3CB06C" w14:textId="0FC973EF" w:rsidR="0009436E" w:rsidRPr="00AC5CAF" w:rsidRDefault="0009436E" w:rsidP="00440920">
            <w:pPr>
              <w:rPr>
                <w:rFonts w:ascii="Calibri" w:hAnsi="Calibri" w:cs="Calibri"/>
                <w:color w:val="4472C4" w:themeColor="accent1"/>
                <w:sz w:val="24"/>
                <w:szCs w:val="24"/>
              </w:rPr>
            </w:pPr>
            <w:r>
              <w:rPr>
                <w:bCs/>
              </w:rPr>
              <w:t>whether the person has access to an inhaler, whether that be short or long acting, and whether it be a bronchodilator or a steroid inhaler</w:t>
            </w:r>
          </w:p>
        </w:tc>
      </w:tr>
    </w:tbl>
    <w:p w14:paraId="5B80146C" w14:textId="77777777" w:rsidR="00D3113E" w:rsidRPr="00AC5CAF" w:rsidRDefault="00D3113E">
      <w:pPr>
        <w:rPr>
          <w:color w:val="4472C4" w:themeColor="accent1"/>
        </w:rPr>
      </w:pPr>
    </w:p>
    <w:tbl>
      <w:tblPr>
        <w:tblStyle w:val="TableGrid"/>
        <w:tblpPr w:leftFromText="180" w:rightFromText="180" w:vertAnchor="page" w:horzAnchor="margin" w:tblpY="1245"/>
        <w:tblW w:w="15168" w:type="dxa"/>
        <w:tblCellMar>
          <w:top w:w="85" w:type="dxa"/>
          <w:bottom w:w="85" w:type="dxa"/>
        </w:tblCellMar>
        <w:tblLook w:val="04A0" w:firstRow="1" w:lastRow="0" w:firstColumn="1" w:lastColumn="0" w:noHBand="0" w:noVBand="1"/>
      </w:tblPr>
      <w:tblGrid>
        <w:gridCol w:w="3704"/>
        <w:gridCol w:w="2441"/>
        <w:gridCol w:w="3230"/>
        <w:gridCol w:w="5793"/>
      </w:tblGrid>
      <w:tr w:rsidR="00AC5CAF" w:rsidRPr="00AC5CAF" w14:paraId="183F8CD1" w14:textId="77777777" w:rsidTr="00D8462D">
        <w:trPr>
          <w:trHeight w:val="693"/>
        </w:trPr>
        <w:tc>
          <w:tcPr>
            <w:tcW w:w="15168" w:type="dxa"/>
            <w:gridSpan w:val="4"/>
            <w:tcBorders>
              <w:top w:val="nil"/>
              <w:left w:val="nil"/>
              <w:bottom w:val="nil"/>
              <w:right w:val="nil"/>
            </w:tcBorders>
            <w:noWrap/>
          </w:tcPr>
          <w:p w14:paraId="5B9C5A42" w14:textId="7A644E6A" w:rsidR="00D3113E" w:rsidRPr="00AC5CAF" w:rsidRDefault="00D3113E" w:rsidP="00D35767">
            <w:pPr>
              <w:rPr>
                <w:b/>
                <w:bCs/>
                <w:color w:val="4472C4" w:themeColor="accent1"/>
              </w:rPr>
            </w:pPr>
            <w:r w:rsidRPr="002B68B1">
              <w:rPr>
                <w:b/>
                <w:bCs/>
              </w:rPr>
              <w:lastRenderedPageBreak/>
              <w:t>Table 2.  Description of parameters and proposed values.</w:t>
            </w:r>
            <w:r w:rsidR="00D614E1" w:rsidRPr="002B68B1">
              <w:rPr>
                <w:b/>
                <w:bCs/>
              </w:rPr>
              <w:t xml:space="preserve">    </w:t>
            </w:r>
          </w:p>
        </w:tc>
      </w:tr>
      <w:tr w:rsidR="00AC5CAF" w:rsidRPr="00AC5CAF" w14:paraId="69DBFA27" w14:textId="77777777" w:rsidTr="00D8462D">
        <w:trPr>
          <w:trHeight w:val="693"/>
        </w:trPr>
        <w:tc>
          <w:tcPr>
            <w:tcW w:w="3704" w:type="dxa"/>
            <w:tcBorders>
              <w:top w:val="nil"/>
              <w:left w:val="nil"/>
              <w:bottom w:val="nil"/>
              <w:right w:val="nil"/>
            </w:tcBorders>
            <w:shd w:val="clear" w:color="auto" w:fill="BFBFBF" w:themeFill="background1" w:themeFillShade="BF"/>
            <w:noWrap/>
            <w:hideMark/>
          </w:tcPr>
          <w:p w14:paraId="5909E48C" w14:textId="77777777" w:rsidR="00D3113E" w:rsidRPr="00D35767" w:rsidRDefault="00D3113E" w:rsidP="00D35767">
            <w:pPr>
              <w:rPr>
                <w:b/>
                <w:bCs/>
              </w:rPr>
            </w:pPr>
            <w:r w:rsidRPr="00D35767">
              <w:rPr>
                <w:b/>
                <w:bCs/>
              </w:rPr>
              <w:t>Parameter</w:t>
            </w:r>
          </w:p>
        </w:tc>
        <w:tc>
          <w:tcPr>
            <w:tcW w:w="2441" w:type="dxa"/>
            <w:tcBorders>
              <w:top w:val="nil"/>
              <w:left w:val="nil"/>
              <w:bottom w:val="nil"/>
              <w:right w:val="nil"/>
            </w:tcBorders>
            <w:shd w:val="clear" w:color="auto" w:fill="BFBFBF" w:themeFill="background1" w:themeFillShade="BF"/>
            <w:noWrap/>
            <w:hideMark/>
          </w:tcPr>
          <w:p w14:paraId="6B91B8A8" w14:textId="77777777" w:rsidR="00D3113E" w:rsidRPr="00D35767" w:rsidRDefault="00D3113E" w:rsidP="00D35767">
            <w:pPr>
              <w:rPr>
                <w:b/>
                <w:bCs/>
              </w:rPr>
            </w:pPr>
            <w:r w:rsidRPr="00D35767">
              <w:rPr>
                <w:b/>
                <w:bCs/>
              </w:rPr>
              <w:t>Proposed value</w:t>
            </w:r>
          </w:p>
        </w:tc>
        <w:tc>
          <w:tcPr>
            <w:tcW w:w="3230" w:type="dxa"/>
            <w:tcBorders>
              <w:top w:val="nil"/>
              <w:left w:val="nil"/>
              <w:bottom w:val="nil"/>
              <w:right w:val="nil"/>
            </w:tcBorders>
            <w:shd w:val="clear" w:color="auto" w:fill="BFBFBF" w:themeFill="background1" w:themeFillShade="BF"/>
            <w:noWrap/>
            <w:hideMark/>
          </w:tcPr>
          <w:p w14:paraId="5065F127" w14:textId="77777777" w:rsidR="00D3113E" w:rsidRPr="00D35767" w:rsidRDefault="00D3113E" w:rsidP="00D35767">
            <w:pPr>
              <w:rPr>
                <w:b/>
                <w:bCs/>
              </w:rPr>
            </w:pPr>
            <w:r w:rsidRPr="00D35767">
              <w:rPr>
                <w:b/>
                <w:bCs/>
              </w:rPr>
              <w:t>Description</w:t>
            </w:r>
          </w:p>
        </w:tc>
        <w:tc>
          <w:tcPr>
            <w:tcW w:w="5793" w:type="dxa"/>
            <w:tcBorders>
              <w:top w:val="nil"/>
              <w:left w:val="nil"/>
              <w:bottom w:val="nil"/>
              <w:right w:val="nil"/>
            </w:tcBorders>
            <w:shd w:val="clear" w:color="auto" w:fill="BFBFBF" w:themeFill="background1" w:themeFillShade="BF"/>
            <w:noWrap/>
            <w:hideMark/>
          </w:tcPr>
          <w:p w14:paraId="71E14333" w14:textId="77777777" w:rsidR="00D3113E" w:rsidRPr="00D35767" w:rsidRDefault="00D3113E" w:rsidP="00D35767">
            <w:pPr>
              <w:rPr>
                <w:b/>
                <w:bCs/>
              </w:rPr>
            </w:pPr>
            <w:r w:rsidRPr="00D35767">
              <w:rPr>
                <w:b/>
                <w:bCs/>
              </w:rPr>
              <w:t xml:space="preserve">Notes </w:t>
            </w:r>
          </w:p>
        </w:tc>
      </w:tr>
      <w:tr w:rsidR="00D35767" w:rsidRPr="00AC5CAF" w14:paraId="1BD986D5" w14:textId="77777777" w:rsidTr="00D8462D">
        <w:trPr>
          <w:trHeight w:val="307"/>
        </w:trPr>
        <w:tc>
          <w:tcPr>
            <w:tcW w:w="3704" w:type="dxa"/>
            <w:tcBorders>
              <w:top w:val="nil"/>
              <w:left w:val="nil"/>
              <w:bottom w:val="nil"/>
              <w:right w:val="nil"/>
            </w:tcBorders>
            <w:shd w:val="clear" w:color="auto" w:fill="F2F2F2" w:themeFill="background1" w:themeFillShade="F2"/>
            <w:noWrap/>
            <w:hideMark/>
          </w:tcPr>
          <w:p w14:paraId="3718A979" w14:textId="1A258AA5" w:rsidR="00D35767" w:rsidRPr="00D35767" w:rsidRDefault="00D35767" w:rsidP="00D35767">
            <w:pPr>
              <w:rPr>
                <w:rFonts w:ascii="Calibri" w:hAnsi="Calibri" w:cs="Calibri"/>
                <w:color w:val="4472C4" w:themeColor="accent1"/>
              </w:rPr>
            </w:pPr>
            <w:r w:rsidRPr="00D35767">
              <w:rPr>
                <w:rFonts w:ascii="Calibri" w:hAnsi="Calibri" w:cs="Calibri"/>
              </w:rPr>
              <w:t>prob_progress_to_next_cat</w:t>
            </w:r>
          </w:p>
        </w:tc>
        <w:tc>
          <w:tcPr>
            <w:tcW w:w="2441" w:type="dxa"/>
            <w:tcBorders>
              <w:top w:val="nil"/>
              <w:left w:val="nil"/>
              <w:bottom w:val="nil"/>
              <w:right w:val="nil"/>
            </w:tcBorders>
            <w:noWrap/>
            <w:hideMark/>
          </w:tcPr>
          <w:p w14:paraId="482A51BC" w14:textId="5CE47267" w:rsidR="00D35767" w:rsidRPr="00D35767" w:rsidRDefault="00D35767" w:rsidP="00D35767">
            <w:pPr>
              <w:rPr>
                <w:rFonts w:ascii="Calibri" w:hAnsi="Calibri" w:cs="Calibri"/>
                <w:color w:val="000000" w:themeColor="text1"/>
              </w:rPr>
            </w:pPr>
            <w:r w:rsidRPr="00D35767">
              <w:rPr>
                <w:rFonts w:ascii="Calibri" w:hAnsi="Calibri" w:cs="Calibri"/>
                <w:color w:val="000000" w:themeColor="text1"/>
              </w:rPr>
              <w:t>0.01</w:t>
            </w:r>
          </w:p>
        </w:tc>
        <w:tc>
          <w:tcPr>
            <w:tcW w:w="3230" w:type="dxa"/>
            <w:tcBorders>
              <w:top w:val="nil"/>
              <w:left w:val="nil"/>
              <w:bottom w:val="nil"/>
              <w:right w:val="nil"/>
            </w:tcBorders>
            <w:shd w:val="clear" w:color="auto" w:fill="F2F2F2" w:themeFill="background1" w:themeFillShade="F2"/>
            <w:noWrap/>
            <w:hideMark/>
          </w:tcPr>
          <w:p w14:paraId="1A8E7DC7" w14:textId="42216488" w:rsidR="00D35767" w:rsidRPr="00D35767" w:rsidRDefault="00D35767" w:rsidP="00D35767">
            <w:pPr>
              <w:rPr>
                <w:rFonts w:ascii="Calibri" w:hAnsi="Calibri" w:cs="Calibri"/>
                <w:color w:val="000000" w:themeColor="text1"/>
              </w:rPr>
            </w:pPr>
            <w:r w:rsidRPr="00D35767">
              <w:rPr>
                <w:rFonts w:ascii="Calibri" w:hAnsi="Calibri" w:cs="Calibri"/>
                <w:color w:val="000000" w:themeColor="text1"/>
              </w:rPr>
              <w:t xml:space="preserve">probability per 3 months of an increase in category to one level poorer lung function </w:t>
            </w:r>
          </w:p>
        </w:tc>
        <w:tc>
          <w:tcPr>
            <w:tcW w:w="5793" w:type="dxa"/>
            <w:vMerge w:val="restart"/>
            <w:tcBorders>
              <w:top w:val="nil"/>
              <w:left w:val="nil"/>
              <w:right w:val="nil"/>
            </w:tcBorders>
            <w:noWrap/>
          </w:tcPr>
          <w:p w14:paraId="7ECC1A78" w14:textId="77777777" w:rsidR="00D35767" w:rsidRPr="00D8462D" w:rsidRDefault="00D35767" w:rsidP="00D35767">
            <w:pPr>
              <w:rPr>
                <w:rFonts w:ascii="Calibri" w:hAnsi="Calibri" w:cs="Calibri"/>
                <w:color w:val="000000" w:themeColor="text1"/>
                <w:sz w:val="18"/>
                <w:szCs w:val="18"/>
              </w:rPr>
            </w:pPr>
            <w:r w:rsidRPr="00D8462D">
              <w:rPr>
                <w:rFonts w:ascii="Calibri" w:hAnsi="Calibri" w:cs="Calibri"/>
                <w:color w:val="000000" w:themeColor="text1"/>
                <w:sz w:val="18"/>
                <w:szCs w:val="18"/>
              </w:rPr>
              <w:t>There are very few data to directly inform parameter values.  The model structure and these values are selected based on a reading of the below.</w:t>
            </w:r>
          </w:p>
          <w:p w14:paraId="33406FED" w14:textId="77777777" w:rsidR="00D35767" w:rsidRPr="00D8462D" w:rsidRDefault="00D35767" w:rsidP="00D35767">
            <w:pPr>
              <w:rPr>
                <w:rFonts w:ascii="Calibri" w:hAnsi="Calibri" w:cs="Calibri"/>
                <w:color w:val="000000" w:themeColor="text1"/>
                <w:sz w:val="18"/>
                <w:szCs w:val="18"/>
              </w:rPr>
            </w:pPr>
          </w:p>
          <w:p w14:paraId="4A129B0F" w14:textId="77777777" w:rsidR="00D35767" w:rsidRPr="00D8462D" w:rsidRDefault="00D35767" w:rsidP="00D35767">
            <w:pPr>
              <w:rPr>
                <w:bCs/>
                <w:sz w:val="18"/>
                <w:szCs w:val="18"/>
                <w:lang w:val="fr-FR"/>
              </w:rPr>
            </w:pPr>
            <w:r w:rsidRPr="00D8462D">
              <w:rPr>
                <w:bCs/>
                <w:sz w:val="18"/>
                <w:szCs w:val="18"/>
                <w:lang w:val="fr-FR"/>
              </w:rPr>
              <w:t>DHS.  Malawi 2010, 2015/16  https://dhsprogram.com/</w:t>
            </w:r>
          </w:p>
          <w:p w14:paraId="46D35E9F" w14:textId="77777777" w:rsidR="00D35767" w:rsidRPr="00D8462D" w:rsidRDefault="00D35767" w:rsidP="00D35767">
            <w:pPr>
              <w:autoSpaceDE w:val="0"/>
              <w:autoSpaceDN w:val="0"/>
              <w:adjustRightInd w:val="0"/>
              <w:rPr>
                <w:rFonts w:ascii="Calibri" w:hAnsi="Calibri" w:cs="Calibri"/>
                <w:sz w:val="18"/>
                <w:szCs w:val="18"/>
              </w:rPr>
            </w:pPr>
            <w:r w:rsidRPr="00D8462D">
              <w:rPr>
                <w:rFonts w:ascii="Calibri" w:hAnsi="Calibri" w:cs="Calibri"/>
                <w:sz w:val="18"/>
                <w:szCs w:val="18"/>
                <w:lang w:val="fr-FR"/>
              </w:rPr>
              <w:t xml:space="preserve">Njoroge MW, Mjojo P, Chirwa C, Rylance S, Nightingale R, Gordon SB, Mortimer K, Burney P, Balmes J, Rylance J, Obasi A, Niessen LW, Devereux G; IMPALA consortium. </w:t>
            </w:r>
            <w:r w:rsidRPr="00D8462D">
              <w:rPr>
                <w:rFonts w:ascii="Calibri" w:hAnsi="Calibri" w:cs="Calibri"/>
                <w:sz w:val="18"/>
                <w:szCs w:val="18"/>
              </w:rPr>
              <w:t>Changing lung function and associated health-related quality-of-life: A five-year cohort study of Malawian adults. EClinicalMedicine. 2021 Oct 18;41:101166. doi: 10.1016/j.eclinm.2021.101166. PMID: 34712931; PMCID: PMC8529201.</w:t>
            </w:r>
          </w:p>
          <w:p w14:paraId="35E1E13D" w14:textId="77777777" w:rsidR="00D35767" w:rsidRPr="00D8462D" w:rsidRDefault="00D35767" w:rsidP="00D35767">
            <w:pPr>
              <w:autoSpaceDE w:val="0"/>
              <w:autoSpaceDN w:val="0"/>
              <w:adjustRightInd w:val="0"/>
              <w:rPr>
                <w:rFonts w:ascii="NewUnivers-Medium" w:hAnsi="NewUnivers-Medium" w:cs="NewUnivers-Medium"/>
                <w:sz w:val="18"/>
                <w:szCs w:val="18"/>
              </w:rPr>
            </w:pPr>
          </w:p>
          <w:p w14:paraId="358AB515" w14:textId="77777777" w:rsidR="00D35767" w:rsidRPr="00D8462D" w:rsidRDefault="00D35767" w:rsidP="00D35767">
            <w:pPr>
              <w:rPr>
                <w:bCs/>
                <w:sz w:val="18"/>
                <w:szCs w:val="18"/>
              </w:rPr>
            </w:pPr>
            <w:r w:rsidRPr="00D8462D">
              <w:rPr>
                <w:bCs/>
                <w:sz w:val="18"/>
                <w:szCs w:val="18"/>
              </w:rPr>
              <w:t>Meghji J, Nadeau G, Davis KJ, Wang D, Nyirenda MJ, Gordon SB, Mortimer K. Noncommunicable Lung Disease in Sub-Saharan Africa. A Community-based Cross-Sectional Study of Adults in Urban Malawi. Am J Respir Crit Care Med. 2016 Jul 1;194(1):67-76. doi: 10.1164/rccm.201509-1807OC. PMID: 26788760; PMCID: PMC4960629.</w:t>
            </w:r>
          </w:p>
          <w:p w14:paraId="2551AAE4" w14:textId="77777777" w:rsidR="00D35767" w:rsidRPr="00D8462D" w:rsidRDefault="00D35767" w:rsidP="00D35767">
            <w:pPr>
              <w:rPr>
                <w:bCs/>
                <w:sz w:val="18"/>
                <w:szCs w:val="18"/>
              </w:rPr>
            </w:pPr>
            <w:r w:rsidRPr="00D8462D">
              <w:rPr>
                <w:bCs/>
                <w:sz w:val="18"/>
                <w:szCs w:val="18"/>
              </w:rPr>
              <w:t>Nightingale R, Jary H, Meghji J, Rylance S, Masiye J, Chiumia H, Rylance J, Mortimer K, Lesosky M. Non-communicable respiratory disease in Malawi: a systematic review and meta-analysis. Malawi Med J. 2020 Jun;32(2):64-73. doi: 10.4314/mmj.v32i2.3. PMID: 35140842; PMCID: PMC8788589.</w:t>
            </w:r>
          </w:p>
          <w:p w14:paraId="4915B283" w14:textId="77777777" w:rsidR="00D35767" w:rsidRPr="00D8462D" w:rsidRDefault="00D35767" w:rsidP="00D35767">
            <w:pPr>
              <w:rPr>
                <w:bCs/>
                <w:sz w:val="18"/>
                <w:szCs w:val="18"/>
              </w:rPr>
            </w:pPr>
            <w:r w:rsidRPr="00D8462D">
              <w:rPr>
                <w:bCs/>
                <w:sz w:val="18"/>
                <w:szCs w:val="18"/>
              </w:rPr>
              <w:t>Mulupi S, Ayakaka I,Tolhurst R, et al. What are the barriers to the diagnosis and management of chronic respiratory disease in sub-Saharan Africa? A qualitative study with healthcare workers, national and regional policy stakeholders in five countries. BMJ Open 2022;12:e052105. doi:10.1136/bmjopen-2021-052105</w:t>
            </w:r>
          </w:p>
          <w:p w14:paraId="606E2294" w14:textId="77777777" w:rsidR="00D35767" w:rsidRPr="00D8462D" w:rsidRDefault="00D35767" w:rsidP="00D35767">
            <w:pPr>
              <w:rPr>
                <w:bCs/>
                <w:sz w:val="18"/>
                <w:szCs w:val="18"/>
              </w:rPr>
            </w:pPr>
            <w:r w:rsidRPr="00D8462D">
              <w:rPr>
                <w:bCs/>
                <w:sz w:val="18"/>
                <w:szCs w:val="18"/>
              </w:rPr>
              <w:t>2022 Global Strategy for Prevention, Diagnosis and Management of COPD.  https://goldcopd.org/2022-gold-reports/</w:t>
            </w:r>
          </w:p>
          <w:p w14:paraId="7C31838B" w14:textId="77777777" w:rsidR="00D35767" w:rsidRPr="00D8462D" w:rsidRDefault="00D35767" w:rsidP="00D35767">
            <w:pPr>
              <w:rPr>
                <w:bCs/>
                <w:sz w:val="18"/>
                <w:szCs w:val="18"/>
              </w:rPr>
            </w:pPr>
            <w:r w:rsidRPr="00D8462D">
              <w:rPr>
                <w:bCs/>
                <w:sz w:val="18"/>
                <w:szCs w:val="18"/>
              </w:rPr>
              <w:t>Berry C, Wise RA.  Mortality in COPD: Causes, Risk Factors, and Prevention.  COPD. 2010 October ; 7(5): 375–382. doi:10.3109/15412555.2010.510160</w:t>
            </w:r>
          </w:p>
          <w:p w14:paraId="12906E66" w14:textId="77777777" w:rsidR="00D35767" w:rsidRPr="00D8462D" w:rsidRDefault="00D35767" w:rsidP="00D35767">
            <w:pPr>
              <w:rPr>
                <w:bCs/>
                <w:sz w:val="18"/>
                <w:szCs w:val="18"/>
              </w:rPr>
            </w:pPr>
            <w:r w:rsidRPr="00D8462D">
              <w:rPr>
                <w:bCs/>
                <w:sz w:val="18"/>
                <w:szCs w:val="18"/>
              </w:rPr>
              <w:lastRenderedPageBreak/>
              <w:t>Suissa S, Dell’Aniello S,Ernst P.  Long-term natural history of chronic obstructive pulmonary disease: severe exacerbations and mortality.  Thorax 2012;67:957–963. doi:10.1136/thoraxjnl-2011-201518</w:t>
            </w:r>
          </w:p>
          <w:p w14:paraId="49E7FF1E" w14:textId="77777777" w:rsidR="00D35767" w:rsidRPr="00D8462D" w:rsidRDefault="00D35767" w:rsidP="00D35767">
            <w:pPr>
              <w:rPr>
                <w:bCs/>
                <w:color w:val="000000" w:themeColor="text1"/>
                <w:sz w:val="18"/>
                <w:szCs w:val="18"/>
              </w:rPr>
            </w:pPr>
            <w:r w:rsidRPr="00D8462D">
              <w:rPr>
                <w:bCs/>
                <w:sz w:val="18"/>
                <w:szCs w:val="18"/>
              </w:rPr>
              <w:t>Alupo P, Wosu AC, Mahofa A, Mugenyi L, Semakula D, Katagira W, et al. (2021) Incidence and predictors of COPD mortality in Uganda: A 2-year prospective coh</w:t>
            </w:r>
            <w:r w:rsidRPr="00D8462D">
              <w:rPr>
                <w:bCs/>
                <w:color w:val="000000" w:themeColor="text1"/>
                <w:sz w:val="18"/>
                <w:szCs w:val="18"/>
              </w:rPr>
              <w:t xml:space="preserve">ort study. PLoS ONE 16(2): e0246850. </w:t>
            </w:r>
            <w:hyperlink r:id="rId7" w:history="1">
              <w:r w:rsidRPr="00D8462D">
                <w:rPr>
                  <w:rStyle w:val="Hyperlink"/>
                  <w:bCs/>
                  <w:sz w:val="18"/>
                  <w:szCs w:val="18"/>
                </w:rPr>
                <w:t>https://doi.org/10.1371/journal. pone.0246850</w:t>
              </w:r>
            </w:hyperlink>
          </w:p>
          <w:p w14:paraId="64330759" w14:textId="77777777" w:rsidR="00D35767" w:rsidRPr="00D8462D" w:rsidRDefault="00D35767" w:rsidP="00D35767">
            <w:pPr>
              <w:rPr>
                <w:bCs/>
                <w:sz w:val="18"/>
                <w:szCs w:val="18"/>
              </w:rPr>
            </w:pPr>
            <w:r w:rsidRPr="00D8462D">
              <w:rPr>
                <w:bCs/>
                <w:sz w:val="18"/>
                <w:szCs w:val="18"/>
              </w:rPr>
              <w:t>Austin MA, Wills KE, Blizzard L, Walters EH, Wood-Baker R.  Effect of high flow oxygen on mortality in chronic obstructive pulmonary disease patients in prehospital setting: randomised controlled trial.  BMJ 2010;341:c5462 doi:10.1136/bmj.c5462</w:t>
            </w:r>
          </w:p>
          <w:p w14:paraId="14ADDF4A" w14:textId="77777777" w:rsidR="00D35767" w:rsidRPr="00D8462D" w:rsidRDefault="00D35767" w:rsidP="00D35767">
            <w:pPr>
              <w:rPr>
                <w:bCs/>
                <w:sz w:val="18"/>
                <w:szCs w:val="18"/>
              </w:rPr>
            </w:pPr>
            <w:r w:rsidRPr="00D8462D">
              <w:rPr>
                <w:bCs/>
                <w:sz w:val="18"/>
                <w:szCs w:val="18"/>
              </w:rPr>
              <w:t>Tashkin DP, Celli B, Senn S, et al. A 4-year trial of tiotropium in chronic obstructive pulmonary disease. </w:t>
            </w:r>
            <w:r w:rsidRPr="00D8462D">
              <w:rPr>
                <w:bCs/>
                <w:i/>
                <w:iCs/>
                <w:sz w:val="18"/>
                <w:szCs w:val="18"/>
              </w:rPr>
              <w:t>N Engl J Med. </w:t>
            </w:r>
            <w:r w:rsidRPr="00D8462D">
              <w:rPr>
                <w:bCs/>
                <w:sz w:val="18"/>
                <w:szCs w:val="18"/>
              </w:rPr>
              <w:t>2008;</w:t>
            </w:r>
            <w:r w:rsidRPr="00D8462D">
              <w:rPr>
                <w:b/>
                <w:bCs/>
                <w:sz w:val="18"/>
                <w:szCs w:val="18"/>
              </w:rPr>
              <w:t>359</w:t>
            </w:r>
            <w:r w:rsidRPr="00D8462D">
              <w:rPr>
                <w:bCs/>
                <w:sz w:val="18"/>
                <w:szCs w:val="18"/>
              </w:rPr>
              <w:t>:1543–54</w:t>
            </w:r>
          </w:p>
          <w:p w14:paraId="518738AD" w14:textId="77207549" w:rsidR="00D35767" w:rsidRPr="00D8462D" w:rsidRDefault="00D35767" w:rsidP="00D35767">
            <w:pPr>
              <w:rPr>
                <w:rFonts w:ascii="Calibri" w:hAnsi="Calibri" w:cs="Calibri"/>
                <w:color w:val="000000" w:themeColor="text1"/>
                <w:sz w:val="18"/>
                <w:szCs w:val="18"/>
              </w:rPr>
            </w:pPr>
            <w:r w:rsidRPr="00D8462D">
              <w:rPr>
                <w:rFonts w:ascii="Calibri" w:hAnsi="Calibri" w:cs="Calibri"/>
                <w:color w:val="000000" w:themeColor="text1"/>
                <w:sz w:val="18"/>
                <w:szCs w:val="18"/>
              </w:rPr>
              <w:t xml:space="preserve"> </w:t>
            </w:r>
          </w:p>
          <w:p w14:paraId="57C84742" w14:textId="77777777" w:rsidR="00D35767" w:rsidRPr="00D35767" w:rsidRDefault="00D35767" w:rsidP="00D35767">
            <w:pPr>
              <w:rPr>
                <w:rFonts w:ascii="Calibri" w:hAnsi="Calibri" w:cs="Calibri"/>
                <w:color w:val="000000" w:themeColor="text1"/>
              </w:rPr>
            </w:pPr>
          </w:p>
          <w:p w14:paraId="677C0505" w14:textId="53D9C97E" w:rsidR="00D35767" w:rsidRPr="00D35767" w:rsidRDefault="00D35767" w:rsidP="00D35767">
            <w:pPr>
              <w:rPr>
                <w:rFonts w:ascii="Calibri" w:hAnsi="Calibri" w:cs="Calibri"/>
                <w:color w:val="000000" w:themeColor="text1"/>
              </w:rPr>
            </w:pPr>
          </w:p>
        </w:tc>
      </w:tr>
      <w:tr w:rsidR="00D35767" w:rsidRPr="00AC5CAF" w14:paraId="2924D552" w14:textId="77777777" w:rsidTr="00D8462D">
        <w:trPr>
          <w:trHeight w:val="307"/>
        </w:trPr>
        <w:tc>
          <w:tcPr>
            <w:tcW w:w="3704" w:type="dxa"/>
            <w:tcBorders>
              <w:top w:val="nil"/>
              <w:left w:val="nil"/>
              <w:bottom w:val="nil"/>
              <w:right w:val="nil"/>
            </w:tcBorders>
            <w:shd w:val="clear" w:color="auto" w:fill="F2F2F2" w:themeFill="background1" w:themeFillShade="F2"/>
            <w:noWrap/>
          </w:tcPr>
          <w:p w14:paraId="6E08908B" w14:textId="553C0FB3" w:rsidR="00D35767" w:rsidRPr="00D35767" w:rsidRDefault="00D35767" w:rsidP="00D35767">
            <w:pPr>
              <w:rPr>
                <w:rFonts w:ascii="Calibri" w:hAnsi="Calibri" w:cs="Calibri"/>
              </w:rPr>
            </w:pPr>
            <w:r w:rsidRPr="00D35767">
              <w:rPr>
                <w:rFonts w:ascii="Calibri" w:hAnsi="Calibri" w:cs="Calibri"/>
                <w:lang w:val="en-US"/>
              </w:rPr>
              <w:t>rel_risk_progress_per_higher_cat</w:t>
            </w:r>
          </w:p>
        </w:tc>
        <w:tc>
          <w:tcPr>
            <w:tcW w:w="2441" w:type="dxa"/>
            <w:tcBorders>
              <w:top w:val="nil"/>
              <w:left w:val="nil"/>
              <w:bottom w:val="nil"/>
              <w:right w:val="nil"/>
            </w:tcBorders>
            <w:noWrap/>
          </w:tcPr>
          <w:p w14:paraId="599E0D2B" w14:textId="63867CD2" w:rsidR="00D35767" w:rsidRPr="00D35767" w:rsidRDefault="00D35767" w:rsidP="00D35767">
            <w:pPr>
              <w:rPr>
                <w:rFonts w:ascii="Calibri" w:hAnsi="Calibri" w:cs="Calibri"/>
                <w:color w:val="000000" w:themeColor="text1"/>
                <w:highlight w:val="lightGray"/>
              </w:rPr>
            </w:pPr>
            <w:r w:rsidRPr="00D35767">
              <w:rPr>
                <w:rFonts w:ascii="Calibri" w:hAnsi="Calibri" w:cs="Calibri"/>
                <w:color w:val="000000" w:themeColor="text1"/>
              </w:rPr>
              <w:t>0.5</w:t>
            </w:r>
          </w:p>
        </w:tc>
        <w:tc>
          <w:tcPr>
            <w:tcW w:w="3230" w:type="dxa"/>
            <w:tcBorders>
              <w:top w:val="nil"/>
              <w:left w:val="nil"/>
              <w:bottom w:val="nil"/>
              <w:right w:val="nil"/>
            </w:tcBorders>
            <w:shd w:val="clear" w:color="auto" w:fill="F2F2F2" w:themeFill="background1" w:themeFillShade="F2"/>
            <w:noWrap/>
          </w:tcPr>
          <w:p w14:paraId="1F6C2162" w14:textId="62F90B3B" w:rsidR="00D35767" w:rsidRPr="00D35767" w:rsidRDefault="00D35767" w:rsidP="00D35767">
            <w:pPr>
              <w:rPr>
                <w:rFonts w:ascii="Calibri" w:hAnsi="Calibri" w:cs="Calibri"/>
              </w:rPr>
            </w:pPr>
            <w:r w:rsidRPr="00D35767">
              <w:rPr>
                <w:rFonts w:ascii="Calibri" w:hAnsi="Calibri" w:cs="Calibri"/>
              </w:rPr>
              <w:t xml:space="preserve">The rate of progression to the next higher category is multiplied by </w:t>
            </w:r>
            <w:r w:rsidRPr="00D35767">
              <w:rPr>
                <w:rFonts w:ascii="Calibri" w:hAnsi="Calibri" w:cs="Calibri"/>
                <w:lang w:val="en-US"/>
              </w:rPr>
              <w:t xml:space="preserve"> rel_risk_progress_per_higher_cat to the power of current ch_lungfunction</w:t>
            </w:r>
          </w:p>
        </w:tc>
        <w:tc>
          <w:tcPr>
            <w:tcW w:w="5793" w:type="dxa"/>
            <w:vMerge/>
            <w:tcBorders>
              <w:left w:val="nil"/>
              <w:right w:val="nil"/>
            </w:tcBorders>
            <w:noWrap/>
          </w:tcPr>
          <w:p w14:paraId="1249829F" w14:textId="77777777" w:rsidR="00D35767" w:rsidRPr="00D35767" w:rsidRDefault="00D35767" w:rsidP="00D35767">
            <w:pPr>
              <w:rPr>
                <w:rFonts w:ascii="Calibri" w:hAnsi="Calibri" w:cs="Calibri"/>
                <w:color w:val="4472C4" w:themeColor="accent1"/>
              </w:rPr>
            </w:pPr>
          </w:p>
        </w:tc>
      </w:tr>
      <w:tr w:rsidR="00D35767" w:rsidRPr="00AC5CAF" w14:paraId="4FCB73A4" w14:textId="77777777" w:rsidTr="00D8462D">
        <w:trPr>
          <w:trHeight w:val="307"/>
        </w:trPr>
        <w:tc>
          <w:tcPr>
            <w:tcW w:w="3704" w:type="dxa"/>
            <w:tcBorders>
              <w:top w:val="nil"/>
              <w:left w:val="nil"/>
              <w:bottom w:val="nil"/>
              <w:right w:val="nil"/>
            </w:tcBorders>
            <w:shd w:val="clear" w:color="auto" w:fill="F2F2F2" w:themeFill="background1" w:themeFillShade="F2"/>
            <w:noWrap/>
            <w:hideMark/>
          </w:tcPr>
          <w:p w14:paraId="69D1272B" w14:textId="2703C2B0" w:rsidR="00D35767" w:rsidRPr="00D35767" w:rsidRDefault="00D35767" w:rsidP="00D35767">
            <w:pPr>
              <w:rPr>
                <w:rFonts w:ascii="Calibri" w:hAnsi="Calibri" w:cs="Calibri"/>
              </w:rPr>
            </w:pPr>
            <w:r w:rsidRPr="00D35767">
              <w:rPr>
                <w:rFonts w:ascii="Calibri" w:hAnsi="Calibri" w:cs="Calibri"/>
              </w:rPr>
              <w:t>prob_mod_exacerb (by ch_lungfunction)</w:t>
            </w:r>
          </w:p>
          <w:p w14:paraId="03165015" w14:textId="7DEC8A42" w:rsidR="00D35767" w:rsidRPr="00D35767" w:rsidRDefault="00D35767" w:rsidP="00D35767">
            <w:pPr>
              <w:rPr>
                <w:rFonts w:ascii="Calibri" w:hAnsi="Calibri" w:cs="Calibri"/>
                <w:color w:val="4472C4" w:themeColor="accent1"/>
              </w:rPr>
            </w:pPr>
            <w:r w:rsidRPr="00D35767">
              <w:rPr>
                <w:rFonts w:ascii="Calibri" w:hAnsi="Calibri" w:cs="Calibri"/>
              </w:rPr>
              <w:t>prob_sev_exacerb (by ch_lungfunction)</w:t>
            </w:r>
          </w:p>
        </w:tc>
        <w:tc>
          <w:tcPr>
            <w:tcW w:w="2441" w:type="dxa"/>
            <w:tcBorders>
              <w:top w:val="nil"/>
              <w:left w:val="nil"/>
              <w:bottom w:val="nil"/>
              <w:right w:val="nil"/>
            </w:tcBorders>
            <w:noWrap/>
            <w:hideMark/>
          </w:tcPr>
          <w:p w14:paraId="60BA1F9E" w14:textId="59E2315B" w:rsidR="00D35767" w:rsidRPr="00D35767" w:rsidRDefault="00D35767" w:rsidP="00D35767">
            <w:pPr>
              <w:rPr>
                <w:rFonts w:ascii="Calibri" w:hAnsi="Calibri" w:cs="Calibri"/>
                <w:color w:val="000000" w:themeColor="text1"/>
              </w:rPr>
            </w:pPr>
            <w:r w:rsidRPr="00D35767">
              <w:rPr>
                <w:rFonts w:ascii="Calibri" w:hAnsi="Calibri" w:cs="Calibri"/>
                <w:color w:val="000000" w:themeColor="text1"/>
              </w:rPr>
              <w:t>0,0,0,0.01,0.05,0.</w:t>
            </w:r>
            <w:r w:rsidR="00A63683">
              <w:rPr>
                <w:rFonts w:ascii="Calibri" w:hAnsi="Calibri" w:cs="Calibri"/>
                <w:color w:val="000000" w:themeColor="text1"/>
              </w:rPr>
              <w:t>20</w:t>
            </w:r>
            <w:r w:rsidRPr="00D35767">
              <w:rPr>
                <w:rFonts w:ascii="Calibri" w:hAnsi="Calibri" w:cs="Calibri"/>
                <w:color w:val="000000" w:themeColor="text1"/>
              </w:rPr>
              <w:t>,0.</w:t>
            </w:r>
            <w:r w:rsidR="00A63683">
              <w:rPr>
                <w:rFonts w:ascii="Calibri" w:hAnsi="Calibri" w:cs="Calibri"/>
                <w:color w:val="000000" w:themeColor="text1"/>
              </w:rPr>
              <w:t>30</w:t>
            </w:r>
          </w:p>
          <w:p w14:paraId="0A0AD9AC" w14:textId="432E9E3D" w:rsidR="00D35767" w:rsidRPr="00D35767" w:rsidRDefault="00D35767" w:rsidP="00D35767">
            <w:pPr>
              <w:rPr>
                <w:rFonts w:ascii="Calibri" w:hAnsi="Calibri" w:cs="Calibri"/>
                <w:color w:val="000000" w:themeColor="text1"/>
                <w:highlight w:val="lightGray"/>
              </w:rPr>
            </w:pPr>
            <w:r w:rsidRPr="00D35767">
              <w:rPr>
                <w:rFonts w:ascii="Calibri" w:hAnsi="Calibri" w:cs="Calibri"/>
                <w:color w:val="000000" w:themeColor="text1"/>
              </w:rPr>
              <w:t>0,0,0,0.0,0.0,0.0</w:t>
            </w:r>
            <w:r w:rsidR="00A63683">
              <w:rPr>
                <w:rFonts w:ascii="Calibri" w:hAnsi="Calibri" w:cs="Calibri"/>
                <w:color w:val="000000" w:themeColor="text1"/>
              </w:rPr>
              <w:t>5</w:t>
            </w:r>
            <w:r w:rsidRPr="00D35767">
              <w:rPr>
                <w:rFonts w:ascii="Calibri" w:hAnsi="Calibri" w:cs="Calibri"/>
                <w:color w:val="000000" w:themeColor="text1"/>
              </w:rPr>
              <w:t>,0.</w:t>
            </w:r>
            <w:r w:rsidR="00A63683">
              <w:rPr>
                <w:rFonts w:ascii="Calibri" w:hAnsi="Calibri" w:cs="Calibri"/>
                <w:color w:val="000000" w:themeColor="text1"/>
              </w:rPr>
              <w:t>10</w:t>
            </w:r>
          </w:p>
        </w:tc>
        <w:tc>
          <w:tcPr>
            <w:tcW w:w="3230" w:type="dxa"/>
            <w:tcBorders>
              <w:top w:val="nil"/>
              <w:left w:val="nil"/>
              <w:bottom w:val="nil"/>
              <w:right w:val="nil"/>
            </w:tcBorders>
            <w:shd w:val="clear" w:color="auto" w:fill="F2F2F2" w:themeFill="background1" w:themeFillShade="F2"/>
            <w:noWrap/>
            <w:hideMark/>
          </w:tcPr>
          <w:p w14:paraId="5D4D5D1F" w14:textId="3CDF9613" w:rsidR="00D35767" w:rsidRPr="00D35767" w:rsidRDefault="00D35767" w:rsidP="00D35767">
            <w:pPr>
              <w:rPr>
                <w:rFonts w:ascii="Calibri" w:hAnsi="Calibri" w:cs="Calibri"/>
                <w:color w:val="4472C4" w:themeColor="accent1"/>
              </w:rPr>
            </w:pPr>
            <w:r w:rsidRPr="00D35767">
              <w:rPr>
                <w:rFonts w:ascii="Calibri" w:hAnsi="Calibri" w:cs="Calibri"/>
              </w:rPr>
              <w:t>Probability of moderate / severe exacerbation given current lung function category</w:t>
            </w:r>
          </w:p>
        </w:tc>
        <w:tc>
          <w:tcPr>
            <w:tcW w:w="5793" w:type="dxa"/>
            <w:vMerge/>
            <w:tcBorders>
              <w:left w:val="nil"/>
              <w:right w:val="nil"/>
            </w:tcBorders>
            <w:noWrap/>
          </w:tcPr>
          <w:p w14:paraId="7BFA6396" w14:textId="74520736" w:rsidR="00D35767" w:rsidRPr="00D35767" w:rsidRDefault="00D35767" w:rsidP="00D35767">
            <w:pPr>
              <w:rPr>
                <w:rFonts w:ascii="Calibri" w:hAnsi="Calibri" w:cs="Calibri"/>
                <w:color w:val="4472C4" w:themeColor="accent1"/>
              </w:rPr>
            </w:pPr>
          </w:p>
        </w:tc>
      </w:tr>
      <w:tr w:rsidR="00D35767" w:rsidRPr="00AC5CAF" w14:paraId="010A2360" w14:textId="77777777" w:rsidTr="00D8462D">
        <w:trPr>
          <w:trHeight w:val="307"/>
        </w:trPr>
        <w:tc>
          <w:tcPr>
            <w:tcW w:w="3704" w:type="dxa"/>
            <w:tcBorders>
              <w:top w:val="nil"/>
              <w:left w:val="nil"/>
              <w:bottom w:val="nil"/>
              <w:right w:val="nil"/>
            </w:tcBorders>
            <w:shd w:val="clear" w:color="auto" w:fill="F2F2F2" w:themeFill="background1" w:themeFillShade="F2"/>
            <w:noWrap/>
            <w:hideMark/>
          </w:tcPr>
          <w:p w14:paraId="750D898C" w14:textId="1817EC42" w:rsidR="00D35767" w:rsidRPr="00D8462D" w:rsidRDefault="00D8462D" w:rsidP="00D35767">
            <w:pPr>
              <w:rPr>
                <w:rFonts w:cstheme="minorHAnsi"/>
                <w:color w:val="000000" w:themeColor="text1"/>
              </w:rPr>
            </w:pPr>
            <w:r w:rsidRPr="00D8462D">
              <w:rPr>
                <w:rFonts w:cstheme="minorHAnsi"/>
                <w:color w:val="000000" w:themeColor="text1"/>
              </w:rPr>
              <w:t>prob_will_die_sev_exacerbation_ge80</w:t>
            </w:r>
            <w:r w:rsidRPr="00D8462D">
              <w:rPr>
                <w:rFonts w:cstheme="minorHAnsi"/>
                <w:color w:val="000000" w:themeColor="text1"/>
              </w:rPr>
              <w:br/>
              <w:t>prob_will_die_sev_exacerbation_7079</w:t>
            </w:r>
            <w:r w:rsidRPr="00D8462D">
              <w:rPr>
                <w:rFonts w:cstheme="minorHAnsi"/>
                <w:color w:val="000000" w:themeColor="text1"/>
              </w:rPr>
              <w:br/>
              <w:t>prob_will_die_sev_exacerbation_6099</w:t>
            </w:r>
            <w:r w:rsidRPr="00D8462D">
              <w:rPr>
                <w:rFonts w:cstheme="minorHAnsi"/>
                <w:color w:val="000000" w:themeColor="text1"/>
              </w:rPr>
              <w:br/>
              <w:t>prob_will_die_sev_exacerbation_5059</w:t>
            </w:r>
            <w:r w:rsidRPr="00D8462D">
              <w:rPr>
                <w:rFonts w:cstheme="minorHAnsi"/>
                <w:color w:val="000000" w:themeColor="text1"/>
              </w:rPr>
              <w:br/>
              <w:t>prob_will_die_sev_exacerbation_4049</w:t>
            </w:r>
            <w:r w:rsidRPr="00D8462D">
              <w:rPr>
                <w:rFonts w:cstheme="minorHAnsi"/>
                <w:color w:val="000000" w:themeColor="text1"/>
              </w:rPr>
              <w:br/>
              <w:t>prob_will_die_sev_exacerbation_3039</w:t>
            </w:r>
            <w:r w:rsidRPr="00D8462D">
              <w:rPr>
                <w:rFonts w:cstheme="minorHAnsi"/>
                <w:color w:val="000000" w:themeColor="text1"/>
              </w:rPr>
              <w:br/>
              <w:t>prob_will_die_sev_exacerbation_lt30</w:t>
            </w:r>
          </w:p>
        </w:tc>
        <w:tc>
          <w:tcPr>
            <w:tcW w:w="2441" w:type="dxa"/>
            <w:tcBorders>
              <w:top w:val="nil"/>
              <w:left w:val="nil"/>
              <w:bottom w:val="nil"/>
              <w:right w:val="nil"/>
            </w:tcBorders>
            <w:noWrap/>
            <w:hideMark/>
          </w:tcPr>
          <w:p w14:paraId="0C211670" w14:textId="77777777" w:rsidR="00D35767" w:rsidRPr="00D35767" w:rsidRDefault="00D35767" w:rsidP="00D35767">
            <w:pPr>
              <w:rPr>
                <w:rFonts w:cstheme="minorHAnsi"/>
                <w:color w:val="000000" w:themeColor="text1"/>
              </w:rPr>
            </w:pPr>
            <w:r w:rsidRPr="00D35767">
              <w:rPr>
                <w:rFonts w:cstheme="minorHAnsi"/>
                <w:color w:val="000000" w:themeColor="text1"/>
              </w:rPr>
              <w:t xml:space="preserve">0.95, </w:t>
            </w:r>
          </w:p>
          <w:p w14:paraId="154D31A6" w14:textId="77777777" w:rsidR="00D35767" w:rsidRPr="00D35767" w:rsidRDefault="00D35767" w:rsidP="00D35767">
            <w:pPr>
              <w:rPr>
                <w:rFonts w:cstheme="minorHAnsi"/>
                <w:color w:val="000000" w:themeColor="text1"/>
              </w:rPr>
            </w:pPr>
            <w:r w:rsidRPr="00D35767">
              <w:rPr>
                <w:rFonts w:cstheme="minorHAnsi"/>
                <w:color w:val="000000" w:themeColor="text1"/>
              </w:rPr>
              <w:t>0.7,</w:t>
            </w:r>
          </w:p>
          <w:p w14:paraId="7E7061BB" w14:textId="77777777" w:rsidR="00D35767" w:rsidRPr="00D35767" w:rsidRDefault="00D35767" w:rsidP="00D35767">
            <w:pPr>
              <w:rPr>
                <w:rFonts w:cstheme="minorHAnsi"/>
                <w:color w:val="000000" w:themeColor="text1"/>
              </w:rPr>
            </w:pPr>
            <w:r w:rsidRPr="00D35767">
              <w:rPr>
                <w:rFonts w:cstheme="minorHAnsi"/>
                <w:color w:val="000000" w:themeColor="text1"/>
              </w:rPr>
              <w:t>0.5,</w:t>
            </w:r>
          </w:p>
          <w:p w14:paraId="34FC048D" w14:textId="6D61AEEC" w:rsidR="00D35767" w:rsidRPr="00D35767" w:rsidRDefault="00D35767" w:rsidP="00D35767">
            <w:pPr>
              <w:rPr>
                <w:rFonts w:cstheme="minorHAnsi"/>
                <w:color w:val="000000" w:themeColor="text1"/>
              </w:rPr>
            </w:pPr>
            <w:r w:rsidRPr="00D35767">
              <w:rPr>
                <w:rFonts w:cstheme="minorHAnsi"/>
                <w:color w:val="000000" w:themeColor="text1"/>
              </w:rPr>
              <w:t>0.</w:t>
            </w:r>
            <w:r w:rsidR="00A63683">
              <w:rPr>
                <w:rFonts w:cstheme="minorHAnsi"/>
                <w:color w:val="000000" w:themeColor="text1"/>
              </w:rPr>
              <w:t>05</w:t>
            </w:r>
            <w:r w:rsidRPr="00D35767">
              <w:rPr>
                <w:rFonts w:cstheme="minorHAnsi"/>
                <w:color w:val="000000" w:themeColor="text1"/>
              </w:rPr>
              <w:t>,</w:t>
            </w:r>
          </w:p>
          <w:p w14:paraId="0306A30C" w14:textId="4B34D39F" w:rsidR="00D35767" w:rsidRPr="00D35767" w:rsidRDefault="00D35767" w:rsidP="00D35767">
            <w:pPr>
              <w:rPr>
                <w:rFonts w:cstheme="minorHAnsi"/>
                <w:color w:val="000000" w:themeColor="text1"/>
              </w:rPr>
            </w:pPr>
            <w:r w:rsidRPr="00D35767">
              <w:rPr>
                <w:rFonts w:cstheme="minorHAnsi"/>
                <w:color w:val="000000" w:themeColor="text1"/>
              </w:rPr>
              <w:t>0</w:t>
            </w:r>
            <w:r w:rsidR="00A63683">
              <w:rPr>
                <w:rFonts w:cstheme="minorHAnsi"/>
                <w:color w:val="000000" w:themeColor="text1"/>
              </w:rPr>
              <w:t>.02</w:t>
            </w:r>
            <w:r w:rsidRPr="00D35767">
              <w:rPr>
                <w:rFonts w:cstheme="minorHAnsi"/>
                <w:color w:val="000000" w:themeColor="text1"/>
              </w:rPr>
              <w:t>,</w:t>
            </w:r>
          </w:p>
          <w:p w14:paraId="4C624477" w14:textId="1B9A29D5" w:rsidR="00D35767" w:rsidRPr="00D35767" w:rsidRDefault="00D35767" w:rsidP="00D35767">
            <w:pPr>
              <w:rPr>
                <w:rFonts w:cstheme="minorHAnsi"/>
                <w:color w:val="000000" w:themeColor="text1"/>
              </w:rPr>
            </w:pPr>
            <w:r w:rsidRPr="00D35767">
              <w:rPr>
                <w:rFonts w:cstheme="minorHAnsi"/>
                <w:color w:val="000000" w:themeColor="text1"/>
              </w:rPr>
              <w:t>0.0</w:t>
            </w:r>
            <w:r w:rsidR="00A63683">
              <w:rPr>
                <w:rFonts w:cstheme="minorHAnsi"/>
                <w:color w:val="000000" w:themeColor="text1"/>
              </w:rPr>
              <w:t>1</w:t>
            </w:r>
          </w:p>
          <w:p w14:paraId="2362BF2A" w14:textId="70E95B33" w:rsidR="00D35767" w:rsidRPr="00D35767" w:rsidRDefault="00D35767" w:rsidP="00D35767">
            <w:pPr>
              <w:rPr>
                <w:rFonts w:cstheme="minorHAnsi"/>
                <w:color w:val="000000" w:themeColor="text1"/>
              </w:rPr>
            </w:pPr>
            <w:r w:rsidRPr="00D35767">
              <w:rPr>
                <w:rFonts w:cstheme="minorHAnsi"/>
                <w:color w:val="000000" w:themeColor="text1"/>
              </w:rPr>
              <w:t>0</w:t>
            </w:r>
          </w:p>
        </w:tc>
        <w:tc>
          <w:tcPr>
            <w:tcW w:w="3230" w:type="dxa"/>
            <w:tcBorders>
              <w:top w:val="nil"/>
              <w:left w:val="nil"/>
              <w:bottom w:val="nil"/>
              <w:right w:val="nil"/>
            </w:tcBorders>
            <w:shd w:val="clear" w:color="auto" w:fill="F2F2F2" w:themeFill="background1" w:themeFillShade="F2"/>
            <w:noWrap/>
            <w:hideMark/>
          </w:tcPr>
          <w:p w14:paraId="1E4C791D" w14:textId="3741F816" w:rsidR="00D35767" w:rsidRPr="00D35767" w:rsidRDefault="00D35767" w:rsidP="00D35767">
            <w:pPr>
              <w:rPr>
                <w:rFonts w:ascii="Calibri" w:hAnsi="Calibri" w:cs="Calibri"/>
                <w:color w:val="4472C4" w:themeColor="accent1"/>
              </w:rPr>
            </w:pPr>
            <w:r w:rsidRPr="00D35767">
              <w:rPr>
                <w:rFonts w:ascii="Calibri" w:hAnsi="Calibri" w:cs="Calibri"/>
              </w:rPr>
              <w:t>probability that a person with a severe exacerbation will die.</w:t>
            </w:r>
          </w:p>
        </w:tc>
        <w:tc>
          <w:tcPr>
            <w:tcW w:w="5793" w:type="dxa"/>
            <w:vMerge/>
            <w:tcBorders>
              <w:left w:val="nil"/>
              <w:right w:val="nil"/>
            </w:tcBorders>
            <w:noWrap/>
          </w:tcPr>
          <w:p w14:paraId="76CF129E" w14:textId="2F92E6E2" w:rsidR="00D35767" w:rsidRPr="00D35767" w:rsidRDefault="00D35767" w:rsidP="00D35767">
            <w:pPr>
              <w:rPr>
                <w:rFonts w:ascii="Calibri" w:hAnsi="Calibri" w:cs="Calibri"/>
                <w:color w:val="4472C4" w:themeColor="accent1"/>
              </w:rPr>
            </w:pPr>
          </w:p>
        </w:tc>
      </w:tr>
      <w:tr w:rsidR="00D35767" w:rsidRPr="00AC5CAF" w14:paraId="7AE5F224" w14:textId="77777777" w:rsidTr="00D8462D">
        <w:trPr>
          <w:trHeight w:val="307"/>
        </w:trPr>
        <w:tc>
          <w:tcPr>
            <w:tcW w:w="3704" w:type="dxa"/>
            <w:tcBorders>
              <w:top w:val="nil"/>
              <w:left w:val="nil"/>
              <w:bottom w:val="nil"/>
              <w:right w:val="nil"/>
            </w:tcBorders>
            <w:shd w:val="clear" w:color="auto" w:fill="F2F2F2" w:themeFill="background1" w:themeFillShade="F2"/>
            <w:noWrap/>
          </w:tcPr>
          <w:p w14:paraId="076B881A" w14:textId="77777777" w:rsidR="00D35767" w:rsidRPr="00855CD1" w:rsidRDefault="00D35767" w:rsidP="00D35767">
            <w:pPr>
              <w:rPr>
                <w:rFonts w:ascii="Calibri" w:hAnsi="Calibri" w:cs="Calibri"/>
              </w:rPr>
            </w:pPr>
            <w:r w:rsidRPr="00855CD1">
              <w:rPr>
                <w:rFonts w:ascii="Calibri" w:hAnsi="Calibri" w:cs="Calibri"/>
              </w:rPr>
              <w:t>eff_oxygen</w:t>
            </w:r>
          </w:p>
          <w:p w14:paraId="013842F8" w14:textId="6536EE94" w:rsidR="00D35767" w:rsidRPr="00D35767" w:rsidRDefault="00D35767" w:rsidP="00D35767">
            <w:pPr>
              <w:rPr>
                <w:rFonts w:ascii="Calibri" w:hAnsi="Calibri" w:cs="Calibri"/>
              </w:rPr>
            </w:pPr>
          </w:p>
        </w:tc>
        <w:tc>
          <w:tcPr>
            <w:tcW w:w="2441" w:type="dxa"/>
            <w:tcBorders>
              <w:top w:val="nil"/>
              <w:left w:val="nil"/>
              <w:bottom w:val="nil"/>
              <w:right w:val="nil"/>
            </w:tcBorders>
            <w:noWrap/>
          </w:tcPr>
          <w:p w14:paraId="666DDF23" w14:textId="4E755E8A" w:rsidR="00D35767" w:rsidRPr="00D35767" w:rsidRDefault="00D35767" w:rsidP="00D35767">
            <w:pPr>
              <w:rPr>
                <w:rFonts w:ascii="Calibri" w:hAnsi="Calibri" w:cs="Calibri"/>
                <w:color w:val="000000" w:themeColor="text1"/>
                <w:highlight w:val="lightGray"/>
              </w:rPr>
            </w:pPr>
            <w:r w:rsidRPr="00D35767">
              <w:rPr>
                <w:rFonts w:ascii="Calibri" w:hAnsi="Calibri" w:cs="Calibri"/>
                <w:color w:val="000000" w:themeColor="text1"/>
              </w:rPr>
              <w:t>0.6</w:t>
            </w:r>
          </w:p>
        </w:tc>
        <w:tc>
          <w:tcPr>
            <w:tcW w:w="3230" w:type="dxa"/>
            <w:tcBorders>
              <w:top w:val="nil"/>
              <w:left w:val="nil"/>
              <w:bottom w:val="nil"/>
              <w:right w:val="nil"/>
            </w:tcBorders>
            <w:shd w:val="clear" w:color="auto" w:fill="F2F2F2" w:themeFill="background1" w:themeFillShade="F2"/>
            <w:noWrap/>
          </w:tcPr>
          <w:p w14:paraId="201620A7" w14:textId="054A8292" w:rsidR="00D35767" w:rsidRPr="00D35767" w:rsidRDefault="00D35767" w:rsidP="00D35767">
            <w:pPr>
              <w:rPr>
                <w:rFonts w:ascii="Calibri" w:hAnsi="Calibri" w:cs="Calibri"/>
              </w:rPr>
            </w:pPr>
            <w:r w:rsidRPr="00D35767">
              <w:rPr>
                <w:rFonts w:ascii="Calibri" w:hAnsi="Calibri" w:cs="Calibri"/>
              </w:rPr>
              <w:t>reduction in risk of death in a person with severe exacerbation if receive titrated oxygen.</w:t>
            </w:r>
          </w:p>
        </w:tc>
        <w:tc>
          <w:tcPr>
            <w:tcW w:w="5793" w:type="dxa"/>
            <w:vMerge/>
            <w:tcBorders>
              <w:left w:val="nil"/>
              <w:right w:val="nil"/>
            </w:tcBorders>
            <w:noWrap/>
          </w:tcPr>
          <w:p w14:paraId="0BEF6AEE" w14:textId="0EAC2656" w:rsidR="00D35767" w:rsidRPr="00D35767" w:rsidRDefault="00D35767" w:rsidP="00D35767">
            <w:pPr>
              <w:rPr>
                <w:rFonts w:ascii="Calibri" w:hAnsi="Calibri" w:cs="Calibri"/>
                <w:color w:val="4472C4" w:themeColor="accent1"/>
              </w:rPr>
            </w:pPr>
          </w:p>
        </w:tc>
      </w:tr>
      <w:tr w:rsidR="00D35767" w:rsidRPr="00AC5CAF" w14:paraId="1CF90B9F" w14:textId="77777777" w:rsidTr="00D8462D">
        <w:trPr>
          <w:trHeight w:val="307"/>
        </w:trPr>
        <w:tc>
          <w:tcPr>
            <w:tcW w:w="3704" w:type="dxa"/>
            <w:tcBorders>
              <w:top w:val="nil"/>
              <w:left w:val="nil"/>
              <w:bottom w:val="nil"/>
              <w:right w:val="nil"/>
            </w:tcBorders>
            <w:shd w:val="clear" w:color="auto" w:fill="F2F2F2" w:themeFill="background1" w:themeFillShade="F2"/>
            <w:noWrap/>
          </w:tcPr>
          <w:p w14:paraId="3C4B11EE" w14:textId="3058ED38" w:rsidR="00D35767" w:rsidRPr="00D35767" w:rsidRDefault="00D35767" w:rsidP="00D35767">
            <w:pPr>
              <w:rPr>
                <w:rFonts w:ascii="Calibri" w:hAnsi="Calibri" w:cs="Calibri"/>
                <w:highlight w:val="yellow"/>
              </w:rPr>
            </w:pPr>
            <w:r w:rsidRPr="00D35767">
              <w:rPr>
                <w:color w:val="000000" w:themeColor="text1"/>
              </w:rPr>
              <w:lastRenderedPageBreak/>
              <w:t>rel_risk_wood_burn_stove</w:t>
            </w:r>
          </w:p>
        </w:tc>
        <w:tc>
          <w:tcPr>
            <w:tcW w:w="2441" w:type="dxa"/>
            <w:tcBorders>
              <w:top w:val="nil"/>
              <w:left w:val="nil"/>
              <w:bottom w:val="nil"/>
              <w:right w:val="nil"/>
            </w:tcBorders>
            <w:noWrap/>
          </w:tcPr>
          <w:p w14:paraId="26FBB99F" w14:textId="5CE8111A" w:rsidR="00D35767" w:rsidRPr="00D35767" w:rsidRDefault="00D35767" w:rsidP="00D35767">
            <w:pPr>
              <w:rPr>
                <w:rFonts w:ascii="Calibri" w:hAnsi="Calibri" w:cs="Calibri"/>
                <w:color w:val="000000" w:themeColor="text1"/>
              </w:rPr>
            </w:pPr>
            <w:r w:rsidRPr="00D35767">
              <w:rPr>
                <w:rFonts w:ascii="Calibri" w:hAnsi="Calibri" w:cs="Calibri"/>
                <w:color w:val="000000" w:themeColor="text1"/>
              </w:rPr>
              <w:t>2.0</w:t>
            </w:r>
          </w:p>
        </w:tc>
        <w:tc>
          <w:tcPr>
            <w:tcW w:w="3230" w:type="dxa"/>
            <w:tcBorders>
              <w:top w:val="nil"/>
              <w:left w:val="nil"/>
              <w:bottom w:val="nil"/>
              <w:right w:val="nil"/>
            </w:tcBorders>
            <w:shd w:val="clear" w:color="auto" w:fill="F2F2F2" w:themeFill="background1" w:themeFillShade="F2"/>
            <w:noWrap/>
          </w:tcPr>
          <w:p w14:paraId="220CC8AD" w14:textId="56C270DF" w:rsidR="00D35767" w:rsidRPr="00D35767" w:rsidRDefault="00D35767" w:rsidP="00D35767">
            <w:pPr>
              <w:rPr>
                <w:rFonts w:ascii="Calibri" w:hAnsi="Calibri" w:cs="Calibri"/>
              </w:rPr>
            </w:pPr>
            <w:r w:rsidRPr="00D35767">
              <w:rPr>
                <w:rFonts w:ascii="Calibri" w:hAnsi="Calibri" w:cs="Calibri"/>
              </w:rPr>
              <w:t>Relative increase in rate of progression to next ch_lungfunction category if living in a home with a woodburn stove.</w:t>
            </w:r>
          </w:p>
        </w:tc>
        <w:tc>
          <w:tcPr>
            <w:tcW w:w="5793" w:type="dxa"/>
            <w:vMerge/>
            <w:tcBorders>
              <w:left w:val="nil"/>
              <w:right w:val="nil"/>
            </w:tcBorders>
            <w:noWrap/>
          </w:tcPr>
          <w:p w14:paraId="5F7B6C5D" w14:textId="77777777" w:rsidR="00D35767" w:rsidRPr="00D35767" w:rsidRDefault="00D35767" w:rsidP="00D35767">
            <w:pPr>
              <w:rPr>
                <w:rFonts w:ascii="Calibri" w:hAnsi="Calibri" w:cs="Calibri"/>
                <w:color w:val="000000" w:themeColor="text1"/>
              </w:rPr>
            </w:pPr>
          </w:p>
        </w:tc>
      </w:tr>
      <w:tr w:rsidR="00D35767" w:rsidRPr="00AC5CAF" w14:paraId="799CF9E8" w14:textId="77777777" w:rsidTr="00D8462D">
        <w:trPr>
          <w:trHeight w:val="307"/>
        </w:trPr>
        <w:tc>
          <w:tcPr>
            <w:tcW w:w="3704" w:type="dxa"/>
            <w:tcBorders>
              <w:top w:val="nil"/>
              <w:left w:val="nil"/>
              <w:bottom w:val="nil"/>
              <w:right w:val="nil"/>
            </w:tcBorders>
            <w:shd w:val="clear" w:color="auto" w:fill="F2F2F2" w:themeFill="background1" w:themeFillShade="F2"/>
            <w:noWrap/>
          </w:tcPr>
          <w:p w14:paraId="22BC92A6" w14:textId="0C9E4061" w:rsidR="00D35767" w:rsidRPr="00D35767" w:rsidRDefault="00D35767" w:rsidP="00D35767">
            <w:pPr>
              <w:rPr>
                <w:rFonts w:ascii="Calibri" w:hAnsi="Calibri" w:cs="Calibri"/>
                <w:highlight w:val="yellow"/>
              </w:rPr>
            </w:pPr>
            <w:r w:rsidRPr="00D35767">
              <w:rPr>
                <w:color w:val="000000" w:themeColor="text1"/>
              </w:rPr>
              <w:t>rel_risk_tob</w:t>
            </w:r>
          </w:p>
        </w:tc>
        <w:tc>
          <w:tcPr>
            <w:tcW w:w="2441" w:type="dxa"/>
            <w:tcBorders>
              <w:top w:val="nil"/>
              <w:left w:val="nil"/>
              <w:bottom w:val="nil"/>
              <w:right w:val="nil"/>
            </w:tcBorders>
            <w:noWrap/>
          </w:tcPr>
          <w:p w14:paraId="3752A13A" w14:textId="05F07BC7" w:rsidR="00D35767" w:rsidRPr="00D35767" w:rsidRDefault="00D35767" w:rsidP="00D35767">
            <w:pPr>
              <w:rPr>
                <w:rFonts w:ascii="Calibri" w:hAnsi="Calibri" w:cs="Calibri"/>
                <w:color w:val="000000" w:themeColor="text1"/>
              </w:rPr>
            </w:pPr>
            <w:r w:rsidRPr="00D35767">
              <w:rPr>
                <w:rFonts w:ascii="Calibri" w:hAnsi="Calibri" w:cs="Calibri"/>
                <w:color w:val="000000" w:themeColor="text1"/>
              </w:rPr>
              <w:t>7.0</w:t>
            </w:r>
          </w:p>
        </w:tc>
        <w:tc>
          <w:tcPr>
            <w:tcW w:w="3230" w:type="dxa"/>
            <w:tcBorders>
              <w:top w:val="nil"/>
              <w:left w:val="nil"/>
              <w:bottom w:val="nil"/>
              <w:right w:val="nil"/>
            </w:tcBorders>
            <w:shd w:val="clear" w:color="auto" w:fill="F2F2F2" w:themeFill="background1" w:themeFillShade="F2"/>
            <w:noWrap/>
          </w:tcPr>
          <w:p w14:paraId="78000D60" w14:textId="53B9E613" w:rsidR="00D35767" w:rsidRPr="00D35767" w:rsidRDefault="00D35767" w:rsidP="00D35767">
            <w:pPr>
              <w:rPr>
                <w:rFonts w:ascii="Calibri" w:hAnsi="Calibri" w:cs="Calibri"/>
              </w:rPr>
            </w:pPr>
            <w:r w:rsidRPr="00D35767">
              <w:rPr>
                <w:rFonts w:ascii="Calibri" w:hAnsi="Calibri" w:cs="Calibri"/>
              </w:rPr>
              <w:t>Relative increase in rate of progression to next ch_lungfunction category if a current smoker.</w:t>
            </w:r>
          </w:p>
        </w:tc>
        <w:tc>
          <w:tcPr>
            <w:tcW w:w="5793" w:type="dxa"/>
            <w:vMerge/>
            <w:tcBorders>
              <w:left w:val="nil"/>
              <w:bottom w:val="nil"/>
              <w:right w:val="nil"/>
            </w:tcBorders>
            <w:noWrap/>
          </w:tcPr>
          <w:p w14:paraId="350E1DE0" w14:textId="7D477A72" w:rsidR="00D35767" w:rsidRPr="00D35767" w:rsidRDefault="00D35767" w:rsidP="00D35767">
            <w:pPr>
              <w:rPr>
                <w:rFonts w:ascii="Calibri" w:hAnsi="Calibri" w:cs="Calibri"/>
                <w:color w:val="000000" w:themeColor="text1"/>
              </w:rPr>
            </w:pPr>
          </w:p>
        </w:tc>
      </w:tr>
      <w:tr w:rsidR="00AC5CAF" w:rsidRPr="00AC5CAF" w14:paraId="3481E915" w14:textId="77777777" w:rsidTr="00D8462D">
        <w:trPr>
          <w:trHeight w:val="307"/>
        </w:trPr>
        <w:tc>
          <w:tcPr>
            <w:tcW w:w="15168" w:type="dxa"/>
            <w:gridSpan w:val="4"/>
            <w:tcBorders>
              <w:top w:val="nil"/>
              <w:left w:val="nil"/>
              <w:bottom w:val="nil"/>
              <w:right w:val="nil"/>
            </w:tcBorders>
            <w:noWrap/>
            <w:hideMark/>
          </w:tcPr>
          <w:p w14:paraId="501AF04F" w14:textId="515808E9" w:rsidR="004F1E60" w:rsidRPr="00D35767" w:rsidRDefault="004F1E60" w:rsidP="00D35767">
            <w:pPr>
              <w:rPr>
                <w:color w:val="4472C4" w:themeColor="accent1"/>
                <w:sz w:val="18"/>
                <w:szCs w:val="18"/>
              </w:rPr>
            </w:pPr>
          </w:p>
        </w:tc>
      </w:tr>
    </w:tbl>
    <w:p w14:paraId="46E4E2C3" w14:textId="5FC87115" w:rsidR="007B5264" w:rsidRPr="00AC5CAF" w:rsidRDefault="007B5264">
      <w:pPr>
        <w:rPr>
          <w:color w:val="4472C4" w:themeColor="accent1"/>
        </w:rPr>
        <w:sectPr w:rsidR="007B5264" w:rsidRPr="00AC5CAF" w:rsidSect="00224E2F">
          <w:pgSz w:w="16838" w:h="11906" w:orient="landscape"/>
          <w:pgMar w:top="1440" w:right="1080" w:bottom="1440" w:left="1080" w:header="709" w:footer="709" w:gutter="0"/>
          <w:cols w:space="708"/>
          <w:docGrid w:linePitch="360"/>
        </w:sectPr>
      </w:pPr>
    </w:p>
    <w:p w14:paraId="7996ED4B" w14:textId="148F7B91" w:rsidR="00335F89" w:rsidRPr="00D8462D" w:rsidRDefault="00335F89" w:rsidP="00335F89">
      <w:pPr>
        <w:rPr>
          <w:b/>
          <w:color w:val="000000" w:themeColor="text1"/>
        </w:rPr>
      </w:pPr>
      <w:r w:rsidRPr="002F7D36">
        <w:rPr>
          <w:b/>
          <w:color w:val="000000" w:themeColor="text1"/>
        </w:rPr>
        <w:lastRenderedPageBreak/>
        <w:t xml:space="preserve">Table 3.  Model outputs </w:t>
      </w:r>
      <w:r w:rsidR="001A4E20" w:rsidRPr="002F7D36">
        <w:rPr>
          <w:b/>
          <w:color w:val="000000" w:themeColor="text1"/>
        </w:rPr>
        <w:t>(for 20</w:t>
      </w:r>
      <w:r w:rsidR="002F7D36" w:rsidRPr="002F7D36">
        <w:rPr>
          <w:b/>
          <w:color w:val="000000" w:themeColor="text1"/>
        </w:rPr>
        <w:t>23</w:t>
      </w:r>
      <w:r w:rsidR="001A4E20" w:rsidRPr="002F7D36">
        <w:rPr>
          <w:b/>
          <w:color w:val="000000" w:themeColor="text1"/>
        </w:rPr>
        <w:t xml:space="preserve">) </w:t>
      </w:r>
      <w:r w:rsidRPr="002F7D36">
        <w:rPr>
          <w:b/>
          <w:color w:val="000000" w:themeColor="text1"/>
        </w:rPr>
        <w:t xml:space="preserve">and observed data </w:t>
      </w:r>
      <w:r w:rsidR="002F7D36" w:rsidRPr="002F7D36">
        <w:rPr>
          <w:b/>
          <w:color w:val="000000" w:themeColor="text1"/>
        </w:rPr>
        <w:t>as available</w:t>
      </w:r>
      <w:r w:rsidR="009B7F27" w:rsidRPr="002F7D36">
        <w:rPr>
          <w:b/>
          <w:color w:val="000000" w:themeColor="text1"/>
        </w:rPr>
        <w:t xml:space="preserve">.  </w:t>
      </w:r>
    </w:p>
    <w:tbl>
      <w:tblPr>
        <w:tblStyle w:val="TableGrid"/>
        <w:tblW w:w="9634" w:type="dxa"/>
        <w:tblCellMar>
          <w:top w:w="113" w:type="dxa"/>
          <w:bottom w:w="113" w:type="dxa"/>
        </w:tblCellMar>
        <w:tblLook w:val="04A0" w:firstRow="1" w:lastRow="0" w:firstColumn="1" w:lastColumn="0" w:noHBand="0" w:noVBand="1"/>
      </w:tblPr>
      <w:tblGrid>
        <w:gridCol w:w="3299"/>
        <w:gridCol w:w="1799"/>
        <w:gridCol w:w="4536"/>
      </w:tblGrid>
      <w:tr w:rsidR="00AC5CAF" w:rsidRPr="00AC5CAF" w14:paraId="09C98828" w14:textId="77777777" w:rsidTr="00307063">
        <w:tc>
          <w:tcPr>
            <w:tcW w:w="3299" w:type="dxa"/>
            <w:shd w:val="clear" w:color="auto" w:fill="BFBFBF" w:themeFill="background1" w:themeFillShade="BF"/>
          </w:tcPr>
          <w:p w14:paraId="2E1A61FD" w14:textId="77777777" w:rsidR="00877779" w:rsidRPr="002F7D36" w:rsidRDefault="00877779" w:rsidP="00335F89">
            <w:pPr>
              <w:rPr>
                <w:b/>
                <w:color w:val="000000" w:themeColor="text1"/>
              </w:rPr>
            </w:pPr>
          </w:p>
          <w:p w14:paraId="452DF79C" w14:textId="77777777" w:rsidR="00877779" w:rsidRPr="002F7D36" w:rsidRDefault="003C31CB" w:rsidP="00335F89">
            <w:pPr>
              <w:rPr>
                <w:color w:val="000000" w:themeColor="text1"/>
              </w:rPr>
            </w:pPr>
            <w:r w:rsidRPr="002F7D36">
              <w:rPr>
                <w:b/>
                <w:color w:val="000000" w:themeColor="text1"/>
              </w:rPr>
              <w:t>Measure</w:t>
            </w:r>
            <w:r w:rsidR="009B7F27" w:rsidRPr="002F7D36">
              <w:rPr>
                <w:b/>
                <w:color w:val="000000" w:themeColor="text1"/>
              </w:rPr>
              <w:t xml:space="preserve"> </w:t>
            </w:r>
            <w:r w:rsidR="009B7F27" w:rsidRPr="002F7D36">
              <w:rPr>
                <w:color w:val="000000" w:themeColor="text1"/>
              </w:rPr>
              <w:t>(all ages)</w:t>
            </w:r>
          </w:p>
          <w:p w14:paraId="0F80E734" w14:textId="77777777" w:rsidR="00877779" w:rsidRPr="002F7D36" w:rsidRDefault="00877779" w:rsidP="00335F89">
            <w:pPr>
              <w:rPr>
                <w:b/>
                <w:color w:val="000000" w:themeColor="text1"/>
              </w:rPr>
            </w:pPr>
          </w:p>
        </w:tc>
        <w:tc>
          <w:tcPr>
            <w:tcW w:w="1799" w:type="dxa"/>
            <w:shd w:val="clear" w:color="auto" w:fill="BFBFBF" w:themeFill="background1" w:themeFillShade="BF"/>
          </w:tcPr>
          <w:p w14:paraId="5F326CF6" w14:textId="77777777" w:rsidR="00877779" w:rsidRPr="002F7D36" w:rsidRDefault="00877779" w:rsidP="00335F89">
            <w:pPr>
              <w:rPr>
                <w:b/>
                <w:color w:val="000000" w:themeColor="text1"/>
              </w:rPr>
            </w:pPr>
          </w:p>
          <w:p w14:paraId="2C8B069D" w14:textId="77777777" w:rsidR="00877779" w:rsidRPr="002F7D36" w:rsidRDefault="003C31CB" w:rsidP="003C31CB">
            <w:pPr>
              <w:rPr>
                <w:b/>
                <w:color w:val="000000" w:themeColor="text1"/>
              </w:rPr>
            </w:pPr>
            <w:r w:rsidRPr="002F7D36">
              <w:rPr>
                <w:b/>
                <w:color w:val="000000" w:themeColor="text1"/>
              </w:rPr>
              <w:t xml:space="preserve">Model output </w:t>
            </w:r>
          </w:p>
        </w:tc>
        <w:tc>
          <w:tcPr>
            <w:tcW w:w="4536" w:type="dxa"/>
            <w:shd w:val="clear" w:color="auto" w:fill="BFBFBF" w:themeFill="background1" w:themeFillShade="BF"/>
          </w:tcPr>
          <w:p w14:paraId="6C89886E" w14:textId="77777777" w:rsidR="00877779" w:rsidRPr="002F7D36" w:rsidRDefault="00877779" w:rsidP="00335F89">
            <w:pPr>
              <w:rPr>
                <w:b/>
                <w:color w:val="000000" w:themeColor="text1"/>
              </w:rPr>
            </w:pPr>
          </w:p>
          <w:p w14:paraId="7343C42B" w14:textId="77777777" w:rsidR="00877779" w:rsidRPr="002F7D36" w:rsidRDefault="003C31CB" w:rsidP="00335F89">
            <w:pPr>
              <w:rPr>
                <w:b/>
                <w:color w:val="000000" w:themeColor="text1"/>
              </w:rPr>
            </w:pPr>
            <w:r w:rsidRPr="002F7D36">
              <w:rPr>
                <w:b/>
                <w:color w:val="000000" w:themeColor="text1"/>
              </w:rPr>
              <w:t xml:space="preserve">Observed data / </w:t>
            </w:r>
            <w:r w:rsidR="00877779" w:rsidRPr="002F7D36">
              <w:rPr>
                <w:b/>
                <w:color w:val="000000" w:themeColor="text1"/>
              </w:rPr>
              <w:t>Notes</w:t>
            </w:r>
          </w:p>
        </w:tc>
      </w:tr>
      <w:tr w:rsidR="00AC5CAF" w:rsidRPr="00AC5CAF" w14:paraId="53ACC5C3" w14:textId="77777777" w:rsidTr="00307063">
        <w:tc>
          <w:tcPr>
            <w:tcW w:w="3299" w:type="dxa"/>
            <w:shd w:val="clear" w:color="auto" w:fill="F2F2F2" w:themeFill="background1" w:themeFillShade="F2"/>
          </w:tcPr>
          <w:p w14:paraId="1379149D" w14:textId="4E8FADBB" w:rsidR="00913F27" w:rsidRPr="002F7D36" w:rsidRDefault="002F7D36" w:rsidP="00913F27">
            <w:pPr>
              <w:rPr>
                <w:color w:val="000000" w:themeColor="text1"/>
              </w:rPr>
            </w:pPr>
            <w:r w:rsidRPr="002F7D36">
              <w:rPr>
                <w:color w:val="000000" w:themeColor="text1"/>
              </w:rPr>
              <w:t>Prevalence of mild, moderate, severe, very severe COPD</w:t>
            </w:r>
            <w:r>
              <w:rPr>
                <w:color w:val="000000" w:themeColor="text1"/>
              </w:rPr>
              <w:t xml:space="preserve"> at mean age </w:t>
            </w:r>
            <w:r w:rsidR="00FE242A">
              <w:rPr>
                <w:color w:val="000000" w:themeColor="text1"/>
              </w:rPr>
              <w:t>49</w:t>
            </w:r>
            <w:r>
              <w:rPr>
                <w:color w:val="000000" w:themeColor="text1"/>
              </w:rPr>
              <w:t xml:space="preserve"> (SD 17 years)</w:t>
            </w:r>
            <w:r w:rsidR="00D8462D">
              <w:rPr>
                <w:color w:val="000000" w:themeColor="text1"/>
              </w:rPr>
              <w:t>*</w:t>
            </w:r>
          </w:p>
        </w:tc>
        <w:tc>
          <w:tcPr>
            <w:tcW w:w="1799" w:type="dxa"/>
          </w:tcPr>
          <w:p w14:paraId="4E52AD5A" w14:textId="77777777" w:rsidR="00296838" w:rsidRPr="00296838" w:rsidRDefault="00296838" w:rsidP="00296838">
            <w:pPr>
              <w:rPr>
                <w:color w:val="000000" w:themeColor="text1"/>
                <w:sz w:val="16"/>
              </w:rPr>
            </w:pPr>
          </w:p>
          <w:p w14:paraId="619CCC70" w14:textId="5245142B" w:rsidR="00296838" w:rsidRDefault="00CC55C7" w:rsidP="00296838">
            <w:pPr>
              <w:rPr>
                <w:color w:val="000000" w:themeColor="text1"/>
              </w:rPr>
            </w:pPr>
            <w:r w:rsidRPr="000C2406">
              <w:t>7</w:t>
            </w:r>
            <w:r>
              <w:t>.</w:t>
            </w:r>
            <w:r w:rsidRPr="000C2406">
              <w:t>6355</w:t>
            </w:r>
            <w:r w:rsidR="00296838">
              <w:rPr>
                <w:color w:val="000000" w:themeColor="text1"/>
              </w:rPr>
              <w:t xml:space="preserve"> </w:t>
            </w:r>
          </w:p>
          <w:p w14:paraId="38CFCB06" w14:textId="47A823EB" w:rsidR="00296838" w:rsidRDefault="00CC55C7" w:rsidP="00296838">
            <w:pPr>
              <w:rPr>
                <w:color w:val="000000" w:themeColor="text1"/>
              </w:rPr>
            </w:pPr>
            <w:r w:rsidRPr="000C2406">
              <w:t>2</w:t>
            </w:r>
            <w:r>
              <w:t>.</w:t>
            </w:r>
            <w:r w:rsidRPr="000C2406">
              <w:t>9472</w:t>
            </w:r>
            <w:r w:rsidR="00296838">
              <w:rPr>
                <w:color w:val="000000" w:themeColor="text1"/>
              </w:rPr>
              <w:t xml:space="preserve"> </w:t>
            </w:r>
          </w:p>
          <w:p w14:paraId="7069CD51" w14:textId="2200BBAE" w:rsidR="00296838" w:rsidRDefault="00CC55C7" w:rsidP="00296838">
            <w:pPr>
              <w:rPr>
                <w:color w:val="000000" w:themeColor="text1"/>
              </w:rPr>
            </w:pPr>
            <w:r w:rsidRPr="000C2406">
              <w:t>0</w:t>
            </w:r>
            <w:r>
              <w:t>.</w:t>
            </w:r>
            <w:r w:rsidRPr="000C2406">
              <w:t>7265</w:t>
            </w:r>
            <w:r w:rsidR="00296838">
              <w:rPr>
                <w:color w:val="000000" w:themeColor="text1"/>
              </w:rPr>
              <w:t xml:space="preserve">  </w:t>
            </w:r>
          </w:p>
          <w:p w14:paraId="455E3D9B" w14:textId="65FE3A78" w:rsidR="00296838" w:rsidRPr="00296838" w:rsidRDefault="00CC55C7" w:rsidP="00296838">
            <w:pPr>
              <w:rPr>
                <w:color w:val="000000" w:themeColor="text1"/>
                <w:highlight w:val="lightGray"/>
              </w:rPr>
            </w:pPr>
            <w:r w:rsidRPr="000C2406">
              <w:t>0</w:t>
            </w:r>
            <w:r>
              <w:t>.</w:t>
            </w:r>
            <w:r w:rsidRPr="000C2406">
              <w:t>1582</w:t>
            </w:r>
          </w:p>
          <w:p w14:paraId="271899B6" w14:textId="7AD42695" w:rsidR="00DE65E2" w:rsidRPr="0005413A" w:rsidRDefault="00DE65E2" w:rsidP="00913F27">
            <w:pPr>
              <w:rPr>
                <w:color w:val="000000" w:themeColor="text1"/>
                <w:highlight w:val="lightGray"/>
              </w:rPr>
            </w:pPr>
          </w:p>
        </w:tc>
        <w:tc>
          <w:tcPr>
            <w:tcW w:w="4536" w:type="dxa"/>
            <w:shd w:val="clear" w:color="auto" w:fill="F2F2F2" w:themeFill="background1" w:themeFillShade="F2"/>
          </w:tcPr>
          <w:p w14:paraId="5283241F" w14:textId="77777777" w:rsidR="00913F27" w:rsidRDefault="007D69E0" w:rsidP="00913F27">
            <w:pPr>
              <w:rPr>
                <w:bCs/>
                <w:lang w:val="en-US"/>
              </w:rPr>
            </w:pPr>
            <w:r w:rsidRPr="005377C8">
              <w:rPr>
                <w:bCs/>
                <w:lang w:val="en-US"/>
              </w:rPr>
              <w:t>Njoroge et al 2021</w:t>
            </w:r>
          </w:p>
          <w:p w14:paraId="0C0D9C9F" w14:textId="77777777" w:rsidR="00DE65E2" w:rsidRPr="002F7D36" w:rsidRDefault="00DE65E2" w:rsidP="00DE65E2">
            <w:pPr>
              <w:rPr>
                <w:color w:val="000000" w:themeColor="text1"/>
              </w:rPr>
            </w:pPr>
            <w:r>
              <w:rPr>
                <w:color w:val="000000" w:themeColor="text1"/>
              </w:rPr>
              <w:t>9.8</w:t>
            </w:r>
            <w:r w:rsidRPr="002F7D36">
              <w:rPr>
                <w:color w:val="000000" w:themeColor="text1"/>
              </w:rPr>
              <w:t>%</w:t>
            </w:r>
          </w:p>
          <w:p w14:paraId="013E2DB2" w14:textId="77777777" w:rsidR="00DE65E2" w:rsidRPr="002F7D36" w:rsidRDefault="00DE65E2" w:rsidP="00DE65E2">
            <w:pPr>
              <w:rPr>
                <w:color w:val="000000" w:themeColor="text1"/>
              </w:rPr>
            </w:pPr>
            <w:r>
              <w:rPr>
                <w:color w:val="000000" w:themeColor="text1"/>
              </w:rPr>
              <w:t>9.5</w:t>
            </w:r>
            <w:r w:rsidRPr="002F7D36">
              <w:rPr>
                <w:color w:val="000000" w:themeColor="text1"/>
              </w:rPr>
              <w:t>%</w:t>
            </w:r>
          </w:p>
          <w:p w14:paraId="496BC667" w14:textId="77777777" w:rsidR="00DE65E2" w:rsidRPr="002F7D36" w:rsidRDefault="00DE65E2" w:rsidP="00DE65E2">
            <w:pPr>
              <w:rPr>
                <w:color w:val="000000" w:themeColor="text1"/>
              </w:rPr>
            </w:pPr>
            <w:r>
              <w:rPr>
                <w:color w:val="000000" w:themeColor="text1"/>
              </w:rPr>
              <w:t>1.6</w:t>
            </w:r>
            <w:r w:rsidRPr="002F7D36">
              <w:rPr>
                <w:color w:val="000000" w:themeColor="text1"/>
              </w:rPr>
              <w:t>%</w:t>
            </w:r>
          </w:p>
          <w:p w14:paraId="6E0BBF0A" w14:textId="46A734DC" w:rsidR="00DE65E2" w:rsidRPr="00AC5CAF" w:rsidRDefault="00DE65E2" w:rsidP="00DE65E2">
            <w:pPr>
              <w:rPr>
                <w:color w:val="4472C4" w:themeColor="accent1"/>
              </w:rPr>
            </w:pPr>
            <w:r>
              <w:rPr>
                <w:color w:val="000000" w:themeColor="text1"/>
              </w:rPr>
              <w:t>0.6</w:t>
            </w:r>
            <w:r w:rsidRPr="002F7D36">
              <w:rPr>
                <w:color w:val="000000" w:themeColor="text1"/>
              </w:rPr>
              <w:t>%</w:t>
            </w:r>
          </w:p>
        </w:tc>
      </w:tr>
      <w:tr w:rsidR="00AC5CAF" w:rsidRPr="00AC5CAF" w14:paraId="5768DD74" w14:textId="77777777" w:rsidTr="009D7AA3">
        <w:trPr>
          <w:trHeight w:val="1458"/>
        </w:trPr>
        <w:tc>
          <w:tcPr>
            <w:tcW w:w="3299" w:type="dxa"/>
            <w:shd w:val="clear" w:color="auto" w:fill="F2F2F2" w:themeFill="background1" w:themeFillShade="F2"/>
          </w:tcPr>
          <w:p w14:paraId="26243C24" w14:textId="77777777" w:rsidR="0067028C" w:rsidRDefault="00752CC5" w:rsidP="00335F89">
            <w:pPr>
              <w:rPr>
                <w:color w:val="000000" w:themeColor="text1"/>
              </w:rPr>
            </w:pPr>
            <w:r w:rsidRPr="002E172F">
              <w:rPr>
                <w:color w:val="000000" w:themeColor="text1"/>
              </w:rPr>
              <w:t>Rate of death</w:t>
            </w:r>
            <w:r w:rsidR="007D69E0" w:rsidRPr="002E172F">
              <w:rPr>
                <w:color w:val="000000" w:themeColor="text1"/>
              </w:rPr>
              <w:t xml:space="preserve"> </w:t>
            </w:r>
            <w:r w:rsidRPr="002E172F">
              <w:rPr>
                <w:color w:val="000000" w:themeColor="text1"/>
              </w:rPr>
              <w:t>(per 100 per year)</w:t>
            </w:r>
            <w:r w:rsidR="007D69E0" w:rsidRPr="002E172F">
              <w:rPr>
                <w:color w:val="000000" w:themeColor="text1"/>
              </w:rPr>
              <w:t xml:space="preserve"> by COPD stage</w:t>
            </w:r>
            <w:r w:rsidR="009D7AA3">
              <w:rPr>
                <w:color w:val="000000" w:themeColor="text1"/>
              </w:rPr>
              <w:t xml:space="preserve"> (mild, moderate, severe, very severe)</w:t>
            </w:r>
          </w:p>
          <w:p w14:paraId="03CE7850" w14:textId="3CB38A49" w:rsidR="009D7AA3" w:rsidRPr="002E172F" w:rsidRDefault="009D7AA3" w:rsidP="00335F89">
            <w:pPr>
              <w:rPr>
                <w:color w:val="000000" w:themeColor="text1"/>
              </w:rPr>
            </w:pPr>
          </w:p>
        </w:tc>
        <w:tc>
          <w:tcPr>
            <w:tcW w:w="1799" w:type="dxa"/>
          </w:tcPr>
          <w:p w14:paraId="69DBF72E" w14:textId="4ADA89A9" w:rsidR="00DE65E2" w:rsidRDefault="00DE65E2" w:rsidP="00335F89">
            <w:pPr>
              <w:rPr>
                <w:color w:val="000000" w:themeColor="text1"/>
              </w:rPr>
            </w:pPr>
          </w:p>
          <w:p w14:paraId="64DC6330" w14:textId="77777777" w:rsidR="004D71E2" w:rsidRDefault="004D71E2" w:rsidP="00335F89">
            <w:pPr>
              <w:rPr>
                <w:color w:val="000000" w:themeColor="text1"/>
              </w:rPr>
            </w:pPr>
            <w:r w:rsidRPr="004D71E2">
              <w:rPr>
                <w:color w:val="000000" w:themeColor="text1"/>
              </w:rPr>
              <w:t>0.598999</w:t>
            </w:r>
          </w:p>
          <w:p w14:paraId="750A94C1" w14:textId="77777777" w:rsidR="004D71E2" w:rsidRDefault="004D71E2" w:rsidP="00335F89">
            <w:pPr>
              <w:rPr>
                <w:color w:val="000000" w:themeColor="text1"/>
              </w:rPr>
            </w:pPr>
            <w:r w:rsidRPr="004D71E2">
              <w:rPr>
                <w:color w:val="000000" w:themeColor="text1"/>
              </w:rPr>
              <w:t>2.355645</w:t>
            </w:r>
          </w:p>
          <w:p w14:paraId="5E60AF0A" w14:textId="467DA097" w:rsidR="00CC55C7" w:rsidRDefault="00B20ACE" w:rsidP="00335F89">
            <w:pPr>
              <w:rPr>
                <w:color w:val="000000" w:themeColor="text1"/>
              </w:rPr>
            </w:pPr>
            <w:r w:rsidRPr="00B20ACE">
              <w:rPr>
                <w:color w:val="000000" w:themeColor="text1"/>
              </w:rPr>
              <w:t>3.070482</w:t>
            </w:r>
          </w:p>
          <w:p w14:paraId="22EA3AAE" w14:textId="2CA8A4CB" w:rsidR="00CC55C7" w:rsidRPr="00CF304F" w:rsidRDefault="00B20ACE" w:rsidP="00335F89">
            <w:pPr>
              <w:rPr>
                <w:color w:val="000000" w:themeColor="text1"/>
              </w:rPr>
            </w:pPr>
            <w:r w:rsidRPr="00B20ACE">
              <w:rPr>
                <w:color w:val="000000" w:themeColor="text1"/>
              </w:rPr>
              <w:t>3.846154</w:t>
            </w:r>
          </w:p>
        </w:tc>
        <w:tc>
          <w:tcPr>
            <w:tcW w:w="4536" w:type="dxa"/>
            <w:shd w:val="clear" w:color="auto" w:fill="F2F2F2" w:themeFill="background1" w:themeFillShade="F2"/>
          </w:tcPr>
          <w:p w14:paraId="256BE673" w14:textId="5BECBBA2" w:rsidR="002E172F" w:rsidRPr="002E172F" w:rsidRDefault="002E172F" w:rsidP="002E172F">
            <w:pPr>
              <w:rPr>
                <w:color w:val="000000" w:themeColor="text1"/>
              </w:rPr>
            </w:pPr>
            <w:r w:rsidRPr="002E172F">
              <w:rPr>
                <w:color w:val="000000" w:themeColor="text1"/>
              </w:rPr>
              <w:t>Alupo P et al (2021)</w:t>
            </w:r>
            <w:r w:rsidR="009D7AA3">
              <w:rPr>
                <w:color w:val="000000" w:themeColor="text1"/>
              </w:rPr>
              <w:t xml:space="preserve">  </w:t>
            </w:r>
          </w:p>
          <w:p w14:paraId="62C549AA" w14:textId="77777777" w:rsidR="00DE65E2" w:rsidRPr="002E172F" w:rsidRDefault="00DE65E2" w:rsidP="00DE65E2">
            <w:pPr>
              <w:rPr>
                <w:color w:val="000000" w:themeColor="text1"/>
              </w:rPr>
            </w:pPr>
            <w:r w:rsidRPr="002E172F">
              <w:rPr>
                <w:color w:val="000000" w:themeColor="text1"/>
              </w:rPr>
              <w:t>3.8</w:t>
            </w:r>
          </w:p>
          <w:p w14:paraId="45A7E3D6" w14:textId="77777777" w:rsidR="00DE65E2" w:rsidRPr="002E172F" w:rsidRDefault="00DE65E2" w:rsidP="00DE65E2">
            <w:pPr>
              <w:rPr>
                <w:color w:val="000000" w:themeColor="text1"/>
              </w:rPr>
            </w:pPr>
            <w:r w:rsidRPr="002E172F">
              <w:rPr>
                <w:color w:val="000000" w:themeColor="text1"/>
              </w:rPr>
              <w:t>5.1</w:t>
            </w:r>
          </w:p>
          <w:p w14:paraId="54DC63DB" w14:textId="77777777" w:rsidR="00DE65E2" w:rsidRPr="002E172F" w:rsidRDefault="00DE65E2" w:rsidP="00DE65E2">
            <w:pPr>
              <w:rPr>
                <w:color w:val="000000" w:themeColor="text1"/>
              </w:rPr>
            </w:pPr>
            <w:r w:rsidRPr="002E172F">
              <w:rPr>
                <w:color w:val="000000" w:themeColor="text1"/>
              </w:rPr>
              <w:t>15.3</w:t>
            </w:r>
          </w:p>
          <w:p w14:paraId="0ED9DFBC" w14:textId="28785049" w:rsidR="00D33315" w:rsidRPr="002E172F" w:rsidRDefault="00DE65E2" w:rsidP="00DE65E2">
            <w:pPr>
              <w:rPr>
                <w:color w:val="000000" w:themeColor="text1"/>
              </w:rPr>
            </w:pPr>
            <w:r w:rsidRPr="002E172F">
              <w:rPr>
                <w:color w:val="000000" w:themeColor="text1"/>
              </w:rPr>
              <w:t>27.8</w:t>
            </w:r>
          </w:p>
        </w:tc>
      </w:tr>
      <w:tr w:rsidR="009D7AA3" w:rsidRPr="00AC5CAF" w14:paraId="54A3A420" w14:textId="77777777" w:rsidTr="0096116E">
        <w:trPr>
          <w:trHeight w:val="448"/>
        </w:trPr>
        <w:tc>
          <w:tcPr>
            <w:tcW w:w="3299" w:type="dxa"/>
            <w:shd w:val="clear" w:color="auto" w:fill="F2F2F2" w:themeFill="background1" w:themeFillShade="F2"/>
          </w:tcPr>
          <w:p w14:paraId="2F86FC8D" w14:textId="75E67E79" w:rsidR="009D7AA3" w:rsidRDefault="009D7AA3" w:rsidP="00335F89">
            <w:pPr>
              <w:rPr>
                <w:color w:val="000000" w:themeColor="text1"/>
              </w:rPr>
            </w:pPr>
            <w:r>
              <w:rPr>
                <w:color w:val="000000" w:themeColor="text1"/>
              </w:rPr>
              <w:t>Relative rate of (all cause) death according to COPD stage (none, mild, moderate, severe + v severe)</w:t>
            </w:r>
          </w:p>
          <w:p w14:paraId="2417CD26" w14:textId="77777777" w:rsidR="009D7AA3" w:rsidRPr="002E172F" w:rsidRDefault="009D7AA3" w:rsidP="00335F89">
            <w:pPr>
              <w:rPr>
                <w:color w:val="000000" w:themeColor="text1"/>
              </w:rPr>
            </w:pPr>
          </w:p>
        </w:tc>
        <w:tc>
          <w:tcPr>
            <w:tcW w:w="1799" w:type="dxa"/>
          </w:tcPr>
          <w:p w14:paraId="76907723" w14:textId="6B0F964F" w:rsidR="009D7AA3" w:rsidRDefault="009D7AA3" w:rsidP="009D7AA3">
            <w:pPr>
              <w:rPr>
                <w:color w:val="000000" w:themeColor="text1"/>
                <w:highlight w:val="lightGray"/>
              </w:rPr>
            </w:pPr>
          </w:p>
          <w:p w14:paraId="66704316" w14:textId="77777777" w:rsidR="00CC55C7" w:rsidRDefault="00CC55C7" w:rsidP="009D7AA3">
            <w:pPr>
              <w:rPr>
                <w:color w:val="000000" w:themeColor="text1"/>
              </w:rPr>
            </w:pPr>
            <w:r w:rsidRPr="00CC55C7">
              <w:rPr>
                <w:color w:val="000000" w:themeColor="text1"/>
              </w:rPr>
              <w:t>1.000000</w:t>
            </w:r>
          </w:p>
          <w:p w14:paraId="17CC5C5D" w14:textId="77777777" w:rsidR="00B20ACE" w:rsidRDefault="00B20ACE" w:rsidP="009D7AA3">
            <w:pPr>
              <w:rPr>
                <w:color w:val="000000" w:themeColor="text1"/>
              </w:rPr>
            </w:pPr>
            <w:r w:rsidRPr="00B20ACE">
              <w:rPr>
                <w:color w:val="000000" w:themeColor="text1"/>
              </w:rPr>
              <w:t>27.724000</w:t>
            </w:r>
          </w:p>
          <w:p w14:paraId="2A3040BD" w14:textId="77777777" w:rsidR="00B20ACE" w:rsidRDefault="00B20ACE" w:rsidP="009D7AA3">
            <w:pPr>
              <w:rPr>
                <w:color w:val="000000" w:themeColor="text1"/>
              </w:rPr>
            </w:pPr>
            <w:r w:rsidRPr="00B20ACE">
              <w:rPr>
                <w:color w:val="000000" w:themeColor="text1"/>
              </w:rPr>
              <w:t>112.169082</w:t>
            </w:r>
          </w:p>
          <w:p w14:paraId="4025E087" w14:textId="7FA55944" w:rsidR="00CC55C7" w:rsidRPr="0005413A" w:rsidRDefault="00B20ACE" w:rsidP="009D7AA3">
            <w:pPr>
              <w:rPr>
                <w:color w:val="000000" w:themeColor="text1"/>
                <w:highlight w:val="lightGray"/>
              </w:rPr>
            </w:pPr>
            <w:r w:rsidRPr="00B20ACE">
              <w:rPr>
                <w:color w:val="000000" w:themeColor="text1"/>
              </w:rPr>
              <w:t>360.619991</w:t>
            </w:r>
          </w:p>
        </w:tc>
        <w:tc>
          <w:tcPr>
            <w:tcW w:w="4536" w:type="dxa"/>
            <w:shd w:val="clear" w:color="auto" w:fill="F2F2F2" w:themeFill="background1" w:themeFillShade="F2"/>
          </w:tcPr>
          <w:p w14:paraId="6AE1CAB1" w14:textId="49031643" w:rsidR="009D7AA3" w:rsidRDefault="009D7AA3" w:rsidP="002E172F">
            <w:pPr>
              <w:rPr>
                <w:color w:val="000000" w:themeColor="text1"/>
              </w:rPr>
            </w:pPr>
            <w:r>
              <w:rPr>
                <w:color w:val="000000" w:themeColor="text1"/>
              </w:rPr>
              <w:t>Mannino et al 2003 (United States)</w:t>
            </w:r>
          </w:p>
          <w:p w14:paraId="2787A8AE" w14:textId="46B1B3DC" w:rsidR="009D7AA3" w:rsidRDefault="009D7AA3" w:rsidP="002E172F">
            <w:pPr>
              <w:rPr>
                <w:color w:val="000000" w:themeColor="text1"/>
              </w:rPr>
            </w:pPr>
            <w:r>
              <w:rPr>
                <w:color w:val="000000" w:themeColor="text1"/>
              </w:rPr>
              <w:t>1.0</w:t>
            </w:r>
          </w:p>
          <w:p w14:paraId="088436E0" w14:textId="1284721C" w:rsidR="009D7AA3" w:rsidRDefault="009D7AA3" w:rsidP="002E172F">
            <w:pPr>
              <w:rPr>
                <w:color w:val="000000" w:themeColor="text1"/>
              </w:rPr>
            </w:pPr>
            <w:r>
              <w:rPr>
                <w:color w:val="000000" w:themeColor="text1"/>
              </w:rPr>
              <w:t>2.4</w:t>
            </w:r>
          </w:p>
          <w:p w14:paraId="5429110F" w14:textId="7E5CAE0B" w:rsidR="009D7AA3" w:rsidRDefault="009D7AA3" w:rsidP="002E172F">
            <w:pPr>
              <w:rPr>
                <w:color w:val="000000" w:themeColor="text1"/>
              </w:rPr>
            </w:pPr>
            <w:r>
              <w:rPr>
                <w:color w:val="000000" w:themeColor="text1"/>
              </w:rPr>
              <w:t>3.5</w:t>
            </w:r>
          </w:p>
          <w:p w14:paraId="10D5473F" w14:textId="111CC9F2" w:rsidR="009D7AA3" w:rsidRDefault="009D7AA3" w:rsidP="002E172F">
            <w:pPr>
              <w:rPr>
                <w:color w:val="000000" w:themeColor="text1"/>
              </w:rPr>
            </w:pPr>
            <w:r>
              <w:rPr>
                <w:color w:val="000000" w:themeColor="text1"/>
              </w:rPr>
              <w:t>6.6</w:t>
            </w:r>
          </w:p>
          <w:p w14:paraId="08237DF4" w14:textId="4BB06503" w:rsidR="009D7AA3" w:rsidRPr="002E172F" w:rsidRDefault="009D7AA3" w:rsidP="002E172F">
            <w:pPr>
              <w:rPr>
                <w:color w:val="000000" w:themeColor="text1"/>
              </w:rPr>
            </w:pPr>
          </w:p>
        </w:tc>
      </w:tr>
    </w:tbl>
    <w:p w14:paraId="413CE018" w14:textId="77777777" w:rsidR="00D8462D" w:rsidRPr="00D8462D" w:rsidRDefault="00D8462D">
      <w:pPr>
        <w:rPr>
          <w:b/>
          <w:color w:val="000000" w:themeColor="text1"/>
        </w:rPr>
      </w:pPr>
    </w:p>
    <w:p w14:paraId="4B8DF180" w14:textId="1FA5DFDE" w:rsidR="00D8462D" w:rsidRPr="00D8462D" w:rsidRDefault="00D8462D" w:rsidP="00D8462D">
      <w:pPr>
        <w:rPr>
          <w:bCs/>
          <w:color w:val="000000" w:themeColor="text1"/>
        </w:rPr>
      </w:pPr>
      <w:r w:rsidRPr="00D8462D">
        <w:rPr>
          <w:bCs/>
          <w:color w:val="000000" w:themeColor="text1"/>
        </w:rPr>
        <w:t xml:space="preserve">* where we equate mild COPD to ch_lungfunction = 3, moderate COPD to ch_lungfunction = 4, </w:t>
      </w:r>
      <w:r w:rsidR="00A63683">
        <w:rPr>
          <w:bCs/>
          <w:color w:val="000000" w:themeColor="text1"/>
        </w:rPr>
        <w:t>severe</w:t>
      </w:r>
      <w:r w:rsidR="00A63683" w:rsidRPr="00D8462D">
        <w:rPr>
          <w:bCs/>
          <w:color w:val="000000" w:themeColor="text1"/>
        </w:rPr>
        <w:t xml:space="preserve"> </w:t>
      </w:r>
      <w:r w:rsidRPr="00D8462D">
        <w:rPr>
          <w:bCs/>
          <w:color w:val="000000" w:themeColor="text1"/>
        </w:rPr>
        <w:t xml:space="preserve">COPD to ch_lungfunction = 5, </w:t>
      </w:r>
      <w:r w:rsidR="00A63683">
        <w:rPr>
          <w:bCs/>
          <w:color w:val="000000" w:themeColor="text1"/>
        </w:rPr>
        <w:t>very severe</w:t>
      </w:r>
      <w:r w:rsidR="00A63683" w:rsidRPr="00D8462D">
        <w:rPr>
          <w:bCs/>
          <w:color w:val="000000" w:themeColor="text1"/>
        </w:rPr>
        <w:t xml:space="preserve"> </w:t>
      </w:r>
      <w:r w:rsidRPr="00D8462D">
        <w:rPr>
          <w:bCs/>
          <w:color w:val="000000" w:themeColor="text1"/>
        </w:rPr>
        <w:t xml:space="preserve">COPD to ch_lungfunction = 6. </w:t>
      </w:r>
    </w:p>
    <w:p w14:paraId="5A21FAEB" w14:textId="1F76A317" w:rsidR="00D8462D" w:rsidRPr="00D8462D" w:rsidRDefault="00D8462D" w:rsidP="00D8462D">
      <w:pPr>
        <w:rPr>
          <w:bCs/>
          <w:color w:val="4472C4" w:themeColor="accent1"/>
        </w:rPr>
      </w:pPr>
      <w:r>
        <w:rPr>
          <w:bCs/>
          <w:color w:val="4472C4" w:themeColor="accent1"/>
        </w:rPr>
        <w:t xml:space="preserve"> </w:t>
      </w:r>
    </w:p>
    <w:p w14:paraId="445BE6C8" w14:textId="64A3F1AB" w:rsidR="00D8462D" w:rsidRPr="00D8462D" w:rsidRDefault="00D8462D">
      <w:pPr>
        <w:rPr>
          <w:bCs/>
          <w:color w:val="4472C4" w:themeColor="accent1"/>
        </w:rPr>
      </w:pPr>
    </w:p>
    <w:p w14:paraId="25039292" w14:textId="77777777" w:rsidR="003F055D" w:rsidRDefault="003F055D" w:rsidP="003F055D">
      <w:r w:rsidRPr="009337CA">
        <w:rPr>
          <w:noProof/>
          <w:lang w:val="en-US"/>
        </w:rPr>
        <w:lastRenderedPageBreak/>
        <w:drawing>
          <wp:inline distT="0" distB="0" distL="0" distR="0" wp14:anchorId="6A722696" wp14:editId="383F4912">
            <wp:extent cx="594360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7100"/>
                    </a:xfrm>
                    <a:prstGeom prst="rect">
                      <a:avLst/>
                    </a:prstGeom>
                  </pic:spPr>
                </pic:pic>
              </a:graphicData>
            </a:graphic>
          </wp:inline>
        </w:drawing>
      </w:r>
    </w:p>
    <w:p w14:paraId="151ABCB7" w14:textId="77777777" w:rsidR="003F055D" w:rsidRDefault="003F055D" w:rsidP="003F055D">
      <w:r w:rsidRPr="009337CA">
        <w:rPr>
          <w:noProof/>
          <w:lang w:val="en-US"/>
        </w:rPr>
        <w:drawing>
          <wp:inline distT="0" distB="0" distL="0" distR="0" wp14:anchorId="6EE305B0" wp14:editId="165E1C16">
            <wp:extent cx="5943600" cy="348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8055"/>
                    </a:xfrm>
                    <a:prstGeom prst="rect">
                      <a:avLst/>
                    </a:prstGeom>
                  </pic:spPr>
                </pic:pic>
              </a:graphicData>
            </a:graphic>
          </wp:inline>
        </w:drawing>
      </w:r>
    </w:p>
    <w:p w14:paraId="3DC66B82" w14:textId="77777777" w:rsidR="003F055D" w:rsidRDefault="003F055D" w:rsidP="003F055D">
      <w:r w:rsidRPr="009337CA">
        <w:rPr>
          <w:noProof/>
          <w:lang w:val="en-US"/>
        </w:rPr>
        <w:lastRenderedPageBreak/>
        <w:drawing>
          <wp:inline distT="0" distB="0" distL="0" distR="0" wp14:anchorId="3368483E" wp14:editId="42A83A9B">
            <wp:extent cx="5943600" cy="307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2765"/>
                    </a:xfrm>
                    <a:prstGeom prst="rect">
                      <a:avLst/>
                    </a:prstGeom>
                  </pic:spPr>
                </pic:pic>
              </a:graphicData>
            </a:graphic>
          </wp:inline>
        </w:drawing>
      </w:r>
    </w:p>
    <w:p w14:paraId="00172875" w14:textId="77777777" w:rsidR="003F055D" w:rsidRDefault="003F055D" w:rsidP="003F055D">
      <w:r w:rsidRPr="009337CA">
        <w:rPr>
          <w:noProof/>
          <w:lang w:val="en-US"/>
        </w:rPr>
        <w:drawing>
          <wp:inline distT="0" distB="0" distL="0" distR="0" wp14:anchorId="4ADD1C1B" wp14:editId="1F8C22CF">
            <wp:extent cx="5943600" cy="3088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8640"/>
                    </a:xfrm>
                    <a:prstGeom prst="rect">
                      <a:avLst/>
                    </a:prstGeom>
                  </pic:spPr>
                </pic:pic>
              </a:graphicData>
            </a:graphic>
          </wp:inline>
        </w:drawing>
      </w:r>
    </w:p>
    <w:p w14:paraId="1377B5E5" w14:textId="77777777" w:rsidR="003F055D" w:rsidRDefault="003F055D" w:rsidP="003F055D">
      <w:r w:rsidRPr="009337CA">
        <w:rPr>
          <w:noProof/>
          <w:lang w:val="en-US"/>
        </w:rPr>
        <w:lastRenderedPageBreak/>
        <w:drawing>
          <wp:inline distT="0" distB="0" distL="0" distR="0" wp14:anchorId="5E20215C" wp14:editId="11ACAF2D">
            <wp:extent cx="5943600" cy="335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9150"/>
                    </a:xfrm>
                    <a:prstGeom prst="rect">
                      <a:avLst/>
                    </a:prstGeom>
                  </pic:spPr>
                </pic:pic>
              </a:graphicData>
            </a:graphic>
          </wp:inline>
        </w:drawing>
      </w:r>
    </w:p>
    <w:p w14:paraId="7289DE2B" w14:textId="77777777" w:rsidR="003F055D" w:rsidRDefault="003F055D" w:rsidP="003F055D">
      <w:r w:rsidRPr="009337CA">
        <w:rPr>
          <w:noProof/>
          <w:lang w:val="en-US"/>
        </w:rPr>
        <w:drawing>
          <wp:inline distT="0" distB="0" distL="0" distR="0" wp14:anchorId="28C90247" wp14:editId="426928B9">
            <wp:extent cx="5943600" cy="34404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0430"/>
                    </a:xfrm>
                    <a:prstGeom prst="rect">
                      <a:avLst/>
                    </a:prstGeom>
                  </pic:spPr>
                </pic:pic>
              </a:graphicData>
            </a:graphic>
          </wp:inline>
        </w:drawing>
      </w:r>
    </w:p>
    <w:p w14:paraId="2E1D0629" w14:textId="77777777" w:rsidR="003F055D" w:rsidRDefault="003F055D" w:rsidP="003F055D">
      <w:bookmarkStart w:id="0" w:name="_GoBack"/>
      <w:bookmarkEnd w:id="0"/>
      <w:r w:rsidRPr="009337CA">
        <w:rPr>
          <w:noProof/>
          <w:lang w:val="en-US"/>
        </w:rPr>
        <w:lastRenderedPageBreak/>
        <w:drawing>
          <wp:inline distT="0" distB="0" distL="0" distR="0" wp14:anchorId="574C0D42" wp14:editId="1BA584D4">
            <wp:extent cx="5943600" cy="3065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5780"/>
                    </a:xfrm>
                    <a:prstGeom prst="rect">
                      <a:avLst/>
                    </a:prstGeom>
                  </pic:spPr>
                </pic:pic>
              </a:graphicData>
            </a:graphic>
          </wp:inline>
        </w:drawing>
      </w:r>
    </w:p>
    <w:p w14:paraId="2A8221F2" w14:textId="77777777" w:rsidR="003F055D" w:rsidRDefault="003F055D" w:rsidP="003F055D">
      <w:r w:rsidRPr="009337CA">
        <w:rPr>
          <w:noProof/>
          <w:lang w:val="en-US"/>
        </w:rPr>
        <w:drawing>
          <wp:inline distT="0" distB="0" distL="0" distR="0" wp14:anchorId="37E5896A" wp14:editId="7BD57D86">
            <wp:extent cx="5943600" cy="3085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5465"/>
                    </a:xfrm>
                    <a:prstGeom prst="rect">
                      <a:avLst/>
                    </a:prstGeom>
                  </pic:spPr>
                </pic:pic>
              </a:graphicData>
            </a:graphic>
          </wp:inline>
        </w:drawing>
      </w:r>
    </w:p>
    <w:p w14:paraId="5D5D0C97" w14:textId="77777777" w:rsidR="003F055D" w:rsidRDefault="003F055D" w:rsidP="003F055D"/>
    <w:p w14:paraId="55B8E83A" w14:textId="77777777" w:rsidR="003F055D" w:rsidRDefault="003F055D" w:rsidP="003F055D"/>
    <w:p w14:paraId="31B1DE13" w14:textId="77777777" w:rsidR="003F055D" w:rsidRDefault="003F055D" w:rsidP="003F055D"/>
    <w:p w14:paraId="0FA1530D" w14:textId="77777777" w:rsidR="003F055D" w:rsidRDefault="003F055D" w:rsidP="003F055D"/>
    <w:p w14:paraId="3AFBCC86" w14:textId="4A785A75" w:rsidR="003F055D" w:rsidRDefault="003F055D" w:rsidP="003F055D">
      <w:r w:rsidRPr="009337CA">
        <w:rPr>
          <w:noProof/>
          <w:lang w:val="en-US"/>
        </w:rPr>
        <w:lastRenderedPageBreak/>
        <w:drawing>
          <wp:inline distT="0" distB="0" distL="0" distR="0" wp14:anchorId="483D6B99" wp14:editId="7755B867">
            <wp:extent cx="5943600" cy="3391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1535"/>
                    </a:xfrm>
                    <a:prstGeom prst="rect">
                      <a:avLst/>
                    </a:prstGeom>
                  </pic:spPr>
                </pic:pic>
              </a:graphicData>
            </a:graphic>
          </wp:inline>
        </w:drawing>
      </w:r>
    </w:p>
    <w:p w14:paraId="063311CD" w14:textId="4EE1B886" w:rsidR="003F055D" w:rsidRDefault="003F055D" w:rsidP="003F055D"/>
    <w:p w14:paraId="4470C70B" w14:textId="49F05CFF" w:rsidR="00B20ACE" w:rsidRDefault="00B20ACE" w:rsidP="003F055D">
      <w:r w:rsidRPr="00B20ACE">
        <w:rPr>
          <w:noProof/>
          <w:lang w:val="en-US"/>
        </w:rPr>
        <w:drawing>
          <wp:inline distT="0" distB="0" distL="0" distR="0" wp14:anchorId="252C852B" wp14:editId="1CDC9B1B">
            <wp:extent cx="5731510" cy="3134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34360"/>
                    </a:xfrm>
                    <a:prstGeom prst="rect">
                      <a:avLst/>
                    </a:prstGeom>
                  </pic:spPr>
                </pic:pic>
              </a:graphicData>
            </a:graphic>
          </wp:inline>
        </w:drawing>
      </w:r>
    </w:p>
    <w:p w14:paraId="1CC243C6" w14:textId="52DD97DE" w:rsidR="003F055D" w:rsidRDefault="003F055D" w:rsidP="003F055D"/>
    <w:p w14:paraId="1A17F18C" w14:textId="7BF08752" w:rsidR="003F055D" w:rsidRDefault="00B20ACE" w:rsidP="003F055D">
      <w:r w:rsidRPr="00B20ACE">
        <w:rPr>
          <w:noProof/>
          <w:lang w:val="en-US"/>
        </w:rPr>
        <w:lastRenderedPageBreak/>
        <w:drawing>
          <wp:inline distT="0" distB="0" distL="0" distR="0" wp14:anchorId="55846028" wp14:editId="79ED3E0B">
            <wp:extent cx="5731510" cy="3248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48660"/>
                    </a:xfrm>
                    <a:prstGeom prst="rect">
                      <a:avLst/>
                    </a:prstGeom>
                  </pic:spPr>
                </pic:pic>
              </a:graphicData>
            </a:graphic>
          </wp:inline>
        </w:drawing>
      </w:r>
    </w:p>
    <w:p w14:paraId="71F3E09B" w14:textId="33FC8D8D" w:rsidR="003F055D" w:rsidRDefault="003F055D" w:rsidP="003F055D"/>
    <w:p w14:paraId="7ACF1BC8" w14:textId="7669C562" w:rsidR="003F055D" w:rsidRDefault="003F055D" w:rsidP="003F055D"/>
    <w:p w14:paraId="52C63903" w14:textId="1985FE09" w:rsidR="003F055D" w:rsidRDefault="003F055D" w:rsidP="003F055D"/>
    <w:p w14:paraId="446F5FDC" w14:textId="7FBD446C" w:rsidR="003F055D" w:rsidRDefault="003F055D" w:rsidP="003F055D"/>
    <w:p w14:paraId="1AF6EAB5" w14:textId="0D96E4D1" w:rsidR="003F055D" w:rsidRDefault="003F055D" w:rsidP="003F055D"/>
    <w:p w14:paraId="70D4EF34" w14:textId="33E99075" w:rsidR="003F055D" w:rsidRDefault="003F055D" w:rsidP="003F055D"/>
    <w:p w14:paraId="2257A801" w14:textId="1B176214" w:rsidR="003F055D" w:rsidRDefault="003F055D" w:rsidP="003F055D"/>
    <w:p w14:paraId="6B1A647E" w14:textId="6E8E1DB2" w:rsidR="00B20ACE" w:rsidRDefault="00B20ACE" w:rsidP="003F055D"/>
    <w:p w14:paraId="5D163378" w14:textId="77777777" w:rsidR="00B20ACE" w:rsidRDefault="00B20ACE" w:rsidP="003F055D"/>
    <w:p w14:paraId="63AEC803" w14:textId="77777777" w:rsidR="003F055D" w:rsidRDefault="003F055D" w:rsidP="003F055D"/>
    <w:p w14:paraId="433C0710" w14:textId="77777777" w:rsidR="003F055D" w:rsidRDefault="003F055D" w:rsidP="003F055D"/>
    <w:p w14:paraId="70E7C0D5" w14:textId="77777777" w:rsidR="003F055D" w:rsidRDefault="003F055D" w:rsidP="003F055D"/>
    <w:p w14:paraId="05DDAB49" w14:textId="77777777" w:rsidR="003F055D" w:rsidRDefault="003F055D" w:rsidP="003F055D"/>
    <w:p w14:paraId="2400C565" w14:textId="77777777" w:rsidR="003F055D" w:rsidRDefault="003F055D" w:rsidP="003F055D"/>
    <w:p w14:paraId="4CA17E2B" w14:textId="77777777" w:rsidR="003F055D" w:rsidRDefault="003F055D" w:rsidP="003F055D"/>
    <w:p w14:paraId="63FFD1E3" w14:textId="17D4FD7E" w:rsidR="005F35AE" w:rsidRDefault="005F35AE">
      <w:pPr>
        <w:rPr>
          <w:b/>
        </w:rPr>
      </w:pPr>
    </w:p>
    <w:p w14:paraId="610D770E" w14:textId="5C9D3B56" w:rsidR="003F055D" w:rsidRDefault="003F055D">
      <w:pPr>
        <w:rPr>
          <w:b/>
        </w:rPr>
      </w:pPr>
    </w:p>
    <w:p w14:paraId="16FA379F" w14:textId="18349F63" w:rsidR="003F055D" w:rsidRDefault="003F055D">
      <w:pPr>
        <w:rPr>
          <w:b/>
        </w:rPr>
      </w:pPr>
    </w:p>
    <w:p w14:paraId="35D35D86" w14:textId="77777777" w:rsidR="003F055D" w:rsidRDefault="003F055D">
      <w:pPr>
        <w:rPr>
          <w:b/>
        </w:rPr>
      </w:pPr>
    </w:p>
    <w:p w14:paraId="6D0480C8" w14:textId="3665371B" w:rsidR="002566A0" w:rsidRPr="007B5264" w:rsidRDefault="007B5264">
      <w:pPr>
        <w:rPr>
          <w:b/>
        </w:rPr>
      </w:pPr>
      <w:r w:rsidRPr="007B5264">
        <w:rPr>
          <w:b/>
        </w:rPr>
        <w:lastRenderedPageBreak/>
        <w:t>References</w:t>
      </w:r>
      <w:r w:rsidR="00FD3B05">
        <w:rPr>
          <w:b/>
        </w:rPr>
        <w:t xml:space="preserve">    </w:t>
      </w:r>
    </w:p>
    <w:p w14:paraId="255D20E4" w14:textId="77777777" w:rsidR="00133662" w:rsidRPr="00F76F65" w:rsidRDefault="00133662" w:rsidP="00133662">
      <w:pPr>
        <w:rPr>
          <w:bCs/>
        </w:rPr>
      </w:pPr>
      <w:r w:rsidRPr="00F76F65">
        <w:rPr>
          <w:bCs/>
        </w:rPr>
        <w:t>DHS.  Malawi 2010, 2015/16  https://dhsprogram.com/</w:t>
      </w:r>
    </w:p>
    <w:p w14:paraId="0AF00353" w14:textId="77777777" w:rsidR="001E0774" w:rsidRDefault="001E0774" w:rsidP="00D1723F">
      <w:pPr>
        <w:autoSpaceDE w:val="0"/>
        <w:autoSpaceDN w:val="0"/>
        <w:adjustRightInd w:val="0"/>
        <w:spacing w:after="0" w:line="240" w:lineRule="auto"/>
        <w:rPr>
          <w:rFonts w:ascii="Calibri" w:hAnsi="Calibri" w:cs="Calibri"/>
        </w:rPr>
      </w:pPr>
      <w:r w:rsidRPr="00F76F65">
        <w:rPr>
          <w:rFonts w:ascii="Calibri" w:hAnsi="Calibri" w:cs="Calibri"/>
        </w:rPr>
        <w:t xml:space="preserve">Njoroge MW, Mjojo P, Chirwa C, Rylance S, Nightingale R, Gordon SB, Mortimer K, Burney P, Balmes J, Rylance J, Obasi A, Niessen LW, Devereux G; IMPALA consortium. </w:t>
      </w:r>
      <w:r w:rsidRPr="001E0774">
        <w:rPr>
          <w:rFonts w:ascii="Calibri" w:hAnsi="Calibri" w:cs="Calibri"/>
        </w:rPr>
        <w:t>Changing lung function and associated health-related quality-of-life: A five-year cohort study of Malawian adults. EClinicalMedicine. 2021 Oct 18;41:101166. doi: 10.1016/j.eclinm.2021.101166. PMID: 34712931; PMCID: PMC8529201.</w:t>
      </w:r>
    </w:p>
    <w:p w14:paraId="3B5D18B9" w14:textId="77777777" w:rsidR="000C7157" w:rsidRDefault="000C7157" w:rsidP="00D1723F">
      <w:pPr>
        <w:autoSpaceDE w:val="0"/>
        <w:autoSpaceDN w:val="0"/>
        <w:adjustRightInd w:val="0"/>
        <w:spacing w:after="0" w:line="240" w:lineRule="auto"/>
        <w:rPr>
          <w:rFonts w:ascii="NewUnivers-Medium" w:hAnsi="NewUnivers-Medium" w:cs="NewUnivers-Medium"/>
          <w:sz w:val="18"/>
          <w:szCs w:val="18"/>
        </w:rPr>
      </w:pPr>
    </w:p>
    <w:p w14:paraId="6E8BFEC7" w14:textId="0B37C04B" w:rsidR="00E07081" w:rsidRDefault="001E0774" w:rsidP="00440920">
      <w:pPr>
        <w:rPr>
          <w:bCs/>
        </w:rPr>
      </w:pPr>
      <w:r w:rsidRPr="001E0774">
        <w:rPr>
          <w:bCs/>
        </w:rPr>
        <w:t>Meghji J, Nadeau G, Davis KJ, Wang D, Nyirenda MJ, Gordon SB, Mortimer K. Noncommunicable Lung Disease in Sub-Saharan Africa. A Community-based Cross-Sectional Study of Adults in Urban Malawi. Am J Respir Crit Care Med. 2016 Jul 1;194(1):67-76. doi: 10.1164/rccm.201509-1807OC. PMID: 26788760; PMCID: PMC4960629.</w:t>
      </w:r>
    </w:p>
    <w:p w14:paraId="37AA3EC2" w14:textId="74F5B8CA" w:rsidR="001E0774" w:rsidRDefault="001E0774" w:rsidP="00440920">
      <w:pPr>
        <w:rPr>
          <w:bCs/>
        </w:rPr>
      </w:pPr>
      <w:r w:rsidRPr="001E0774">
        <w:rPr>
          <w:bCs/>
        </w:rPr>
        <w:t>Nightingale R, Jary H, Meghji J, Rylance S, Masiye J, Chiumia H, Rylance J, Mortimer K, Lesosky M. Non-communicable respiratory disease in Malawi: a systematic review and meta-analysis. Malawi Med J. 2020 Jun;32(2):64-73. doi: 10.4314/mmj.v32i2.3. PMID: 35140842; PMCID: PMC8788589.</w:t>
      </w:r>
    </w:p>
    <w:p w14:paraId="6791FDC6" w14:textId="2EA1B07F" w:rsidR="001E0774" w:rsidRPr="00132B54" w:rsidRDefault="001E0774" w:rsidP="001E0774">
      <w:pPr>
        <w:rPr>
          <w:bCs/>
        </w:rPr>
      </w:pPr>
      <w:r w:rsidRPr="001E0774">
        <w:rPr>
          <w:bCs/>
        </w:rPr>
        <w:t>Mulupi S, Ayakaka I,Tolhurst R, et al. What are</w:t>
      </w:r>
      <w:r>
        <w:rPr>
          <w:bCs/>
        </w:rPr>
        <w:t xml:space="preserve"> t</w:t>
      </w:r>
      <w:r w:rsidRPr="001E0774">
        <w:rPr>
          <w:bCs/>
        </w:rPr>
        <w:t>he barriers to the diagnosis</w:t>
      </w:r>
      <w:r>
        <w:rPr>
          <w:bCs/>
        </w:rPr>
        <w:t xml:space="preserve"> </w:t>
      </w:r>
      <w:r w:rsidRPr="001E0774">
        <w:rPr>
          <w:bCs/>
        </w:rPr>
        <w:t>and management of chronic</w:t>
      </w:r>
      <w:r>
        <w:rPr>
          <w:bCs/>
        </w:rPr>
        <w:t xml:space="preserve"> </w:t>
      </w:r>
      <w:r w:rsidRPr="001E0774">
        <w:rPr>
          <w:bCs/>
        </w:rPr>
        <w:t>respiratory disease in sub-Saharan</w:t>
      </w:r>
      <w:r>
        <w:rPr>
          <w:bCs/>
        </w:rPr>
        <w:t xml:space="preserve"> </w:t>
      </w:r>
      <w:r w:rsidRPr="001E0774">
        <w:rPr>
          <w:bCs/>
        </w:rPr>
        <w:t>Africa? A qualitative</w:t>
      </w:r>
      <w:r>
        <w:rPr>
          <w:bCs/>
        </w:rPr>
        <w:t xml:space="preserve"> </w:t>
      </w:r>
      <w:r w:rsidRPr="001E0774">
        <w:rPr>
          <w:bCs/>
        </w:rPr>
        <w:t>study with healthcare</w:t>
      </w:r>
      <w:r>
        <w:rPr>
          <w:bCs/>
        </w:rPr>
        <w:t xml:space="preserve"> </w:t>
      </w:r>
      <w:r w:rsidRPr="001E0774">
        <w:rPr>
          <w:bCs/>
        </w:rPr>
        <w:t>workers, national and</w:t>
      </w:r>
      <w:r>
        <w:rPr>
          <w:bCs/>
        </w:rPr>
        <w:t xml:space="preserve"> </w:t>
      </w:r>
      <w:r w:rsidRPr="001E0774">
        <w:rPr>
          <w:bCs/>
        </w:rPr>
        <w:t>regional policy stakeholders</w:t>
      </w:r>
      <w:r>
        <w:rPr>
          <w:bCs/>
        </w:rPr>
        <w:t xml:space="preserve"> </w:t>
      </w:r>
      <w:r w:rsidRPr="001E0774">
        <w:rPr>
          <w:bCs/>
        </w:rPr>
        <w:t xml:space="preserve">in five countries. </w:t>
      </w:r>
      <w:r w:rsidRPr="00132B54">
        <w:rPr>
          <w:bCs/>
        </w:rPr>
        <w:t>BMJ Open</w:t>
      </w:r>
      <w:r>
        <w:rPr>
          <w:bCs/>
        </w:rPr>
        <w:t xml:space="preserve"> </w:t>
      </w:r>
      <w:r w:rsidRPr="00132B54">
        <w:rPr>
          <w:bCs/>
        </w:rPr>
        <w:t>2022;12:e052105. doi:10.1136/bmjopen-2021-052105</w:t>
      </w:r>
    </w:p>
    <w:p w14:paraId="436C43A5" w14:textId="3DFECC25" w:rsidR="00A30514" w:rsidRPr="00132B54" w:rsidRDefault="00132B54" w:rsidP="001E0774">
      <w:pPr>
        <w:rPr>
          <w:bCs/>
        </w:rPr>
      </w:pPr>
      <w:r w:rsidRPr="00132B54">
        <w:rPr>
          <w:bCs/>
        </w:rPr>
        <w:t>2022 Global Strategy for Prevention, Diagnosis and Management of COPD</w:t>
      </w:r>
      <w:r>
        <w:rPr>
          <w:bCs/>
        </w:rPr>
        <w:t xml:space="preserve">.  </w:t>
      </w:r>
      <w:r w:rsidRPr="00132B54">
        <w:rPr>
          <w:bCs/>
        </w:rPr>
        <w:t>https://goldcopd.org/2022-gold-reports/</w:t>
      </w:r>
    </w:p>
    <w:p w14:paraId="53004CE3" w14:textId="77777777" w:rsidR="002F7D36" w:rsidRDefault="00E8336B" w:rsidP="00440920">
      <w:pPr>
        <w:rPr>
          <w:bCs/>
        </w:rPr>
      </w:pPr>
      <w:r>
        <w:rPr>
          <w:bCs/>
        </w:rPr>
        <w:t xml:space="preserve">Berry C, Wise RA.  </w:t>
      </w:r>
      <w:r w:rsidRPr="00E8336B">
        <w:rPr>
          <w:bCs/>
        </w:rPr>
        <w:t>Mortality in COPD: Causes, Risk Factors, and Prevention</w:t>
      </w:r>
      <w:r>
        <w:rPr>
          <w:bCs/>
        </w:rPr>
        <w:t xml:space="preserve">.  </w:t>
      </w:r>
      <w:r w:rsidRPr="00E8336B">
        <w:rPr>
          <w:bCs/>
        </w:rPr>
        <w:t>COPD. 2010 October ; 7(5): 375–382. doi:10.3109/15412555.2010.510160</w:t>
      </w:r>
    </w:p>
    <w:p w14:paraId="0B28B889" w14:textId="773C71B0" w:rsidR="002F7D36" w:rsidRPr="002F7D36" w:rsidRDefault="002F7D36" w:rsidP="002F7D36">
      <w:pPr>
        <w:rPr>
          <w:bCs/>
        </w:rPr>
      </w:pPr>
      <w:r w:rsidRPr="002F7D36">
        <w:rPr>
          <w:bCs/>
        </w:rPr>
        <w:t>Suissa</w:t>
      </w:r>
      <w:r>
        <w:rPr>
          <w:bCs/>
        </w:rPr>
        <w:t xml:space="preserve"> S</w:t>
      </w:r>
      <w:r w:rsidRPr="002F7D36">
        <w:rPr>
          <w:bCs/>
        </w:rPr>
        <w:t>,</w:t>
      </w:r>
      <w:r>
        <w:rPr>
          <w:bCs/>
        </w:rPr>
        <w:t xml:space="preserve"> </w:t>
      </w:r>
      <w:r w:rsidRPr="002F7D36">
        <w:rPr>
          <w:bCs/>
        </w:rPr>
        <w:t>Dell’Aniello</w:t>
      </w:r>
      <w:r>
        <w:rPr>
          <w:bCs/>
        </w:rPr>
        <w:t xml:space="preserve"> S</w:t>
      </w:r>
      <w:r w:rsidRPr="002F7D36">
        <w:rPr>
          <w:bCs/>
        </w:rPr>
        <w:t>,Ernst</w:t>
      </w:r>
      <w:r>
        <w:rPr>
          <w:bCs/>
        </w:rPr>
        <w:t xml:space="preserve"> P.  </w:t>
      </w:r>
      <w:r w:rsidRPr="002F7D36">
        <w:rPr>
          <w:bCs/>
        </w:rPr>
        <w:t>Long-term natural history of chronic obstructive</w:t>
      </w:r>
      <w:r>
        <w:rPr>
          <w:bCs/>
        </w:rPr>
        <w:t xml:space="preserve"> </w:t>
      </w:r>
      <w:r w:rsidRPr="002F7D36">
        <w:rPr>
          <w:bCs/>
        </w:rPr>
        <w:t>pulmonary disease: severe exacerbations</w:t>
      </w:r>
      <w:r>
        <w:rPr>
          <w:bCs/>
        </w:rPr>
        <w:t xml:space="preserve"> </w:t>
      </w:r>
      <w:r w:rsidRPr="002F7D36">
        <w:rPr>
          <w:bCs/>
        </w:rPr>
        <w:t>and mortality</w:t>
      </w:r>
      <w:r>
        <w:rPr>
          <w:bCs/>
        </w:rPr>
        <w:t xml:space="preserve">.  </w:t>
      </w:r>
      <w:r w:rsidRPr="002F7D36">
        <w:rPr>
          <w:bCs/>
        </w:rPr>
        <w:t>Thorax 2012;67:957–963. doi:10.1136/thoraxjnl-2011-201518</w:t>
      </w:r>
    </w:p>
    <w:p w14:paraId="26336832" w14:textId="05E388BF" w:rsidR="001E0774" w:rsidRDefault="002E172F" w:rsidP="002E172F">
      <w:pPr>
        <w:rPr>
          <w:bCs/>
          <w:color w:val="000000" w:themeColor="text1"/>
        </w:rPr>
      </w:pPr>
      <w:r w:rsidRPr="002E172F">
        <w:rPr>
          <w:bCs/>
        </w:rPr>
        <w:t>Alupo P, Wosu AC, Mahofa A, Mugenyi L,</w:t>
      </w:r>
      <w:r>
        <w:rPr>
          <w:bCs/>
        </w:rPr>
        <w:t xml:space="preserve"> </w:t>
      </w:r>
      <w:r w:rsidRPr="002E172F">
        <w:rPr>
          <w:bCs/>
        </w:rPr>
        <w:t>Semakula D, Katagira W, et al. (2021) Incidence</w:t>
      </w:r>
      <w:r>
        <w:rPr>
          <w:bCs/>
        </w:rPr>
        <w:t xml:space="preserve"> </w:t>
      </w:r>
      <w:r w:rsidRPr="002E172F">
        <w:rPr>
          <w:bCs/>
        </w:rPr>
        <w:t>and predictors of COPD mortality in Uganda: A 2-year prospective coh</w:t>
      </w:r>
      <w:r w:rsidRPr="002E172F">
        <w:rPr>
          <w:bCs/>
          <w:color w:val="000000" w:themeColor="text1"/>
        </w:rPr>
        <w:t xml:space="preserve">ort study. PLoS ONE 16(2): e0246850. </w:t>
      </w:r>
      <w:hyperlink r:id="rId19" w:history="1">
        <w:r w:rsidR="00013CC0" w:rsidRPr="00517D33">
          <w:rPr>
            <w:rStyle w:val="Hyperlink"/>
            <w:bCs/>
          </w:rPr>
          <w:t>https://doi.org/10.1371/journal. pone.0246850</w:t>
        </w:r>
      </w:hyperlink>
    </w:p>
    <w:p w14:paraId="4DCEF4C8" w14:textId="5A86E691" w:rsidR="00013CC0" w:rsidRDefault="00013CC0" w:rsidP="00013CC0">
      <w:pPr>
        <w:rPr>
          <w:bCs/>
        </w:rPr>
      </w:pPr>
      <w:r w:rsidRPr="00013CC0">
        <w:rPr>
          <w:bCs/>
        </w:rPr>
        <w:t>Austin</w:t>
      </w:r>
      <w:r>
        <w:rPr>
          <w:bCs/>
        </w:rPr>
        <w:t xml:space="preserve"> MA</w:t>
      </w:r>
      <w:r w:rsidRPr="00013CC0">
        <w:rPr>
          <w:bCs/>
        </w:rPr>
        <w:t xml:space="preserve">, </w:t>
      </w:r>
      <w:r>
        <w:rPr>
          <w:bCs/>
        </w:rPr>
        <w:t>W</w:t>
      </w:r>
      <w:r w:rsidRPr="00013CC0">
        <w:rPr>
          <w:bCs/>
        </w:rPr>
        <w:t>ills</w:t>
      </w:r>
      <w:r>
        <w:rPr>
          <w:bCs/>
        </w:rPr>
        <w:t xml:space="preserve"> KE, </w:t>
      </w:r>
      <w:r w:rsidRPr="00013CC0">
        <w:rPr>
          <w:bCs/>
        </w:rPr>
        <w:t>Blizzard</w:t>
      </w:r>
      <w:r>
        <w:rPr>
          <w:bCs/>
        </w:rPr>
        <w:t xml:space="preserve"> L, </w:t>
      </w:r>
      <w:r w:rsidRPr="00013CC0">
        <w:rPr>
          <w:bCs/>
        </w:rPr>
        <w:t>Walters</w:t>
      </w:r>
      <w:r>
        <w:rPr>
          <w:bCs/>
        </w:rPr>
        <w:t xml:space="preserve"> EH</w:t>
      </w:r>
      <w:r w:rsidRPr="00013CC0">
        <w:rPr>
          <w:bCs/>
        </w:rPr>
        <w:t>,</w:t>
      </w:r>
      <w:r>
        <w:rPr>
          <w:bCs/>
        </w:rPr>
        <w:t xml:space="preserve"> </w:t>
      </w:r>
      <w:r w:rsidRPr="00013CC0">
        <w:rPr>
          <w:bCs/>
        </w:rPr>
        <w:t>Wood-Baker</w:t>
      </w:r>
      <w:r>
        <w:rPr>
          <w:bCs/>
        </w:rPr>
        <w:t xml:space="preserve"> R.  </w:t>
      </w:r>
      <w:r w:rsidRPr="00013CC0">
        <w:rPr>
          <w:bCs/>
        </w:rPr>
        <w:t>Effect of high flow oxygen on mortality in chronic obstructive</w:t>
      </w:r>
      <w:r>
        <w:rPr>
          <w:bCs/>
        </w:rPr>
        <w:t xml:space="preserve"> </w:t>
      </w:r>
      <w:r w:rsidRPr="00013CC0">
        <w:rPr>
          <w:bCs/>
        </w:rPr>
        <w:t>pulmonary disease patients in prehospital setting:</w:t>
      </w:r>
      <w:r>
        <w:rPr>
          <w:bCs/>
        </w:rPr>
        <w:t xml:space="preserve"> </w:t>
      </w:r>
      <w:r w:rsidRPr="00013CC0">
        <w:rPr>
          <w:bCs/>
        </w:rPr>
        <w:t>randomised controlled trial</w:t>
      </w:r>
      <w:r>
        <w:rPr>
          <w:bCs/>
        </w:rPr>
        <w:t xml:space="preserve">.  </w:t>
      </w:r>
      <w:r w:rsidRPr="00013CC0">
        <w:rPr>
          <w:bCs/>
        </w:rPr>
        <w:t>BMJ 2010;341:c5462</w:t>
      </w:r>
      <w:r>
        <w:rPr>
          <w:bCs/>
        </w:rPr>
        <w:t xml:space="preserve"> </w:t>
      </w:r>
      <w:r w:rsidRPr="00013CC0">
        <w:rPr>
          <w:bCs/>
        </w:rPr>
        <w:t>doi:10.1136/bmj.c5462</w:t>
      </w:r>
    </w:p>
    <w:p w14:paraId="30199C0D" w14:textId="5398C9C0" w:rsidR="008240CA" w:rsidRDefault="008240CA" w:rsidP="00013CC0">
      <w:pPr>
        <w:rPr>
          <w:bCs/>
        </w:rPr>
      </w:pPr>
      <w:r w:rsidRPr="00362969">
        <w:rPr>
          <w:bCs/>
        </w:rPr>
        <w:t xml:space="preserve">Tashkin DP, Celli B, Senn S, et al. </w:t>
      </w:r>
      <w:r w:rsidRPr="008240CA">
        <w:rPr>
          <w:bCs/>
        </w:rPr>
        <w:t>A 4-year trial of tiotropium in chronic obstructive pulmonary disease. </w:t>
      </w:r>
      <w:r w:rsidRPr="008240CA">
        <w:rPr>
          <w:bCs/>
          <w:i/>
          <w:iCs/>
        </w:rPr>
        <w:t>N Engl J Med. </w:t>
      </w:r>
      <w:r w:rsidRPr="008240CA">
        <w:rPr>
          <w:bCs/>
        </w:rPr>
        <w:t>2008;</w:t>
      </w:r>
      <w:r w:rsidRPr="008240CA">
        <w:rPr>
          <w:b/>
          <w:bCs/>
        </w:rPr>
        <w:t>359</w:t>
      </w:r>
      <w:r w:rsidRPr="008240CA">
        <w:rPr>
          <w:bCs/>
        </w:rPr>
        <w:t>:1543–54</w:t>
      </w:r>
    </w:p>
    <w:p w14:paraId="57AE0E58" w14:textId="6BA9211D" w:rsidR="00F76F65" w:rsidRDefault="00F76F65" w:rsidP="00F76F65">
      <w:pPr>
        <w:rPr>
          <w:bCs/>
        </w:rPr>
      </w:pPr>
      <w:r>
        <w:rPr>
          <w:bCs/>
        </w:rPr>
        <w:t xml:space="preserve">Mannino et al; </w:t>
      </w:r>
      <w:r w:rsidRPr="00F76F65">
        <w:rPr>
          <w:bCs/>
        </w:rPr>
        <w:t>Lung function and mortality in the United States: data</w:t>
      </w:r>
      <w:r>
        <w:rPr>
          <w:bCs/>
        </w:rPr>
        <w:t xml:space="preserve"> </w:t>
      </w:r>
      <w:r w:rsidRPr="00F76F65">
        <w:rPr>
          <w:bCs/>
        </w:rPr>
        <w:t>from the First National Health and Nutrition Examination</w:t>
      </w:r>
      <w:r>
        <w:rPr>
          <w:bCs/>
        </w:rPr>
        <w:t xml:space="preserve"> </w:t>
      </w:r>
      <w:r w:rsidRPr="00F76F65">
        <w:rPr>
          <w:bCs/>
        </w:rPr>
        <w:t>Survey follow up study</w:t>
      </w:r>
      <w:r>
        <w:rPr>
          <w:bCs/>
        </w:rPr>
        <w:t xml:space="preserve"> </w:t>
      </w:r>
      <w:r w:rsidRPr="00F76F65">
        <w:rPr>
          <w:bCs/>
        </w:rPr>
        <w:t>Thorax 2003;58:388–393</w:t>
      </w:r>
    </w:p>
    <w:p w14:paraId="05AE5C6E" w14:textId="77777777" w:rsidR="00395FB1" w:rsidRPr="005B65FA" w:rsidRDefault="00395FB1" w:rsidP="00395FB1">
      <w:pPr>
        <w:rPr>
          <w:bCs/>
          <w:lang w:val="en"/>
        </w:rPr>
      </w:pPr>
      <w:r w:rsidRPr="005B65FA">
        <w:rPr>
          <w:bCs/>
          <w:lang w:val="en"/>
        </w:rPr>
        <w:t>Mebrahtom</w:t>
      </w:r>
      <w:r>
        <w:rPr>
          <w:bCs/>
          <w:lang w:val="en"/>
        </w:rPr>
        <w:t xml:space="preserve"> et al.  </w:t>
      </w:r>
      <w:r w:rsidRPr="005B65FA">
        <w:rPr>
          <w:bCs/>
          <w:lang w:val="en"/>
        </w:rPr>
        <w:t>Chronic obstructive pulmonary disease in East Africa: a systematic review and meta-analysis</w:t>
      </w:r>
      <w:r>
        <w:rPr>
          <w:bCs/>
          <w:lang w:val="en"/>
        </w:rPr>
        <w:t>.  International Health 2024.</w:t>
      </w:r>
    </w:p>
    <w:p w14:paraId="52684866" w14:textId="77777777" w:rsidR="00395FB1" w:rsidRPr="00013CC0" w:rsidRDefault="00395FB1" w:rsidP="00F76F65">
      <w:pPr>
        <w:rPr>
          <w:bCs/>
        </w:rPr>
      </w:pPr>
    </w:p>
    <w:sectPr w:rsidR="00395FB1" w:rsidRPr="00013CC0" w:rsidSect="00224E2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D29B1" w14:textId="77777777" w:rsidR="00D53CA2" w:rsidRDefault="00D53CA2" w:rsidP="00391461">
      <w:pPr>
        <w:spacing w:after="0" w:line="240" w:lineRule="auto"/>
      </w:pPr>
      <w:r>
        <w:separator/>
      </w:r>
    </w:p>
  </w:endnote>
  <w:endnote w:type="continuationSeparator" w:id="0">
    <w:p w14:paraId="2821AE4A" w14:textId="77777777" w:rsidR="00D53CA2" w:rsidRDefault="00D53CA2" w:rsidP="0039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Univers-Mediu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D0D32" w14:textId="77777777" w:rsidR="00D53CA2" w:rsidRDefault="00D53CA2" w:rsidP="00391461">
      <w:pPr>
        <w:spacing w:after="0" w:line="240" w:lineRule="auto"/>
      </w:pPr>
      <w:r>
        <w:separator/>
      </w:r>
    </w:p>
  </w:footnote>
  <w:footnote w:type="continuationSeparator" w:id="0">
    <w:p w14:paraId="1830C5BE" w14:textId="77777777" w:rsidR="00D53CA2" w:rsidRDefault="00D53CA2" w:rsidP="003914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01"/>
    <w:rsid w:val="00013CC0"/>
    <w:rsid w:val="00014FE3"/>
    <w:rsid w:val="00036209"/>
    <w:rsid w:val="00040CE7"/>
    <w:rsid w:val="0005413A"/>
    <w:rsid w:val="00060945"/>
    <w:rsid w:val="00070045"/>
    <w:rsid w:val="0008547E"/>
    <w:rsid w:val="0009436E"/>
    <w:rsid w:val="000957C6"/>
    <w:rsid w:val="000C39B3"/>
    <w:rsid w:val="000C7157"/>
    <w:rsid w:val="00123F59"/>
    <w:rsid w:val="00131745"/>
    <w:rsid w:val="00132B54"/>
    <w:rsid w:val="00133662"/>
    <w:rsid w:val="001343E7"/>
    <w:rsid w:val="001352A6"/>
    <w:rsid w:val="0014700F"/>
    <w:rsid w:val="00150E06"/>
    <w:rsid w:val="00172966"/>
    <w:rsid w:val="00176603"/>
    <w:rsid w:val="00193EC6"/>
    <w:rsid w:val="001A4E20"/>
    <w:rsid w:val="001B7D63"/>
    <w:rsid w:val="001E0774"/>
    <w:rsid w:val="001F665F"/>
    <w:rsid w:val="00202D97"/>
    <w:rsid w:val="00210A2B"/>
    <w:rsid w:val="00211BBB"/>
    <w:rsid w:val="00212707"/>
    <w:rsid w:val="00212D27"/>
    <w:rsid w:val="00217A04"/>
    <w:rsid w:val="002221CA"/>
    <w:rsid w:val="00224E2F"/>
    <w:rsid w:val="002566A0"/>
    <w:rsid w:val="002611E7"/>
    <w:rsid w:val="00274A3E"/>
    <w:rsid w:val="002767D0"/>
    <w:rsid w:val="002812B0"/>
    <w:rsid w:val="0029346C"/>
    <w:rsid w:val="002940EE"/>
    <w:rsid w:val="00295DFF"/>
    <w:rsid w:val="00296838"/>
    <w:rsid w:val="002B68B1"/>
    <w:rsid w:val="002D6EE0"/>
    <w:rsid w:val="002E172F"/>
    <w:rsid w:val="002F197D"/>
    <w:rsid w:val="002F7D36"/>
    <w:rsid w:val="00307063"/>
    <w:rsid w:val="00310CDA"/>
    <w:rsid w:val="003200B1"/>
    <w:rsid w:val="003315CB"/>
    <w:rsid w:val="00335F89"/>
    <w:rsid w:val="003618E6"/>
    <w:rsid w:val="00362969"/>
    <w:rsid w:val="00364678"/>
    <w:rsid w:val="00374E98"/>
    <w:rsid w:val="00380B19"/>
    <w:rsid w:val="00391461"/>
    <w:rsid w:val="00395FB1"/>
    <w:rsid w:val="003A6E43"/>
    <w:rsid w:val="003B514F"/>
    <w:rsid w:val="003C31CB"/>
    <w:rsid w:val="003C4A89"/>
    <w:rsid w:val="003D0F01"/>
    <w:rsid w:val="003E1F74"/>
    <w:rsid w:val="003E2BE5"/>
    <w:rsid w:val="003F055D"/>
    <w:rsid w:val="003F5737"/>
    <w:rsid w:val="00423BD9"/>
    <w:rsid w:val="00440920"/>
    <w:rsid w:val="00441225"/>
    <w:rsid w:val="00455ADC"/>
    <w:rsid w:val="0045657A"/>
    <w:rsid w:val="00464E14"/>
    <w:rsid w:val="004668BB"/>
    <w:rsid w:val="004B2C19"/>
    <w:rsid w:val="004B6F1B"/>
    <w:rsid w:val="004C478E"/>
    <w:rsid w:val="004C5AF9"/>
    <w:rsid w:val="004C7FCB"/>
    <w:rsid w:val="004D71E2"/>
    <w:rsid w:val="004E646D"/>
    <w:rsid w:val="004F0A91"/>
    <w:rsid w:val="004F1E60"/>
    <w:rsid w:val="0051226C"/>
    <w:rsid w:val="005377C8"/>
    <w:rsid w:val="0053780F"/>
    <w:rsid w:val="00562858"/>
    <w:rsid w:val="0056462B"/>
    <w:rsid w:val="00581BB5"/>
    <w:rsid w:val="005841ED"/>
    <w:rsid w:val="00587D9A"/>
    <w:rsid w:val="005912E7"/>
    <w:rsid w:val="005A0F42"/>
    <w:rsid w:val="005B4F1C"/>
    <w:rsid w:val="005D1B49"/>
    <w:rsid w:val="005D56DF"/>
    <w:rsid w:val="005E34F8"/>
    <w:rsid w:val="005E41A1"/>
    <w:rsid w:val="005E587A"/>
    <w:rsid w:val="005F35AE"/>
    <w:rsid w:val="006042BB"/>
    <w:rsid w:val="00607A9E"/>
    <w:rsid w:val="00622F96"/>
    <w:rsid w:val="00630012"/>
    <w:rsid w:val="00632093"/>
    <w:rsid w:val="0063464D"/>
    <w:rsid w:val="00634A79"/>
    <w:rsid w:val="00636D30"/>
    <w:rsid w:val="0067028C"/>
    <w:rsid w:val="00677CC5"/>
    <w:rsid w:val="00685C5E"/>
    <w:rsid w:val="00686A1E"/>
    <w:rsid w:val="00691C2B"/>
    <w:rsid w:val="006B59E4"/>
    <w:rsid w:val="006D1C21"/>
    <w:rsid w:val="006E7E62"/>
    <w:rsid w:val="006F5C63"/>
    <w:rsid w:val="00701291"/>
    <w:rsid w:val="00724EA1"/>
    <w:rsid w:val="00725D3B"/>
    <w:rsid w:val="00752CC5"/>
    <w:rsid w:val="007536A2"/>
    <w:rsid w:val="007635CB"/>
    <w:rsid w:val="007B5264"/>
    <w:rsid w:val="007C3909"/>
    <w:rsid w:val="007D51C9"/>
    <w:rsid w:val="007D69E0"/>
    <w:rsid w:val="007F33D9"/>
    <w:rsid w:val="008044EB"/>
    <w:rsid w:val="008240CA"/>
    <w:rsid w:val="00831ED1"/>
    <w:rsid w:val="00834600"/>
    <w:rsid w:val="00852219"/>
    <w:rsid w:val="00855CD1"/>
    <w:rsid w:val="00877779"/>
    <w:rsid w:val="00896012"/>
    <w:rsid w:val="008A2828"/>
    <w:rsid w:val="008E419C"/>
    <w:rsid w:val="00913F27"/>
    <w:rsid w:val="009276D0"/>
    <w:rsid w:val="00937573"/>
    <w:rsid w:val="00940278"/>
    <w:rsid w:val="0094598F"/>
    <w:rsid w:val="0095443D"/>
    <w:rsid w:val="0096116E"/>
    <w:rsid w:val="00965E36"/>
    <w:rsid w:val="00983F6A"/>
    <w:rsid w:val="009951C2"/>
    <w:rsid w:val="009A0452"/>
    <w:rsid w:val="009A1527"/>
    <w:rsid w:val="009B7F27"/>
    <w:rsid w:val="009C2C89"/>
    <w:rsid w:val="009C405E"/>
    <w:rsid w:val="009D7AA3"/>
    <w:rsid w:val="00A044EF"/>
    <w:rsid w:val="00A21608"/>
    <w:rsid w:val="00A30160"/>
    <w:rsid w:val="00A30514"/>
    <w:rsid w:val="00A343D3"/>
    <w:rsid w:val="00A4006B"/>
    <w:rsid w:val="00A53A54"/>
    <w:rsid w:val="00A62E20"/>
    <w:rsid w:val="00A63683"/>
    <w:rsid w:val="00A74EFF"/>
    <w:rsid w:val="00A7580D"/>
    <w:rsid w:val="00A915AF"/>
    <w:rsid w:val="00A97B3E"/>
    <w:rsid w:val="00AA58BB"/>
    <w:rsid w:val="00AB760C"/>
    <w:rsid w:val="00AC5CAF"/>
    <w:rsid w:val="00AD602E"/>
    <w:rsid w:val="00AE1D14"/>
    <w:rsid w:val="00B03C3E"/>
    <w:rsid w:val="00B11C63"/>
    <w:rsid w:val="00B20ACE"/>
    <w:rsid w:val="00B2178A"/>
    <w:rsid w:val="00B30C63"/>
    <w:rsid w:val="00B3197E"/>
    <w:rsid w:val="00B7026F"/>
    <w:rsid w:val="00B70AED"/>
    <w:rsid w:val="00B74421"/>
    <w:rsid w:val="00B75D33"/>
    <w:rsid w:val="00B904DF"/>
    <w:rsid w:val="00B919EE"/>
    <w:rsid w:val="00BA4B15"/>
    <w:rsid w:val="00BB5B1B"/>
    <w:rsid w:val="00BB7246"/>
    <w:rsid w:val="00BF57AB"/>
    <w:rsid w:val="00C302DB"/>
    <w:rsid w:val="00C3444E"/>
    <w:rsid w:val="00C3595A"/>
    <w:rsid w:val="00C40E95"/>
    <w:rsid w:val="00C670C1"/>
    <w:rsid w:val="00C75576"/>
    <w:rsid w:val="00C764E4"/>
    <w:rsid w:val="00C84836"/>
    <w:rsid w:val="00C90923"/>
    <w:rsid w:val="00C96EF1"/>
    <w:rsid w:val="00CA74E5"/>
    <w:rsid w:val="00CB6D9E"/>
    <w:rsid w:val="00CC55C7"/>
    <w:rsid w:val="00CE339F"/>
    <w:rsid w:val="00CE4997"/>
    <w:rsid w:val="00CF2BE7"/>
    <w:rsid w:val="00CF304F"/>
    <w:rsid w:val="00D06695"/>
    <w:rsid w:val="00D10387"/>
    <w:rsid w:val="00D1723F"/>
    <w:rsid w:val="00D2096D"/>
    <w:rsid w:val="00D21DB5"/>
    <w:rsid w:val="00D21FB7"/>
    <w:rsid w:val="00D3113E"/>
    <w:rsid w:val="00D33315"/>
    <w:rsid w:val="00D35767"/>
    <w:rsid w:val="00D4530C"/>
    <w:rsid w:val="00D53CA2"/>
    <w:rsid w:val="00D53D83"/>
    <w:rsid w:val="00D614E1"/>
    <w:rsid w:val="00D6214F"/>
    <w:rsid w:val="00D766E5"/>
    <w:rsid w:val="00D8462D"/>
    <w:rsid w:val="00DB2FA2"/>
    <w:rsid w:val="00DD7E44"/>
    <w:rsid w:val="00DE65E2"/>
    <w:rsid w:val="00DF02ED"/>
    <w:rsid w:val="00DF385E"/>
    <w:rsid w:val="00E07081"/>
    <w:rsid w:val="00E31CF8"/>
    <w:rsid w:val="00E576AB"/>
    <w:rsid w:val="00E67134"/>
    <w:rsid w:val="00E717B7"/>
    <w:rsid w:val="00E768A5"/>
    <w:rsid w:val="00E8336B"/>
    <w:rsid w:val="00E9556A"/>
    <w:rsid w:val="00EA10A2"/>
    <w:rsid w:val="00EA7D93"/>
    <w:rsid w:val="00EF62A6"/>
    <w:rsid w:val="00F05308"/>
    <w:rsid w:val="00F10F17"/>
    <w:rsid w:val="00F178A8"/>
    <w:rsid w:val="00F20209"/>
    <w:rsid w:val="00F2572E"/>
    <w:rsid w:val="00F348FB"/>
    <w:rsid w:val="00F46D86"/>
    <w:rsid w:val="00F63FD8"/>
    <w:rsid w:val="00F6447A"/>
    <w:rsid w:val="00F76F65"/>
    <w:rsid w:val="00F95424"/>
    <w:rsid w:val="00F954B7"/>
    <w:rsid w:val="00FA6877"/>
    <w:rsid w:val="00FB3E0E"/>
    <w:rsid w:val="00FB651B"/>
    <w:rsid w:val="00FC00F0"/>
    <w:rsid w:val="00FC7D28"/>
    <w:rsid w:val="00FD3B05"/>
    <w:rsid w:val="00FD7CC0"/>
    <w:rsid w:val="00FE242A"/>
    <w:rsid w:val="00FE3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3C03"/>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character" w:customStyle="1" w:styleId="UnresolvedMention1">
    <w:name w:val="Unresolved Mention1"/>
    <w:basedOn w:val="DefaultParagraphFont"/>
    <w:uiPriority w:val="99"/>
    <w:semiHidden/>
    <w:unhideWhenUsed/>
    <w:rsid w:val="002E172F"/>
    <w:rPr>
      <w:color w:val="605E5C"/>
      <w:shd w:val="clear" w:color="auto" w:fill="E1DFDD"/>
    </w:rPr>
  </w:style>
  <w:style w:type="character" w:styleId="FollowedHyperlink">
    <w:name w:val="FollowedHyperlink"/>
    <w:basedOn w:val="DefaultParagraphFont"/>
    <w:uiPriority w:val="99"/>
    <w:semiHidden/>
    <w:unhideWhenUsed/>
    <w:rsid w:val="00F76F65"/>
    <w:rPr>
      <w:color w:val="954F72" w:themeColor="followedHyperlink"/>
      <w:u w:val="single"/>
    </w:rPr>
  </w:style>
  <w:style w:type="character" w:styleId="CommentReference">
    <w:name w:val="annotation reference"/>
    <w:basedOn w:val="DefaultParagraphFont"/>
    <w:uiPriority w:val="99"/>
    <w:semiHidden/>
    <w:unhideWhenUsed/>
    <w:rsid w:val="00A63683"/>
    <w:rPr>
      <w:sz w:val="16"/>
      <w:szCs w:val="16"/>
    </w:rPr>
  </w:style>
  <w:style w:type="paragraph" w:styleId="CommentText">
    <w:name w:val="annotation text"/>
    <w:basedOn w:val="Normal"/>
    <w:link w:val="CommentTextChar"/>
    <w:uiPriority w:val="99"/>
    <w:semiHidden/>
    <w:unhideWhenUsed/>
    <w:rsid w:val="00A63683"/>
    <w:pPr>
      <w:spacing w:line="240" w:lineRule="auto"/>
    </w:pPr>
    <w:rPr>
      <w:sz w:val="20"/>
      <w:szCs w:val="20"/>
    </w:rPr>
  </w:style>
  <w:style w:type="character" w:customStyle="1" w:styleId="CommentTextChar">
    <w:name w:val="Comment Text Char"/>
    <w:basedOn w:val="DefaultParagraphFont"/>
    <w:link w:val="CommentText"/>
    <w:uiPriority w:val="99"/>
    <w:semiHidden/>
    <w:rsid w:val="00A63683"/>
    <w:rPr>
      <w:sz w:val="20"/>
      <w:szCs w:val="20"/>
    </w:rPr>
  </w:style>
  <w:style w:type="paragraph" w:styleId="CommentSubject">
    <w:name w:val="annotation subject"/>
    <w:basedOn w:val="CommentText"/>
    <w:next w:val="CommentText"/>
    <w:link w:val="CommentSubjectChar"/>
    <w:uiPriority w:val="99"/>
    <w:semiHidden/>
    <w:unhideWhenUsed/>
    <w:rsid w:val="00A63683"/>
    <w:rPr>
      <w:b/>
      <w:bCs/>
    </w:rPr>
  </w:style>
  <w:style w:type="character" w:customStyle="1" w:styleId="CommentSubjectChar">
    <w:name w:val="Comment Subject Char"/>
    <w:basedOn w:val="CommentTextChar"/>
    <w:link w:val="CommentSubject"/>
    <w:uiPriority w:val="99"/>
    <w:semiHidden/>
    <w:rsid w:val="00A63683"/>
    <w:rPr>
      <w:b/>
      <w:bCs/>
      <w:sz w:val="20"/>
      <w:szCs w:val="20"/>
    </w:rPr>
  </w:style>
  <w:style w:type="paragraph" w:styleId="BalloonText">
    <w:name w:val="Balloon Text"/>
    <w:basedOn w:val="Normal"/>
    <w:link w:val="BalloonTextChar"/>
    <w:uiPriority w:val="99"/>
    <w:semiHidden/>
    <w:unhideWhenUsed/>
    <w:rsid w:val="00A63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683"/>
    <w:rPr>
      <w:rFonts w:ascii="Segoe UI" w:hAnsi="Segoe UI" w:cs="Segoe UI"/>
      <w:sz w:val="18"/>
      <w:szCs w:val="18"/>
    </w:rPr>
  </w:style>
  <w:style w:type="paragraph" w:styleId="Revision">
    <w:name w:val="Revision"/>
    <w:hidden/>
    <w:uiPriority w:val="99"/>
    <w:semiHidden/>
    <w:rsid w:val="00F2572E"/>
    <w:pPr>
      <w:spacing w:after="0" w:line="240" w:lineRule="auto"/>
    </w:pPr>
  </w:style>
  <w:style w:type="paragraph" w:styleId="Header">
    <w:name w:val="header"/>
    <w:basedOn w:val="Normal"/>
    <w:link w:val="HeaderChar"/>
    <w:uiPriority w:val="99"/>
    <w:unhideWhenUsed/>
    <w:rsid w:val="00391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461"/>
  </w:style>
  <w:style w:type="paragraph" w:styleId="Footer">
    <w:name w:val="footer"/>
    <w:basedOn w:val="Normal"/>
    <w:link w:val="FooterChar"/>
    <w:uiPriority w:val="99"/>
    <w:unhideWhenUsed/>
    <w:rsid w:val="00391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606350505">
      <w:bodyDiv w:val="1"/>
      <w:marLeft w:val="0"/>
      <w:marRight w:val="0"/>
      <w:marTop w:val="0"/>
      <w:marBottom w:val="0"/>
      <w:divBdr>
        <w:top w:val="none" w:sz="0" w:space="0" w:color="auto"/>
        <w:left w:val="none" w:sz="0" w:space="0" w:color="auto"/>
        <w:bottom w:val="none" w:sz="0" w:space="0" w:color="auto"/>
        <w:right w:val="none" w:sz="0" w:space="0" w:color="auto"/>
      </w:divBdr>
    </w:div>
    <w:div w:id="620494869">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1139571376">
      <w:bodyDiv w:val="1"/>
      <w:marLeft w:val="0"/>
      <w:marRight w:val="0"/>
      <w:marTop w:val="0"/>
      <w:marBottom w:val="0"/>
      <w:divBdr>
        <w:top w:val="none" w:sz="0" w:space="0" w:color="auto"/>
        <w:left w:val="none" w:sz="0" w:space="0" w:color="auto"/>
        <w:bottom w:val="none" w:sz="0" w:space="0" w:color="auto"/>
        <w:right w:val="none" w:sz="0" w:space="0" w:color="auto"/>
      </w:divBdr>
    </w:div>
    <w:div w:id="1279600185">
      <w:bodyDiv w:val="1"/>
      <w:marLeft w:val="0"/>
      <w:marRight w:val="0"/>
      <w:marTop w:val="0"/>
      <w:marBottom w:val="0"/>
      <w:divBdr>
        <w:top w:val="none" w:sz="0" w:space="0" w:color="auto"/>
        <w:left w:val="none" w:sz="0" w:space="0" w:color="auto"/>
        <w:bottom w:val="none" w:sz="0" w:space="0" w:color="auto"/>
        <w:right w:val="none" w:sz="0" w:space="0" w:color="auto"/>
      </w:divBdr>
      <w:divsChild>
        <w:div w:id="627861046">
          <w:marLeft w:val="0"/>
          <w:marRight w:val="0"/>
          <w:marTop w:val="0"/>
          <w:marBottom w:val="0"/>
          <w:divBdr>
            <w:top w:val="none" w:sz="0" w:space="0" w:color="auto"/>
            <w:left w:val="none" w:sz="0" w:space="0" w:color="auto"/>
            <w:bottom w:val="none" w:sz="0" w:space="0" w:color="auto"/>
            <w:right w:val="none" w:sz="0" w:space="0" w:color="auto"/>
          </w:divBdr>
        </w:div>
      </w:divsChild>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06611985">
      <w:bodyDiv w:val="1"/>
      <w:marLeft w:val="0"/>
      <w:marRight w:val="0"/>
      <w:marTop w:val="0"/>
      <w:marBottom w:val="0"/>
      <w:divBdr>
        <w:top w:val="none" w:sz="0" w:space="0" w:color="auto"/>
        <w:left w:val="none" w:sz="0" w:space="0" w:color="auto"/>
        <w:bottom w:val="none" w:sz="0" w:space="0" w:color="auto"/>
        <w:right w:val="none" w:sz="0" w:space="0" w:color="auto"/>
      </w:divBdr>
      <w:divsChild>
        <w:div w:id="476264451">
          <w:marLeft w:val="0"/>
          <w:marRight w:val="0"/>
          <w:marTop w:val="0"/>
          <w:marBottom w:val="0"/>
          <w:divBdr>
            <w:top w:val="none" w:sz="0" w:space="0" w:color="auto"/>
            <w:left w:val="none" w:sz="0" w:space="0" w:color="auto"/>
            <w:bottom w:val="none" w:sz="0" w:space="0" w:color="auto"/>
            <w:right w:val="none" w:sz="0" w:space="0" w:color="auto"/>
          </w:divBdr>
        </w:div>
      </w:divsChild>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450081352">
      <w:bodyDiv w:val="1"/>
      <w:marLeft w:val="0"/>
      <w:marRight w:val="0"/>
      <w:marTop w:val="0"/>
      <w:marBottom w:val="0"/>
      <w:divBdr>
        <w:top w:val="none" w:sz="0" w:space="0" w:color="auto"/>
        <w:left w:val="none" w:sz="0" w:space="0" w:color="auto"/>
        <w:bottom w:val="none" w:sz="0" w:space="0" w:color="auto"/>
        <w:right w:val="none" w:sz="0" w:space="0" w:color="auto"/>
      </w:divBdr>
    </w:div>
    <w:div w:id="1507288952">
      <w:bodyDiv w:val="1"/>
      <w:marLeft w:val="0"/>
      <w:marRight w:val="0"/>
      <w:marTop w:val="0"/>
      <w:marBottom w:val="0"/>
      <w:divBdr>
        <w:top w:val="none" w:sz="0" w:space="0" w:color="auto"/>
        <w:left w:val="none" w:sz="0" w:space="0" w:color="auto"/>
        <w:bottom w:val="none" w:sz="0" w:space="0" w:color="auto"/>
        <w:right w:val="none" w:sz="0" w:space="0" w:color="auto"/>
      </w:divBdr>
    </w:div>
    <w:div w:id="1616523709">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1999923858">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 w:id="21410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i.org/10.1371/journal.%20pone.024685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i.org/10.1371/journal.%20pone.0246850"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user</cp:lastModifiedBy>
  <cp:revision>3</cp:revision>
  <dcterms:created xsi:type="dcterms:W3CDTF">2024-02-08T12:40:00Z</dcterms:created>
  <dcterms:modified xsi:type="dcterms:W3CDTF">2024-02-26T06:31:00Z</dcterms:modified>
</cp:coreProperties>
</file>