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7F23A" w14:textId="61CC1198" w:rsidR="00202D44" w:rsidRDefault="00851558" w:rsidP="004E412C">
      <w:pPr>
        <w:jc w:val="center"/>
        <w:rPr>
          <w:b/>
        </w:rPr>
      </w:pPr>
      <w:r>
        <w:rPr>
          <w:b/>
        </w:rPr>
        <w:t>HealthBurden Module</w:t>
      </w:r>
    </w:p>
    <w:p w14:paraId="5812AED3" w14:textId="77777777" w:rsidR="004E412C" w:rsidRPr="00BC1DE4" w:rsidRDefault="004E412C" w:rsidP="004E412C">
      <w:pPr>
        <w:jc w:val="center"/>
        <w:rPr>
          <w:b/>
        </w:rPr>
      </w:pPr>
    </w:p>
    <w:p w14:paraId="69646D90" w14:textId="3E5DE8B5" w:rsidR="006A534C" w:rsidRPr="00720D0A" w:rsidRDefault="00851558" w:rsidP="004E412C">
      <w:pPr>
        <w:jc w:val="right"/>
        <w:rPr>
          <w:bCs/>
          <w:i/>
          <w:iCs/>
        </w:rPr>
      </w:pPr>
      <w:r>
        <w:rPr>
          <w:bCs/>
          <w:i/>
          <w:iCs/>
        </w:rPr>
        <w:t>6</w:t>
      </w:r>
      <w:r w:rsidRPr="00851558">
        <w:rPr>
          <w:bCs/>
          <w:i/>
          <w:iCs/>
          <w:vertAlign w:val="superscript"/>
        </w:rPr>
        <w:t>th</w:t>
      </w:r>
      <w:r>
        <w:rPr>
          <w:bCs/>
          <w:i/>
          <w:iCs/>
        </w:rPr>
        <w:t xml:space="preserve"> June 2019</w:t>
      </w:r>
    </w:p>
    <w:p w14:paraId="35978C95" w14:textId="77777777" w:rsidR="00BA24AB" w:rsidRDefault="00BA24AB" w:rsidP="00851558">
      <w:pPr>
        <w:jc w:val="both"/>
      </w:pPr>
    </w:p>
    <w:p w14:paraId="3785F612" w14:textId="6E2C53CB" w:rsidR="00AE476A" w:rsidRDefault="00851558" w:rsidP="00851558">
      <w:pPr>
        <w:jc w:val="both"/>
        <w:rPr>
          <w:color w:val="000000" w:themeColor="text1"/>
        </w:rPr>
      </w:pPr>
      <w:r>
        <w:rPr>
          <w:color w:val="000000" w:themeColor="text1"/>
        </w:rPr>
        <w:t xml:space="preserve">The aggregate impact of all causes of mortality and morbidity in the population is </w:t>
      </w:r>
      <w:r w:rsidR="00A06C0E">
        <w:rPr>
          <w:color w:val="000000" w:themeColor="text1"/>
        </w:rPr>
        <w:t>summarised using ‘Disability-adjusted Life-Years’ (DALYS)</w:t>
      </w:r>
      <w:r w:rsidR="002432BD">
        <w:rPr>
          <w:color w:val="000000" w:themeColor="text1"/>
        </w:rPr>
        <w:t xml:space="preserve"> (for which developments over several years have been summarised in [1]).</w:t>
      </w:r>
    </w:p>
    <w:p w14:paraId="09390BDD" w14:textId="6C88D4CE" w:rsidR="00851558" w:rsidRDefault="00851558" w:rsidP="00851558">
      <w:pPr>
        <w:jc w:val="both"/>
        <w:rPr>
          <w:color w:val="000000" w:themeColor="text1"/>
        </w:rPr>
      </w:pPr>
    </w:p>
    <w:p w14:paraId="6CFEAC36" w14:textId="7025052B" w:rsidR="00851558" w:rsidRDefault="00A06C0E" w:rsidP="00851558">
      <w:pPr>
        <w:jc w:val="both"/>
        <w:rPr>
          <w:color w:val="000000" w:themeColor="text1"/>
        </w:rPr>
      </w:pPr>
      <w:r>
        <w:rPr>
          <w:color w:val="000000" w:themeColor="text1"/>
        </w:rPr>
        <w:t>DALYS represent</w:t>
      </w:r>
      <w:r w:rsidR="0016061E">
        <w:rPr>
          <w:color w:val="000000" w:themeColor="text1"/>
        </w:rPr>
        <w:t xml:space="preserve"> the </w:t>
      </w:r>
      <w:r>
        <w:rPr>
          <w:color w:val="000000" w:themeColor="text1"/>
        </w:rPr>
        <w:t>burden of a diseases in terms of premature death (those would have been alive and in this group but for their premature death) and in terms of the disability experienced by the persons living with a particular condition</w:t>
      </w:r>
      <w:r w:rsidR="0016061E">
        <w:rPr>
          <w:color w:val="000000" w:themeColor="text1"/>
        </w:rPr>
        <w:t>, for a period and age-group</w:t>
      </w:r>
      <w:r>
        <w:rPr>
          <w:color w:val="000000" w:themeColor="text1"/>
        </w:rPr>
        <w:t xml:space="preserve">. </w:t>
      </w:r>
      <w:r w:rsidR="00D10AAC">
        <w:rPr>
          <w:color w:val="000000" w:themeColor="text1"/>
        </w:rPr>
        <w:t>These components</w:t>
      </w:r>
      <w:r>
        <w:rPr>
          <w:color w:val="000000" w:themeColor="text1"/>
        </w:rPr>
        <w:t xml:space="preserve"> are denoted</w:t>
      </w:r>
      <w:r w:rsidR="0016061E">
        <w:rPr>
          <w:color w:val="000000" w:themeColor="text1"/>
        </w:rPr>
        <w:t>, respectively,</w:t>
      </w:r>
      <w:r>
        <w:rPr>
          <w:color w:val="000000" w:themeColor="text1"/>
        </w:rPr>
        <w:t xml:space="preserve"> </w:t>
      </w:r>
      <w:r w:rsidR="00851558">
        <w:rPr>
          <w:color w:val="000000" w:themeColor="text1"/>
        </w:rPr>
        <w:t>‘Years of Live Lost (YLL)’ (due to premature deaths) and ‘Years Lived with Disability (YLD)’</w:t>
      </w:r>
      <w:r>
        <w:rPr>
          <w:color w:val="000000" w:themeColor="text1"/>
        </w:rPr>
        <w:t>. These components can be added together to give a total value for the DALYS</w:t>
      </w:r>
      <w:r w:rsidR="00851558">
        <w:rPr>
          <w:color w:val="000000" w:themeColor="text1"/>
        </w:rPr>
        <w:t xml:space="preserve">: </w:t>
      </w:r>
      <m:oMath>
        <m:r>
          <w:rPr>
            <w:rFonts w:ascii="Cambria Math" w:hAnsi="Cambria Math"/>
            <w:color w:val="000000" w:themeColor="text1"/>
          </w:rPr>
          <m:t>DALY=YLL+YLD</m:t>
        </m:r>
      </m:oMath>
    </w:p>
    <w:p w14:paraId="6BB3F023" w14:textId="77777777" w:rsidR="00851558" w:rsidRDefault="00851558" w:rsidP="00851558">
      <w:pPr>
        <w:jc w:val="both"/>
        <w:rPr>
          <w:color w:val="000000" w:themeColor="text1"/>
        </w:rPr>
      </w:pPr>
    </w:p>
    <w:p w14:paraId="257E847E" w14:textId="4743AF06" w:rsidR="00851558" w:rsidRDefault="00A06C0E" w:rsidP="00851558">
      <w:pPr>
        <w:jc w:val="both"/>
        <w:rPr>
          <w:color w:val="000000" w:themeColor="text1"/>
          <w:u w:val="single"/>
        </w:rPr>
      </w:pPr>
      <w:r>
        <w:rPr>
          <w:color w:val="000000" w:themeColor="text1"/>
          <w:u w:val="single"/>
        </w:rPr>
        <w:t xml:space="preserve">Modelling </w:t>
      </w:r>
      <w:r w:rsidR="00851558" w:rsidRPr="00851558">
        <w:rPr>
          <w:color w:val="000000" w:themeColor="text1"/>
          <w:u w:val="single"/>
        </w:rPr>
        <w:t>Years of Live Lost</w:t>
      </w:r>
      <w:r w:rsidR="00851558">
        <w:rPr>
          <w:color w:val="000000" w:themeColor="text1"/>
          <w:u w:val="single"/>
        </w:rPr>
        <w:t xml:space="preserve"> (YLL)</w:t>
      </w:r>
    </w:p>
    <w:p w14:paraId="2DD2DDC8" w14:textId="4E11B5B2" w:rsidR="00851558" w:rsidRDefault="00851558" w:rsidP="00851558">
      <w:pPr>
        <w:jc w:val="both"/>
        <w:rPr>
          <w:color w:val="000000" w:themeColor="text1"/>
        </w:rPr>
      </w:pPr>
      <w:r>
        <w:rPr>
          <w:color w:val="000000" w:themeColor="text1"/>
        </w:rPr>
        <w:t xml:space="preserve">At the point when an individual </w:t>
      </w:r>
      <w:r w:rsidR="00A06C0E">
        <w:rPr>
          <w:color w:val="000000" w:themeColor="text1"/>
        </w:rPr>
        <w:t xml:space="preserve">in the model </w:t>
      </w:r>
      <w:r>
        <w:rPr>
          <w:color w:val="000000" w:themeColor="text1"/>
        </w:rPr>
        <w:t xml:space="preserve">dies, the time, </w:t>
      </w:r>
      <w:r w:rsidR="00A06C0E">
        <w:rPr>
          <w:color w:val="000000" w:themeColor="text1"/>
        </w:rPr>
        <w:t xml:space="preserve">the </w:t>
      </w:r>
      <w:r>
        <w:rPr>
          <w:color w:val="000000" w:themeColor="text1"/>
        </w:rPr>
        <w:t xml:space="preserve">age </w:t>
      </w:r>
      <w:r w:rsidR="00A06C0E">
        <w:rPr>
          <w:color w:val="000000" w:themeColor="text1"/>
        </w:rPr>
        <w:t xml:space="preserve">at death </w:t>
      </w:r>
      <w:r>
        <w:rPr>
          <w:color w:val="000000" w:themeColor="text1"/>
        </w:rPr>
        <w:t xml:space="preserve">and </w:t>
      </w:r>
      <w:r w:rsidR="00A06C0E">
        <w:rPr>
          <w:color w:val="000000" w:themeColor="text1"/>
        </w:rPr>
        <w:t xml:space="preserve">the </w:t>
      </w:r>
      <w:r>
        <w:rPr>
          <w:color w:val="000000" w:themeColor="text1"/>
        </w:rPr>
        <w:t>cause of death</w:t>
      </w:r>
      <w:r w:rsidR="00A06C0E">
        <w:rPr>
          <w:color w:val="000000" w:themeColor="text1"/>
        </w:rPr>
        <w:t xml:space="preserve"> is recorded</w:t>
      </w:r>
      <w:r>
        <w:rPr>
          <w:color w:val="000000" w:themeColor="text1"/>
        </w:rPr>
        <w:t>. If that death occurs before their 70</w:t>
      </w:r>
      <w:r w:rsidRPr="00851558">
        <w:rPr>
          <w:color w:val="000000" w:themeColor="text1"/>
          <w:vertAlign w:val="superscript"/>
        </w:rPr>
        <w:t>th</w:t>
      </w:r>
      <w:r>
        <w:rPr>
          <w:color w:val="000000" w:themeColor="text1"/>
        </w:rPr>
        <w:t xml:space="preserve"> birthday</w:t>
      </w:r>
      <w:r w:rsidR="00A06C0E">
        <w:rPr>
          <w:color w:val="000000" w:themeColor="text1"/>
        </w:rPr>
        <w:t xml:space="preserve">, </w:t>
      </w:r>
      <w:r>
        <w:rPr>
          <w:color w:val="000000" w:themeColor="text1"/>
        </w:rPr>
        <w:t>a day of ‘lost life’ is recorded as being attributed to the cause of their death each day until the day that would have been the 70</w:t>
      </w:r>
      <w:r w:rsidRPr="00851558">
        <w:rPr>
          <w:color w:val="000000" w:themeColor="text1"/>
          <w:vertAlign w:val="superscript"/>
        </w:rPr>
        <w:t>th</w:t>
      </w:r>
      <w:r>
        <w:rPr>
          <w:color w:val="000000" w:themeColor="text1"/>
        </w:rPr>
        <w:t xml:space="preserve"> birthday of the deceased.</w:t>
      </w:r>
      <w:r w:rsidR="00A06C0E">
        <w:rPr>
          <w:color w:val="000000" w:themeColor="text1"/>
        </w:rPr>
        <w:t xml:space="preserve"> The choice of 70</w:t>
      </w:r>
      <w:r w:rsidR="00A06C0E" w:rsidRPr="00A06C0E">
        <w:rPr>
          <w:color w:val="000000" w:themeColor="text1"/>
          <w:vertAlign w:val="superscript"/>
        </w:rPr>
        <w:t>th</w:t>
      </w:r>
      <w:r w:rsidR="00A06C0E">
        <w:rPr>
          <w:color w:val="000000" w:themeColor="text1"/>
        </w:rPr>
        <w:t xml:space="preserve"> birthday is arbitrary and represents the point before which a death may be considered </w:t>
      </w:r>
      <w:r w:rsidR="00264CF6">
        <w:rPr>
          <w:color w:val="000000" w:themeColor="text1"/>
        </w:rPr>
        <w:t>as</w:t>
      </w:r>
      <w:r w:rsidR="00A06C0E">
        <w:rPr>
          <w:color w:val="000000" w:themeColor="text1"/>
        </w:rPr>
        <w:t xml:space="preserve"> ‘premature’. </w:t>
      </w:r>
    </w:p>
    <w:p w14:paraId="4103045A" w14:textId="77777777" w:rsidR="00851558" w:rsidRDefault="00851558" w:rsidP="00851558">
      <w:pPr>
        <w:jc w:val="both"/>
        <w:rPr>
          <w:color w:val="000000" w:themeColor="text1"/>
        </w:rPr>
      </w:pPr>
    </w:p>
    <w:p w14:paraId="396886F5" w14:textId="023D3306" w:rsidR="00851558" w:rsidRDefault="00A06C0E" w:rsidP="00851558">
      <w:pPr>
        <w:jc w:val="both"/>
        <w:rPr>
          <w:color w:val="000000" w:themeColor="text1"/>
          <w:u w:val="single"/>
        </w:rPr>
      </w:pPr>
      <w:r>
        <w:rPr>
          <w:color w:val="000000" w:themeColor="text1"/>
          <w:u w:val="single"/>
        </w:rPr>
        <w:t xml:space="preserve">Modelling </w:t>
      </w:r>
      <w:r w:rsidR="00851558" w:rsidRPr="00851558">
        <w:rPr>
          <w:color w:val="000000" w:themeColor="text1"/>
          <w:u w:val="single"/>
        </w:rPr>
        <w:t>Years Lived with Disability (YLD)</w:t>
      </w:r>
    </w:p>
    <w:p w14:paraId="6BFC71F2" w14:textId="1D22E6F1" w:rsidR="00851558" w:rsidRDefault="00851558" w:rsidP="00851558">
      <w:pPr>
        <w:jc w:val="both"/>
        <w:rPr>
          <w:rFonts w:eastAsiaTheme="minorEastAsia"/>
          <w:color w:val="000000" w:themeColor="text1"/>
        </w:rPr>
      </w:pPr>
      <w:r>
        <w:rPr>
          <w:color w:val="000000" w:themeColor="text1"/>
        </w:rPr>
        <w:t>Each month, the average disability burden that each disease has imposed during the previous month on each living individual is recorded. It is assumed that this</w:t>
      </w:r>
      <w:r w:rsidR="00D10AAC">
        <w:rPr>
          <w:color w:val="000000" w:themeColor="text1"/>
        </w:rPr>
        <w:t xml:space="preserve"> monthly average has applied</w:t>
      </w:r>
      <w:r>
        <w:rPr>
          <w:color w:val="000000" w:themeColor="text1"/>
        </w:rPr>
        <w:t xml:space="preserve"> equally to each day in the previous month. In the case of an individual suffering from causes of disability from multiple different diseases (</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j</m:t>
            </m:r>
          </m:sub>
        </m:sSub>
      </m:oMath>
      <w:r>
        <w:rPr>
          <w:color w:val="000000" w:themeColor="text1"/>
        </w:rPr>
        <w:t xml:space="preserve">), the total disability is: </w:t>
      </w:r>
      <m:oMath>
        <m:r>
          <m:rPr>
            <m:sty m:val="p"/>
          </m:rPr>
          <w:rPr>
            <w:rFonts w:ascii="Cambria Math" w:hAnsi="Cambria Math"/>
            <w:color w:val="000000" w:themeColor="text1"/>
          </w:rPr>
          <m:t>min⁡</m:t>
        </m:r>
        <m:d>
          <m:dPr>
            <m:ctrlPr>
              <w:rPr>
                <w:rFonts w:ascii="Cambria Math" w:hAnsi="Cambria Math"/>
                <w:color w:val="000000" w:themeColor="text1"/>
              </w:rPr>
            </m:ctrlPr>
          </m:dPr>
          <m:e>
            <m:r>
              <w:rPr>
                <w:rFonts w:ascii="Cambria Math" w:hAnsi="Cambria Math"/>
                <w:color w:val="000000" w:themeColor="text1"/>
              </w:rPr>
              <m:t>1,</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j</m:t>
                </m:r>
              </m:sub>
              <m:sup/>
              <m:e>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j</m:t>
                    </m:r>
                  </m:sub>
                </m:sSub>
              </m:e>
            </m:nary>
          </m:e>
        </m:d>
      </m:oMath>
      <w:r>
        <w:rPr>
          <w:rFonts w:eastAsiaTheme="minorEastAsia"/>
          <w:color w:val="000000" w:themeColor="text1"/>
        </w:rPr>
        <w:t xml:space="preserve"> and the disability that is attributed to </w:t>
      </w:r>
      <w:r w:rsidR="00A06C0E">
        <w:rPr>
          <w:rFonts w:eastAsiaTheme="minorEastAsia"/>
          <w:color w:val="000000" w:themeColor="text1"/>
        </w:rPr>
        <w:t>each</w:t>
      </w:r>
      <w:r>
        <w:rPr>
          <w:rFonts w:eastAsiaTheme="minorEastAsia"/>
          <w:color w:val="000000" w:themeColor="text1"/>
        </w:rPr>
        <w:t xml:space="preserve"> disease is: </w:t>
      </w:r>
      <m:oMath>
        <m:f>
          <m:fPr>
            <m:ctrlPr>
              <w:rPr>
                <w:rFonts w:ascii="Cambria Math" w:eastAsiaTheme="minorEastAsia" w:hAnsi="Cambria Math"/>
                <w:i/>
                <w:color w:val="000000" w:themeColor="text1"/>
              </w:rPr>
            </m:ctrlPr>
          </m:fPr>
          <m:num>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d</m:t>
                </m:r>
              </m:e>
              <m:sub>
                <m:r>
                  <w:rPr>
                    <w:rFonts w:ascii="Cambria Math" w:eastAsiaTheme="minorEastAsia" w:hAnsi="Cambria Math"/>
                    <w:color w:val="000000" w:themeColor="text1"/>
                  </w:rPr>
                  <m:t>j</m:t>
                </m:r>
              </m:sub>
            </m:sSub>
            <m:r>
              <m:rPr>
                <m:sty m:val="p"/>
              </m:rPr>
              <w:rPr>
                <w:rFonts w:ascii="Cambria Math" w:hAnsi="Cambria Math"/>
                <w:color w:val="000000" w:themeColor="text1"/>
              </w:rPr>
              <m:t>.min⁡</m:t>
            </m:r>
            <m:d>
              <m:dPr>
                <m:ctrlPr>
                  <w:rPr>
                    <w:rFonts w:ascii="Cambria Math" w:hAnsi="Cambria Math"/>
                    <w:color w:val="000000" w:themeColor="text1"/>
                  </w:rPr>
                </m:ctrlPr>
              </m:dPr>
              <m:e>
                <m:r>
                  <w:rPr>
                    <w:rFonts w:ascii="Cambria Math" w:hAnsi="Cambria Math"/>
                    <w:color w:val="000000" w:themeColor="text1"/>
                  </w:rPr>
                  <m:t>1,</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j</m:t>
                    </m:r>
                  </m:sub>
                  <m:sup/>
                  <m:e>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j</m:t>
                        </m:r>
                      </m:sub>
                    </m:sSub>
                  </m:e>
                </m:nary>
              </m:e>
            </m:d>
          </m:num>
          <m:den>
            <m:nary>
              <m:naryPr>
                <m:chr m:val="∑"/>
                <m:limLoc m:val="undOvr"/>
                <m:supHide m:val="1"/>
                <m:ctrlPr>
                  <w:rPr>
                    <w:rFonts w:ascii="Cambria Math" w:hAnsi="Cambria Math"/>
                    <w:i/>
                    <w:color w:val="000000" w:themeColor="text1"/>
                  </w:rPr>
                </m:ctrlPr>
              </m:naryPr>
              <m:sub>
                <m:r>
                  <w:rPr>
                    <w:rFonts w:ascii="Cambria Math" w:hAnsi="Cambria Math"/>
                    <w:color w:val="000000" w:themeColor="text1"/>
                  </w:rPr>
                  <m:t>j</m:t>
                </m:r>
              </m:sub>
              <m:sup/>
              <m:e>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j</m:t>
                    </m:r>
                  </m:sub>
                </m:sSub>
              </m:e>
            </m:nary>
          </m:den>
        </m:f>
      </m:oMath>
      <w:r w:rsidR="00A06C0E">
        <w:rPr>
          <w:rFonts w:eastAsiaTheme="minorEastAsia"/>
          <w:color w:val="000000" w:themeColor="text1"/>
        </w:rPr>
        <w:t>.</w:t>
      </w:r>
    </w:p>
    <w:p w14:paraId="6C999D4B" w14:textId="12661D89" w:rsidR="00851558" w:rsidRDefault="00851558" w:rsidP="00851558">
      <w:pPr>
        <w:jc w:val="both"/>
        <w:rPr>
          <w:color w:val="000000" w:themeColor="text1"/>
          <w:u w:val="single"/>
        </w:rPr>
      </w:pPr>
    </w:p>
    <w:p w14:paraId="7287CC56" w14:textId="0957E48F" w:rsidR="00851558" w:rsidRDefault="00851558" w:rsidP="00851558">
      <w:pPr>
        <w:jc w:val="both"/>
        <w:rPr>
          <w:color w:val="000000" w:themeColor="text1"/>
        </w:rPr>
      </w:pPr>
      <w:r>
        <w:rPr>
          <w:color w:val="000000" w:themeColor="text1"/>
        </w:rPr>
        <w:t xml:space="preserve">The disability weights that are used are taken from </w:t>
      </w:r>
      <w:r w:rsidR="002432BD">
        <w:rPr>
          <w:color w:val="000000" w:themeColor="text1"/>
        </w:rPr>
        <w:t xml:space="preserve">the Global Burden of Disease Study [2]. </w:t>
      </w:r>
      <w:r>
        <w:rPr>
          <w:color w:val="000000" w:themeColor="text1"/>
        </w:rPr>
        <w:t>The method description for each disease module gives details as to how these were applied for each disease.</w:t>
      </w:r>
    </w:p>
    <w:p w14:paraId="7885E6E7" w14:textId="43F8212E" w:rsidR="00D10AAC" w:rsidRDefault="00D10AAC" w:rsidP="00851558">
      <w:pPr>
        <w:jc w:val="both"/>
        <w:rPr>
          <w:color w:val="000000" w:themeColor="text1"/>
        </w:rPr>
      </w:pPr>
    </w:p>
    <w:p w14:paraId="211DC5E4" w14:textId="7CB19678" w:rsidR="00D10AAC" w:rsidRPr="00D10AAC" w:rsidRDefault="00D10AAC" w:rsidP="00851558">
      <w:pPr>
        <w:jc w:val="both"/>
        <w:rPr>
          <w:color w:val="000000" w:themeColor="text1"/>
          <w:u w:val="single"/>
        </w:rPr>
      </w:pPr>
      <w:r w:rsidRPr="00D10AAC">
        <w:rPr>
          <w:color w:val="000000" w:themeColor="text1"/>
          <w:u w:val="single"/>
        </w:rPr>
        <w:t>Total DALYS</w:t>
      </w:r>
    </w:p>
    <w:p w14:paraId="55A06B12" w14:textId="2326E415" w:rsidR="00851558" w:rsidRDefault="00D10AAC" w:rsidP="00851558">
      <w:pPr>
        <w:jc w:val="both"/>
        <w:rPr>
          <w:color w:val="000000" w:themeColor="text1"/>
        </w:rPr>
      </w:pPr>
      <w:r>
        <w:rPr>
          <w:color w:val="000000" w:themeColor="text1"/>
        </w:rPr>
        <w:t>In the way described above, the total YLL and YLD is recorded for each day and for each person that has ever lived in the simulated population. The composition of these by the time-period, age and cause can be examined.</w:t>
      </w:r>
    </w:p>
    <w:p w14:paraId="7BF2857B" w14:textId="77777777" w:rsidR="00D10AAC" w:rsidRDefault="00D10AAC" w:rsidP="00851558">
      <w:pPr>
        <w:jc w:val="both"/>
        <w:rPr>
          <w:color w:val="000000" w:themeColor="text1"/>
        </w:rPr>
      </w:pPr>
    </w:p>
    <w:p w14:paraId="40959637" w14:textId="4B29E33E" w:rsidR="00851558" w:rsidRPr="00851558" w:rsidRDefault="00851558" w:rsidP="00851558">
      <w:pPr>
        <w:jc w:val="both"/>
        <w:rPr>
          <w:b/>
          <w:bCs/>
          <w:color w:val="000000" w:themeColor="text1"/>
        </w:rPr>
      </w:pPr>
      <w:r w:rsidRPr="00851558">
        <w:rPr>
          <w:b/>
          <w:bCs/>
          <w:color w:val="000000" w:themeColor="text1"/>
        </w:rPr>
        <w:t>References</w:t>
      </w:r>
    </w:p>
    <w:p w14:paraId="7117E75C" w14:textId="77777777" w:rsidR="002432BD" w:rsidRPr="002432BD" w:rsidRDefault="002432BD" w:rsidP="002432BD">
      <w:pPr>
        <w:jc w:val="both"/>
        <w:rPr>
          <w:color w:val="000000" w:themeColor="text1"/>
        </w:rPr>
      </w:pPr>
      <w:r>
        <w:rPr>
          <w:color w:val="000000" w:themeColor="text1"/>
        </w:rPr>
        <w:t xml:space="preserve">[1] </w:t>
      </w:r>
      <w:r w:rsidRPr="002432BD">
        <w:rPr>
          <w:color w:val="000000" w:themeColor="text1"/>
        </w:rPr>
        <w:t xml:space="preserve">Salomon, J. A., Haagsma, J. A., Davis, A., de Noordhout, C. M., Polinder, S., Havelaar, A. H., … Vos, T. (2015). Disability weights for the Global Burden of Disease 2013 study. </w:t>
      </w:r>
      <w:r w:rsidRPr="002432BD">
        <w:rPr>
          <w:i/>
          <w:iCs/>
          <w:color w:val="000000" w:themeColor="text1"/>
        </w:rPr>
        <w:t>The Lancet Global Health</w:t>
      </w:r>
      <w:r w:rsidRPr="002432BD">
        <w:rPr>
          <w:color w:val="000000" w:themeColor="text1"/>
        </w:rPr>
        <w:t>. https://doi.org/10.1016/S2214-109X(15)00069-8</w:t>
      </w:r>
    </w:p>
    <w:p w14:paraId="20FF8D47" w14:textId="5ED2CBEE" w:rsidR="00851558" w:rsidRDefault="00851558" w:rsidP="00851558">
      <w:pPr>
        <w:jc w:val="both"/>
        <w:rPr>
          <w:color w:val="000000" w:themeColor="text1"/>
        </w:rPr>
      </w:pPr>
    </w:p>
    <w:p w14:paraId="6E5FC2C9" w14:textId="538CA2AE" w:rsidR="002432BD" w:rsidRPr="0016061E" w:rsidRDefault="002432BD" w:rsidP="0016061E">
      <w:pPr>
        <w:rPr>
          <w:rFonts w:ascii="Times New Roman" w:eastAsia="Times New Roman" w:hAnsi="Times New Roman" w:cs="Times New Roman"/>
        </w:rPr>
      </w:pPr>
      <w:r>
        <w:rPr>
          <w:color w:val="000000" w:themeColor="text1"/>
        </w:rPr>
        <w:t>[2]</w:t>
      </w:r>
      <w:r w:rsidRPr="002432BD">
        <w:rPr>
          <w:rFonts w:ascii="Verdana" w:hAnsi="Verdana"/>
          <w:color w:val="454545"/>
          <w:sz w:val="18"/>
          <w:szCs w:val="18"/>
        </w:rPr>
        <w:t xml:space="preserve"> </w:t>
      </w:r>
      <w:r w:rsidRPr="002432BD">
        <w:rPr>
          <w:color w:val="000000" w:themeColor="text1"/>
        </w:rPr>
        <w:t>Global Burden of Disease Collaborative Network. Global Burden of Disease Study 2016 (GBD 2016) Disability Weights. Seattle, United States: Institute for Health Metrics and Evaluation (IHME), 2017. [Accessed 9-3-19]</w:t>
      </w:r>
    </w:p>
    <w:sectPr w:rsidR="002432BD" w:rsidRPr="0016061E" w:rsidSect="009F60F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84A6D"/>
    <w:multiLevelType w:val="hybridMultilevel"/>
    <w:tmpl w:val="AA6EB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C20F1"/>
    <w:multiLevelType w:val="hybridMultilevel"/>
    <w:tmpl w:val="7B866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23770"/>
    <w:multiLevelType w:val="hybridMultilevel"/>
    <w:tmpl w:val="0CE8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E0298"/>
    <w:multiLevelType w:val="hybridMultilevel"/>
    <w:tmpl w:val="85A8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441EA6"/>
    <w:multiLevelType w:val="hybridMultilevel"/>
    <w:tmpl w:val="F380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90BB6"/>
    <w:multiLevelType w:val="hybridMultilevel"/>
    <w:tmpl w:val="F0E07C36"/>
    <w:lvl w:ilvl="0" w:tplc="D78256A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603AF"/>
    <w:multiLevelType w:val="hybridMultilevel"/>
    <w:tmpl w:val="0C78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DE40E3"/>
    <w:multiLevelType w:val="hybridMultilevel"/>
    <w:tmpl w:val="E910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DC6873"/>
    <w:multiLevelType w:val="multilevel"/>
    <w:tmpl w:val="A39E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0B4133"/>
    <w:multiLevelType w:val="hybridMultilevel"/>
    <w:tmpl w:val="D8A6D828"/>
    <w:lvl w:ilvl="0" w:tplc="106A2F3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4D2993"/>
    <w:multiLevelType w:val="hybridMultilevel"/>
    <w:tmpl w:val="91B8B848"/>
    <w:lvl w:ilvl="0" w:tplc="50EE22B2">
      <w:start w:val="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890D2F"/>
    <w:multiLevelType w:val="hybridMultilevel"/>
    <w:tmpl w:val="055A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5"/>
  </w:num>
  <w:num w:numId="4">
    <w:abstractNumId w:val="4"/>
  </w:num>
  <w:num w:numId="5">
    <w:abstractNumId w:val="6"/>
  </w:num>
  <w:num w:numId="6">
    <w:abstractNumId w:val="11"/>
  </w:num>
  <w:num w:numId="7">
    <w:abstractNumId w:val="3"/>
  </w:num>
  <w:num w:numId="8">
    <w:abstractNumId w:val="9"/>
  </w:num>
  <w:num w:numId="9">
    <w:abstractNumId w:val="7"/>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4C"/>
    <w:rsid w:val="00014F4C"/>
    <w:rsid w:val="000A2F53"/>
    <w:rsid w:val="001167AF"/>
    <w:rsid w:val="0014612A"/>
    <w:rsid w:val="0016061E"/>
    <w:rsid w:val="00181A09"/>
    <w:rsid w:val="001864E1"/>
    <w:rsid w:val="00187032"/>
    <w:rsid w:val="00202D44"/>
    <w:rsid w:val="002432BD"/>
    <w:rsid w:val="00251FEC"/>
    <w:rsid w:val="00255029"/>
    <w:rsid w:val="00264CF6"/>
    <w:rsid w:val="002B79E1"/>
    <w:rsid w:val="002F7C90"/>
    <w:rsid w:val="0030239D"/>
    <w:rsid w:val="0035532C"/>
    <w:rsid w:val="00372FB2"/>
    <w:rsid w:val="003A08D5"/>
    <w:rsid w:val="003C420B"/>
    <w:rsid w:val="003D0917"/>
    <w:rsid w:val="003E1D7A"/>
    <w:rsid w:val="004318DB"/>
    <w:rsid w:val="00450166"/>
    <w:rsid w:val="00462CAE"/>
    <w:rsid w:val="00475972"/>
    <w:rsid w:val="00477AF4"/>
    <w:rsid w:val="004C1838"/>
    <w:rsid w:val="004E412C"/>
    <w:rsid w:val="00505920"/>
    <w:rsid w:val="00536FD4"/>
    <w:rsid w:val="005561F9"/>
    <w:rsid w:val="005A43CC"/>
    <w:rsid w:val="005B6DE5"/>
    <w:rsid w:val="005C4CC8"/>
    <w:rsid w:val="00601604"/>
    <w:rsid w:val="006023A7"/>
    <w:rsid w:val="00663199"/>
    <w:rsid w:val="006A1C53"/>
    <w:rsid w:val="006A534C"/>
    <w:rsid w:val="006D3E5F"/>
    <w:rsid w:val="006E0C58"/>
    <w:rsid w:val="00713D26"/>
    <w:rsid w:val="007163D9"/>
    <w:rsid w:val="00720D0A"/>
    <w:rsid w:val="007A3B7B"/>
    <w:rsid w:val="007B6F7F"/>
    <w:rsid w:val="007E7928"/>
    <w:rsid w:val="00831FE7"/>
    <w:rsid w:val="00851558"/>
    <w:rsid w:val="008864AB"/>
    <w:rsid w:val="008E4509"/>
    <w:rsid w:val="009621BD"/>
    <w:rsid w:val="0097399C"/>
    <w:rsid w:val="009C0F5F"/>
    <w:rsid w:val="009E347D"/>
    <w:rsid w:val="009F00BF"/>
    <w:rsid w:val="009F60FD"/>
    <w:rsid w:val="00A03C00"/>
    <w:rsid w:val="00A06C0E"/>
    <w:rsid w:val="00A06C7E"/>
    <w:rsid w:val="00A15DD9"/>
    <w:rsid w:val="00A202F3"/>
    <w:rsid w:val="00A31EDC"/>
    <w:rsid w:val="00AD379C"/>
    <w:rsid w:val="00AE476A"/>
    <w:rsid w:val="00B0034E"/>
    <w:rsid w:val="00B23626"/>
    <w:rsid w:val="00B465ED"/>
    <w:rsid w:val="00B618B2"/>
    <w:rsid w:val="00B670E8"/>
    <w:rsid w:val="00B92F09"/>
    <w:rsid w:val="00B950E1"/>
    <w:rsid w:val="00B95889"/>
    <w:rsid w:val="00BA24AB"/>
    <w:rsid w:val="00BB329C"/>
    <w:rsid w:val="00BC1DE4"/>
    <w:rsid w:val="00BF25DD"/>
    <w:rsid w:val="00C60481"/>
    <w:rsid w:val="00C60E0F"/>
    <w:rsid w:val="00C9377D"/>
    <w:rsid w:val="00CA5246"/>
    <w:rsid w:val="00CA5B22"/>
    <w:rsid w:val="00CA6F9F"/>
    <w:rsid w:val="00CB0FBB"/>
    <w:rsid w:val="00CE298C"/>
    <w:rsid w:val="00CE2DDA"/>
    <w:rsid w:val="00D10AAC"/>
    <w:rsid w:val="00D15E90"/>
    <w:rsid w:val="00D25FCD"/>
    <w:rsid w:val="00D46475"/>
    <w:rsid w:val="00D600C6"/>
    <w:rsid w:val="00D67147"/>
    <w:rsid w:val="00D80338"/>
    <w:rsid w:val="00DD1DEC"/>
    <w:rsid w:val="00DD644E"/>
    <w:rsid w:val="00E063A3"/>
    <w:rsid w:val="00E239CF"/>
    <w:rsid w:val="00E84B0D"/>
    <w:rsid w:val="00E86B72"/>
    <w:rsid w:val="00EC138B"/>
    <w:rsid w:val="00F23B77"/>
    <w:rsid w:val="00F353F9"/>
    <w:rsid w:val="00F73E16"/>
    <w:rsid w:val="00FE78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14B36"/>
  <w14:defaultImageDpi w14:val="32767"/>
  <w15:chartTrackingRefBased/>
  <w15:docId w15:val="{16961FB7-F865-B847-A6E7-B2BE2C34C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D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048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4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6475"/>
    <w:rPr>
      <w:rFonts w:ascii="Courier New" w:eastAsia="Times New Roman" w:hAnsi="Courier New" w:cs="Courier New"/>
      <w:sz w:val="20"/>
      <w:szCs w:val="20"/>
    </w:rPr>
  </w:style>
  <w:style w:type="paragraph" w:styleId="ListParagraph">
    <w:name w:val="List Paragraph"/>
    <w:basedOn w:val="Normal"/>
    <w:uiPriority w:val="34"/>
    <w:qFormat/>
    <w:rsid w:val="007163D9"/>
    <w:pPr>
      <w:ind w:left="720"/>
      <w:contextualSpacing/>
    </w:pPr>
  </w:style>
  <w:style w:type="character" w:customStyle="1" w:styleId="apple-converted-space">
    <w:name w:val="apple-converted-space"/>
    <w:basedOn w:val="DefaultParagraphFont"/>
    <w:rsid w:val="00462CAE"/>
  </w:style>
  <w:style w:type="character" w:styleId="Hyperlink">
    <w:name w:val="Hyperlink"/>
    <w:basedOn w:val="DefaultParagraphFont"/>
    <w:uiPriority w:val="99"/>
    <w:semiHidden/>
    <w:unhideWhenUsed/>
    <w:rsid w:val="00462CAE"/>
    <w:rPr>
      <w:color w:val="0000FF"/>
      <w:u w:val="single"/>
    </w:rPr>
  </w:style>
  <w:style w:type="character" w:styleId="FollowedHyperlink">
    <w:name w:val="FollowedHyperlink"/>
    <w:basedOn w:val="DefaultParagraphFont"/>
    <w:uiPriority w:val="99"/>
    <w:semiHidden/>
    <w:unhideWhenUsed/>
    <w:rsid w:val="00462CAE"/>
    <w:rPr>
      <w:color w:val="954F72" w:themeColor="followedHyperlink"/>
      <w:u w:val="single"/>
    </w:rPr>
  </w:style>
  <w:style w:type="character" w:styleId="PlaceholderText">
    <w:name w:val="Placeholder Text"/>
    <w:basedOn w:val="DefaultParagraphFont"/>
    <w:uiPriority w:val="99"/>
    <w:semiHidden/>
    <w:rsid w:val="008515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32254">
      <w:bodyDiv w:val="1"/>
      <w:marLeft w:val="0"/>
      <w:marRight w:val="0"/>
      <w:marTop w:val="0"/>
      <w:marBottom w:val="0"/>
      <w:divBdr>
        <w:top w:val="none" w:sz="0" w:space="0" w:color="auto"/>
        <w:left w:val="none" w:sz="0" w:space="0" w:color="auto"/>
        <w:bottom w:val="none" w:sz="0" w:space="0" w:color="auto"/>
        <w:right w:val="none" w:sz="0" w:space="0" w:color="auto"/>
      </w:divBdr>
    </w:div>
    <w:div w:id="534971033">
      <w:bodyDiv w:val="1"/>
      <w:marLeft w:val="0"/>
      <w:marRight w:val="0"/>
      <w:marTop w:val="0"/>
      <w:marBottom w:val="0"/>
      <w:divBdr>
        <w:top w:val="none" w:sz="0" w:space="0" w:color="auto"/>
        <w:left w:val="none" w:sz="0" w:space="0" w:color="auto"/>
        <w:bottom w:val="none" w:sz="0" w:space="0" w:color="auto"/>
        <w:right w:val="none" w:sz="0" w:space="0" w:color="auto"/>
      </w:divBdr>
    </w:div>
    <w:div w:id="641351012">
      <w:bodyDiv w:val="1"/>
      <w:marLeft w:val="0"/>
      <w:marRight w:val="0"/>
      <w:marTop w:val="0"/>
      <w:marBottom w:val="0"/>
      <w:divBdr>
        <w:top w:val="none" w:sz="0" w:space="0" w:color="auto"/>
        <w:left w:val="none" w:sz="0" w:space="0" w:color="auto"/>
        <w:bottom w:val="none" w:sz="0" w:space="0" w:color="auto"/>
        <w:right w:val="none" w:sz="0" w:space="0" w:color="auto"/>
      </w:divBdr>
    </w:div>
    <w:div w:id="644628648">
      <w:bodyDiv w:val="1"/>
      <w:marLeft w:val="0"/>
      <w:marRight w:val="0"/>
      <w:marTop w:val="0"/>
      <w:marBottom w:val="0"/>
      <w:divBdr>
        <w:top w:val="none" w:sz="0" w:space="0" w:color="auto"/>
        <w:left w:val="none" w:sz="0" w:space="0" w:color="auto"/>
        <w:bottom w:val="none" w:sz="0" w:space="0" w:color="auto"/>
        <w:right w:val="none" w:sz="0" w:space="0" w:color="auto"/>
      </w:divBdr>
    </w:div>
    <w:div w:id="707611980">
      <w:bodyDiv w:val="1"/>
      <w:marLeft w:val="0"/>
      <w:marRight w:val="0"/>
      <w:marTop w:val="0"/>
      <w:marBottom w:val="0"/>
      <w:divBdr>
        <w:top w:val="none" w:sz="0" w:space="0" w:color="auto"/>
        <w:left w:val="none" w:sz="0" w:space="0" w:color="auto"/>
        <w:bottom w:val="none" w:sz="0" w:space="0" w:color="auto"/>
        <w:right w:val="none" w:sz="0" w:space="0" w:color="auto"/>
      </w:divBdr>
    </w:div>
    <w:div w:id="791244970">
      <w:bodyDiv w:val="1"/>
      <w:marLeft w:val="0"/>
      <w:marRight w:val="0"/>
      <w:marTop w:val="0"/>
      <w:marBottom w:val="0"/>
      <w:divBdr>
        <w:top w:val="none" w:sz="0" w:space="0" w:color="auto"/>
        <w:left w:val="none" w:sz="0" w:space="0" w:color="auto"/>
        <w:bottom w:val="none" w:sz="0" w:space="0" w:color="auto"/>
        <w:right w:val="none" w:sz="0" w:space="0" w:color="auto"/>
      </w:divBdr>
    </w:div>
    <w:div w:id="814496150">
      <w:bodyDiv w:val="1"/>
      <w:marLeft w:val="0"/>
      <w:marRight w:val="0"/>
      <w:marTop w:val="0"/>
      <w:marBottom w:val="0"/>
      <w:divBdr>
        <w:top w:val="none" w:sz="0" w:space="0" w:color="auto"/>
        <w:left w:val="none" w:sz="0" w:space="0" w:color="auto"/>
        <w:bottom w:val="none" w:sz="0" w:space="0" w:color="auto"/>
        <w:right w:val="none" w:sz="0" w:space="0" w:color="auto"/>
      </w:divBdr>
    </w:div>
    <w:div w:id="875001614">
      <w:bodyDiv w:val="1"/>
      <w:marLeft w:val="0"/>
      <w:marRight w:val="0"/>
      <w:marTop w:val="0"/>
      <w:marBottom w:val="0"/>
      <w:divBdr>
        <w:top w:val="none" w:sz="0" w:space="0" w:color="auto"/>
        <w:left w:val="none" w:sz="0" w:space="0" w:color="auto"/>
        <w:bottom w:val="none" w:sz="0" w:space="0" w:color="auto"/>
        <w:right w:val="none" w:sz="0" w:space="0" w:color="auto"/>
      </w:divBdr>
    </w:div>
    <w:div w:id="890992717">
      <w:bodyDiv w:val="1"/>
      <w:marLeft w:val="0"/>
      <w:marRight w:val="0"/>
      <w:marTop w:val="0"/>
      <w:marBottom w:val="0"/>
      <w:divBdr>
        <w:top w:val="none" w:sz="0" w:space="0" w:color="auto"/>
        <w:left w:val="none" w:sz="0" w:space="0" w:color="auto"/>
        <w:bottom w:val="none" w:sz="0" w:space="0" w:color="auto"/>
        <w:right w:val="none" w:sz="0" w:space="0" w:color="auto"/>
      </w:divBdr>
    </w:div>
    <w:div w:id="932935755">
      <w:bodyDiv w:val="1"/>
      <w:marLeft w:val="0"/>
      <w:marRight w:val="0"/>
      <w:marTop w:val="0"/>
      <w:marBottom w:val="0"/>
      <w:divBdr>
        <w:top w:val="none" w:sz="0" w:space="0" w:color="auto"/>
        <w:left w:val="none" w:sz="0" w:space="0" w:color="auto"/>
        <w:bottom w:val="none" w:sz="0" w:space="0" w:color="auto"/>
        <w:right w:val="none" w:sz="0" w:space="0" w:color="auto"/>
      </w:divBdr>
    </w:div>
    <w:div w:id="1105999597">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284116422">
      <w:bodyDiv w:val="1"/>
      <w:marLeft w:val="0"/>
      <w:marRight w:val="0"/>
      <w:marTop w:val="0"/>
      <w:marBottom w:val="0"/>
      <w:divBdr>
        <w:top w:val="none" w:sz="0" w:space="0" w:color="auto"/>
        <w:left w:val="none" w:sz="0" w:space="0" w:color="auto"/>
        <w:bottom w:val="none" w:sz="0" w:space="0" w:color="auto"/>
        <w:right w:val="none" w:sz="0" w:space="0" w:color="auto"/>
      </w:divBdr>
    </w:div>
    <w:div w:id="1309626355">
      <w:bodyDiv w:val="1"/>
      <w:marLeft w:val="0"/>
      <w:marRight w:val="0"/>
      <w:marTop w:val="0"/>
      <w:marBottom w:val="0"/>
      <w:divBdr>
        <w:top w:val="none" w:sz="0" w:space="0" w:color="auto"/>
        <w:left w:val="none" w:sz="0" w:space="0" w:color="auto"/>
        <w:bottom w:val="none" w:sz="0" w:space="0" w:color="auto"/>
        <w:right w:val="none" w:sz="0" w:space="0" w:color="auto"/>
      </w:divBdr>
    </w:div>
    <w:div w:id="1325279311">
      <w:bodyDiv w:val="1"/>
      <w:marLeft w:val="0"/>
      <w:marRight w:val="0"/>
      <w:marTop w:val="0"/>
      <w:marBottom w:val="0"/>
      <w:divBdr>
        <w:top w:val="none" w:sz="0" w:space="0" w:color="auto"/>
        <w:left w:val="none" w:sz="0" w:space="0" w:color="auto"/>
        <w:bottom w:val="none" w:sz="0" w:space="0" w:color="auto"/>
        <w:right w:val="none" w:sz="0" w:space="0" w:color="auto"/>
      </w:divBdr>
    </w:div>
    <w:div w:id="1342322135">
      <w:bodyDiv w:val="1"/>
      <w:marLeft w:val="0"/>
      <w:marRight w:val="0"/>
      <w:marTop w:val="0"/>
      <w:marBottom w:val="0"/>
      <w:divBdr>
        <w:top w:val="none" w:sz="0" w:space="0" w:color="auto"/>
        <w:left w:val="none" w:sz="0" w:space="0" w:color="auto"/>
        <w:bottom w:val="none" w:sz="0" w:space="0" w:color="auto"/>
        <w:right w:val="none" w:sz="0" w:space="0" w:color="auto"/>
      </w:divBdr>
    </w:div>
    <w:div w:id="1389836788">
      <w:bodyDiv w:val="1"/>
      <w:marLeft w:val="0"/>
      <w:marRight w:val="0"/>
      <w:marTop w:val="0"/>
      <w:marBottom w:val="0"/>
      <w:divBdr>
        <w:top w:val="none" w:sz="0" w:space="0" w:color="auto"/>
        <w:left w:val="none" w:sz="0" w:space="0" w:color="auto"/>
        <w:bottom w:val="none" w:sz="0" w:space="0" w:color="auto"/>
        <w:right w:val="none" w:sz="0" w:space="0" w:color="auto"/>
      </w:divBdr>
    </w:div>
    <w:div w:id="1436974686">
      <w:bodyDiv w:val="1"/>
      <w:marLeft w:val="0"/>
      <w:marRight w:val="0"/>
      <w:marTop w:val="0"/>
      <w:marBottom w:val="0"/>
      <w:divBdr>
        <w:top w:val="none" w:sz="0" w:space="0" w:color="auto"/>
        <w:left w:val="none" w:sz="0" w:space="0" w:color="auto"/>
        <w:bottom w:val="none" w:sz="0" w:space="0" w:color="auto"/>
        <w:right w:val="none" w:sz="0" w:space="0" w:color="auto"/>
      </w:divBdr>
    </w:div>
    <w:div w:id="1447964272">
      <w:bodyDiv w:val="1"/>
      <w:marLeft w:val="0"/>
      <w:marRight w:val="0"/>
      <w:marTop w:val="0"/>
      <w:marBottom w:val="0"/>
      <w:divBdr>
        <w:top w:val="none" w:sz="0" w:space="0" w:color="auto"/>
        <w:left w:val="none" w:sz="0" w:space="0" w:color="auto"/>
        <w:bottom w:val="none" w:sz="0" w:space="0" w:color="auto"/>
        <w:right w:val="none" w:sz="0" w:space="0" w:color="auto"/>
      </w:divBdr>
    </w:div>
    <w:div w:id="1575120380">
      <w:bodyDiv w:val="1"/>
      <w:marLeft w:val="0"/>
      <w:marRight w:val="0"/>
      <w:marTop w:val="0"/>
      <w:marBottom w:val="0"/>
      <w:divBdr>
        <w:top w:val="none" w:sz="0" w:space="0" w:color="auto"/>
        <w:left w:val="none" w:sz="0" w:space="0" w:color="auto"/>
        <w:bottom w:val="none" w:sz="0" w:space="0" w:color="auto"/>
        <w:right w:val="none" w:sz="0" w:space="0" w:color="auto"/>
      </w:divBdr>
    </w:div>
    <w:div w:id="1681546754">
      <w:bodyDiv w:val="1"/>
      <w:marLeft w:val="0"/>
      <w:marRight w:val="0"/>
      <w:marTop w:val="0"/>
      <w:marBottom w:val="0"/>
      <w:divBdr>
        <w:top w:val="none" w:sz="0" w:space="0" w:color="auto"/>
        <w:left w:val="none" w:sz="0" w:space="0" w:color="auto"/>
        <w:bottom w:val="none" w:sz="0" w:space="0" w:color="auto"/>
        <w:right w:val="none" w:sz="0" w:space="0" w:color="auto"/>
      </w:divBdr>
    </w:div>
    <w:div w:id="1687631675">
      <w:bodyDiv w:val="1"/>
      <w:marLeft w:val="0"/>
      <w:marRight w:val="0"/>
      <w:marTop w:val="0"/>
      <w:marBottom w:val="0"/>
      <w:divBdr>
        <w:top w:val="none" w:sz="0" w:space="0" w:color="auto"/>
        <w:left w:val="none" w:sz="0" w:space="0" w:color="auto"/>
        <w:bottom w:val="none" w:sz="0" w:space="0" w:color="auto"/>
        <w:right w:val="none" w:sz="0" w:space="0" w:color="auto"/>
      </w:divBdr>
    </w:div>
    <w:div w:id="1759591257">
      <w:bodyDiv w:val="1"/>
      <w:marLeft w:val="0"/>
      <w:marRight w:val="0"/>
      <w:marTop w:val="0"/>
      <w:marBottom w:val="0"/>
      <w:divBdr>
        <w:top w:val="none" w:sz="0" w:space="0" w:color="auto"/>
        <w:left w:val="none" w:sz="0" w:space="0" w:color="auto"/>
        <w:bottom w:val="none" w:sz="0" w:space="0" w:color="auto"/>
        <w:right w:val="none" w:sz="0" w:space="0" w:color="auto"/>
      </w:divBdr>
    </w:div>
    <w:div w:id="1837575034">
      <w:bodyDiv w:val="1"/>
      <w:marLeft w:val="0"/>
      <w:marRight w:val="0"/>
      <w:marTop w:val="0"/>
      <w:marBottom w:val="0"/>
      <w:divBdr>
        <w:top w:val="none" w:sz="0" w:space="0" w:color="auto"/>
        <w:left w:val="none" w:sz="0" w:space="0" w:color="auto"/>
        <w:bottom w:val="none" w:sz="0" w:space="0" w:color="auto"/>
        <w:right w:val="none" w:sz="0" w:space="0" w:color="auto"/>
      </w:divBdr>
    </w:div>
    <w:div w:id="2037266304">
      <w:bodyDiv w:val="1"/>
      <w:marLeft w:val="0"/>
      <w:marRight w:val="0"/>
      <w:marTop w:val="0"/>
      <w:marBottom w:val="0"/>
      <w:divBdr>
        <w:top w:val="none" w:sz="0" w:space="0" w:color="auto"/>
        <w:left w:val="none" w:sz="0" w:space="0" w:color="auto"/>
        <w:bottom w:val="none" w:sz="0" w:space="0" w:color="auto"/>
        <w:right w:val="none" w:sz="0" w:space="0" w:color="auto"/>
      </w:divBdr>
    </w:div>
    <w:div w:id="203962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Hallett, Timothy B</dc:creator>
  <cp:keywords/>
  <dc:description/>
  <cp:lastModifiedBy>Hallett, Timothy B</cp:lastModifiedBy>
  <cp:revision>61</cp:revision>
  <dcterms:created xsi:type="dcterms:W3CDTF">2019-04-07T11:45:00Z</dcterms:created>
  <dcterms:modified xsi:type="dcterms:W3CDTF">2021-05-21T12:08:00Z</dcterms:modified>
</cp:coreProperties>
</file>