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7166" w14:textId="68D812AA" w:rsidR="00FC16F4" w:rsidRPr="00FC16F4" w:rsidRDefault="00FC16F4" w:rsidP="00FC16F4">
      <w:pPr>
        <w:spacing w:after="160" w:line="259" w:lineRule="auto"/>
        <w:rPr>
          <w:rFonts w:eastAsiaTheme="minorHAnsi"/>
          <w:b/>
          <w:color w:val="4472C4" w:themeColor="accent1"/>
          <w:sz w:val="28"/>
          <w:szCs w:val="28"/>
        </w:rPr>
      </w:pPr>
      <w:r w:rsidRPr="00FC16F4">
        <w:rPr>
          <w:rFonts w:eastAsiaTheme="minorHAnsi"/>
          <w:b/>
          <w:color w:val="4472C4" w:themeColor="accent1"/>
          <w:sz w:val="28"/>
          <w:szCs w:val="28"/>
        </w:rPr>
        <w:t xml:space="preserve">Modelling of </w:t>
      </w:r>
      <w:r>
        <w:rPr>
          <w:rFonts w:eastAsiaTheme="minorHAnsi"/>
          <w:b/>
          <w:color w:val="4472C4" w:themeColor="accent1"/>
          <w:sz w:val="28"/>
          <w:szCs w:val="28"/>
        </w:rPr>
        <w:t>HIV</w:t>
      </w:r>
      <w:r w:rsidRPr="00FC16F4">
        <w:rPr>
          <w:rFonts w:eastAsiaTheme="minorHAnsi"/>
          <w:b/>
          <w:bCs/>
          <w:color w:val="4472C4" w:themeColor="accent1"/>
          <w:sz w:val="28"/>
          <w:szCs w:val="28"/>
        </w:rPr>
        <w:t xml:space="preserve"> within the </w:t>
      </w:r>
      <w:r w:rsidRPr="00FC16F4">
        <w:rPr>
          <w:rFonts w:eastAsiaTheme="minorHAnsi"/>
          <w:b/>
          <w:color w:val="4472C4" w:themeColor="accent1"/>
          <w:sz w:val="28"/>
          <w:szCs w:val="28"/>
        </w:rPr>
        <w:t xml:space="preserve">Thanzi La </w:t>
      </w:r>
      <w:proofErr w:type="spellStart"/>
      <w:r w:rsidRPr="00FC16F4">
        <w:rPr>
          <w:rFonts w:eastAsiaTheme="minorHAnsi"/>
          <w:b/>
          <w:color w:val="4472C4" w:themeColor="accent1"/>
          <w:sz w:val="28"/>
          <w:szCs w:val="28"/>
        </w:rPr>
        <w:t>Onse</w:t>
      </w:r>
      <w:proofErr w:type="spellEnd"/>
      <w:r w:rsidRPr="00FC16F4">
        <w:rPr>
          <w:rFonts w:eastAsiaTheme="minorHAnsi"/>
          <w:b/>
          <w:color w:val="4472C4" w:themeColor="accent1"/>
          <w:sz w:val="28"/>
          <w:szCs w:val="28"/>
        </w:rPr>
        <w:t xml:space="preserve"> Model</w:t>
      </w:r>
    </w:p>
    <w:p w14:paraId="02BF3D76" w14:textId="77777777" w:rsidR="00FC16F4" w:rsidRPr="00FC16F4" w:rsidRDefault="00FC16F4" w:rsidP="00FC16F4">
      <w:pPr>
        <w:spacing w:after="160" w:line="259" w:lineRule="auto"/>
        <w:rPr>
          <w:rFonts w:eastAsiaTheme="minorHAnsi"/>
          <w:b/>
          <w:bCs/>
          <w:sz w:val="22"/>
          <w:szCs w:val="22"/>
        </w:rPr>
      </w:pPr>
    </w:p>
    <w:p w14:paraId="7DA57E74" w14:textId="72ECB44A" w:rsidR="00FC16F4" w:rsidRPr="00FC16F4" w:rsidRDefault="00FC16F4" w:rsidP="00FC16F4">
      <w:pPr>
        <w:pStyle w:val="Heading2"/>
        <w:rPr>
          <w:rFonts w:eastAsiaTheme="minorHAnsi"/>
        </w:rPr>
      </w:pPr>
      <w:r w:rsidRPr="00FC16F4">
        <w:rPr>
          <w:rFonts w:eastAsiaTheme="minorHAnsi"/>
        </w:rPr>
        <w:t xml:space="preserve">The Thanzi La </w:t>
      </w:r>
      <w:proofErr w:type="spellStart"/>
      <w:r w:rsidRPr="00FC16F4">
        <w:rPr>
          <w:rFonts w:eastAsiaTheme="minorHAnsi"/>
        </w:rPr>
        <w:t>Onse</w:t>
      </w:r>
      <w:proofErr w:type="spellEnd"/>
      <w:r w:rsidRPr="00FC16F4">
        <w:rPr>
          <w:rFonts w:eastAsiaTheme="minorHAnsi"/>
        </w:rPr>
        <w:t xml:space="preserve"> Model</w:t>
      </w:r>
    </w:p>
    <w:p w14:paraId="50F116E3" w14:textId="4CBE6896" w:rsidR="00FC16F4" w:rsidRPr="00FC16F4" w:rsidRDefault="00FC16F4" w:rsidP="00FC16F4">
      <w:pPr>
        <w:spacing w:after="160" w:line="259" w:lineRule="auto"/>
        <w:rPr>
          <w:rFonts w:eastAsiaTheme="minorHAnsi"/>
          <w:bCs/>
          <w:sz w:val="22"/>
          <w:szCs w:val="22"/>
        </w:rPr>
      </w:pPr>
      <w:r w:rsidRPr="00FC16F4">
        <w:rPr>
          <w:rFonts w:eastAsiaTheme="minorHAnsi"/>
          <w:bCs/>
          <w:sz w:val="22"/>
          <w:szCs w:val="22"/>
        </w:rPr>
        <w:t xml:space="preserve">As part of the Thanzi La </w:t>
      </w:r>
      <w:proofErr w:type="spellStart"/>
      <w:r w:rsidRPr="00FC16F4">
        <w:rPr>
          <w:rFonts w:eastAsiaTheme="minorHAnsi"/>
          <w:bCs/>
          <w:sz w:val="22"/>
          <w:szCs w:val="22"/>
        </w:rPr>
        <w:t>Onse</w:t>
      </w:r>
      <w:proofErr w:type="spellEnd"/>
      <w:r w:rsidRPr="00FC16F4">
        <w:rPr>
          <w:rFonts w:eastAsiaTheme="minorHAnsi"/>
          <w:bCs/>
          <w:sz w:val="22"/>
          <w:szCs w:val="22"/>
        </w:rPr>
        <w:t xml:space="preserv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explicitly simulate the individual life and health experiences of a representative proportion of the population of Malawi. The simulation initiates on 1 Jan 2010 and we attempt to simulate the attributes of the population at that point. We can run the model forward to any specified future time point. Each potential intervention and its associated diseases are being modelled. This is being divided into separate disease/intervention modules. This document describes the module on </w:t>
      </w:r>
      <w:r w:rsidR="00323000">
        <w:rPr>
          <w:rFonts w:eastAsiaTheme="minorHAnsi"/>
          <w:bCs/>
          <w:sz w:val="22"/>
          <w:szCs w:val="22"/>
        </w:rPr>
        <w:t>HIV</w:t>
      </w:r>
      <w:r w:rsidRPr="00FC16F4">
        <w:rPr>
          <w:rFonts w:eastAsiaTheme="minorHAnsi"/>
          <w:bCs/>
          <w:sz w:val="22"/>
          <w:szCs w:val="22"/>
        </w:rPr>
        <w:t xml:space="preserve"> transmission and</w:t>
      </w:r>
      <w:r w:rsidR="00323000">
        <w:rPr>
          <w:rFonts w:eastAsiaTheme="minorHAnsi"/>
          <w:bCs/>
          <w:sz w:val="22"/>
          <w:szCs w:val="22"/>
        </w:rPr>
        <w:t xml:space="preserve"> AIDS</w:t>
      </w:r>
      <w:r w:rsidRPr="00FC16F4">
        <w:rPr>
          <w:rFonts w:eastAsiaTheme="minorHAnsi"/>
          <w:bCs/>
          <w:sz w:val="22"/>
          <w:szCs w:val="22"/>
        </w:rPr>
        <w:t>.</w:t>
      </w:r>
    </w:p>
    <w:p w14:paraId="4C07DEDA" w14:textId="77777777" w:rsidR="00FC16F4" w:rsidRPr="00FC16F4" w:rsidRDefault="00FC16F4" w:rsidP="00FC16F4">
      <w:pPr>
        <w:spacing w:after="160" w:line="259" w:lineRule="auto"/>
        <w:rPr>
          <w:rFonts w:eastAsiaTheme="minorHAnsi"/>
          <w:bCs/>
          <w:sz w:val="22"/>
          <w:szCs w:val="22"/>
        </w:rPr>
      </w:pPr>
    </w:p>
    <w:p w14:paraId="64FD299C" w14:textId="7DCD6D38" w:rsidR="00FC16F4" w:rsidRPr="00FC16F4" w:rsidRDefault="00FC16F4" w:rsidP="00FC16F4">
      <w:pPr>
        <w:pStyle w:val="Heading3"/>
        <w:rPr>
          <w:rFonts w:eastAsiaTheme="minorHAnsi"/>
        </w:rPr>
      </w:pPr>
      <w:r w:rsidRPr="00FC16F4">
        <w:rPr>
          <w:rFonts w:eastAsiaTheme="minorHAnsi"/>
        </w:rPr>
        <w:t>General approach to decisions on modelling causal influences and effects of interventions</w:t>
      </w:r>
    </w:p>
    <w:p w14:paraId="5F322C66" w14:textId="77777777" w:rsidR="00FC16F4" w:rsidRPr="00FC16F4" w:rsidRDefault="00FC16F4" w:rsidP="00FC16F4">
      <w:pPr>
        <w:spacing w:after="160" w:line="259" w:lineRule="auto"/>
        <w:rPr>
          <w:rFonts w:eastAsiaTheme="minorHAnsi"/>
          <w:bCs/>
          <w:sz w:val="22"/>
          <w:szCs w:val="22"/>
        </w:rPr>
      </w:pPr>
      <w:r w:rsidRPr="00FC16F4">
        <w:rPr>
          <w:rFonts w:eastAsiaTheme="minorHAnsi"/>
          <w:bCs/>
          <w:sz w:val="22"/>
          <w:szCs w:val="22"/>
        </w:rPr>
        <w:t xml:space="preserve">This module was designed in the context of an overall approach to modelling causal effects in general and causal effects of </w:t>
      </w:r>
      <w:proofErr w:type="gramStart"/>
      <w:r w:rsidRPr="00FC16F4">
        <w:rPr>
          <w:rFonts w:eastAsiaTheme="minorHAnsi"/>
          <w:bCs/>
          <w:sz w:val="22"/>
          <w:szCs w:val="22"/>
        </w:rPr>
        <w:t>interventions in particular</w:t>
      </w:r>
      <w:proofErr w:type="gramEnd"/>
      <w:r w:rsidRPr="00FC16F4">
        <w:rPr>
          <w:rFonts w:eastAsiaTheme="minorHAnsi"/>
          <w:bCs/>
          <w:sz w:val="22"/>
          <w:szCs w:val="22"/>
        </w:rPr>
        <w:t xml:space="preserve">. </w:t>
      </w:r>
      <w:r w:rsidRPr="00FC16F4">
        <w:rPr>
          <w:rFonts w:eastAsiaTheme="minorHAnsi"/>
          <w:sz w:val="22"/>
          <w:szCs w:val="22"/>
        </w:rPr>
        <w:t xml:space="preserve">The overall intent is to adopt as simple a structure as can be conceived, whilst still capturing the essential elements of a disease and the interventions used to prevent or treatment. We include a causal link between a “variable” (by which we mean a characteristic or property of an individual, whether that be demographic, </w:t>
      </w:r>
      <w:proofErr w:type="gramStart"/>
      <w:r w:rsidRPr="00FC16F4">
        <w:rPr>
          <w:rFonts w:eastAsiaTheme="minorHAnsi"/>
          <w:sz w:val="22"/>
          <w:szCs w:val="22"/>
        </w:rPr>
        <w:t>social</w:t>
      </w:r>
      <w:proofErr w:type="gramEnd"/>
      <w:r w:rsidRPr="00FC16F4">
        <w:rPr>
          <w:rFonts w:eastAsiaTheme="minorHAnsi"/>
          <w:sz w:val="22"/>
          <w:szCs w:val="22"/>
        </w:rPr>
        <w:t xml:space="preserve"> or biologic), and risk of disease or another variable if there is strong evidence from an overall body of studies that such a causal link exists and is at least moderately strong. In informing such decisions we place </w:t>
      </w:r>
      <w:proofErr w:type="gramStart"/>
      <w:r w:rsidRPr="00FC16F4">
        <w:rPr>
          <w:rFonts w:eastAsiaTheme="minorHAnsi"/>
          <w:sz w:val="22"/>
          <w:szCs w:val="22"/>
        </w:rPr>
        <w:t>particular value</w:t>
      </w:r>
      <w:proofErr w:type="gramEnd"/>
      <w:r w:rsidRPr="00FC16F4">
        <w:rPr>
          <w:rFonts w:eastAsiaTheme="minorHAnsi"/>
          <w:sz w:val="22"/>
          <w:szCs w:val="22"/>
        </w:rPr>
        <w:t xml:space="preserve"> on 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the intent is that this is </w:t>
      </w:r>
      <w:proofErr w:type="gramStart"/>
      <w:r w:rsidRPr="00FC16F4">
        <w:rPr>
          <w:rFonts w:eastAsiaTheme="minorHAnsi"/>
          <w:sz w:val="22"/>
          <w:szCs w:val="22"/>
        </w:rPr>
        <w:t>taken into account</w:t>
      </w:r>
      <w:proofErr w:type="gramEnd"/>
      <w:r w:rsidRPr="00FC16F4">
        <w:rPr>
          <w:rFonts w:eastAsiaTheme="minorHAnsi"/>
          <w:sz w:val="22"/>
          <w:szCs w:val="22"/>
        </w:rPr>
        <w:t xml:space="preserve"> and the Malawi-specific link included.</w:t>
      </w:r>
    </w:p>
    <w:p w14:paraId="22DE2005" w14:textId="77777777" w:rsidR="00FC16F4" w:rsidRPr="00FC16F4" w:rsidRDefault="00FC16F4" w:rsidP="00FC16F4">
      <w:pPr>
        <w:spacing w:after="160" w:line="259" w:lineRule="auto"/>
        <w:rPr>
          <w:rFonts w:eastAsiaTheme="minorHAnsi"/>
          <w:sz w:val="22"/>
          <w:szCs w:val="22"/>
        </w:rPr>
      </w:pPr>
      <w:r w:rsidRPr="00FC16F4">
        <w:rPr>
          <w:rFonts w:eastAsiaTheme="minorHAnsi"/>
          <w:sz w:val="22"/>
          <w:szCs w:val="22"/>
        </w:rPr>
        <w:t xml:space="preserve">In the special case of a potential causal variable which relates to whether an individual has experienced or is experiencing an intervention the intent is to 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our intent has been to form our own opinion on intervention efficacy based on the source trials.  </w:t>
      </w:r>
    </w:p>
    <w:p w14:paraId="3E7F26EC" w14:textId="6FF37A27" w:rsidR="00FC16F4" w:rsidRPr="00FC16F4" w:rsidRDefault="00FC16F4" w:rsidP="00FC16F4">
      <w:pPr>
        <w:spacing w:after="160" w:line="259" w:lineRule="auto"/>
        <w:rPr>
          <w:rFonts w:eastAsiaTheme="minorHAnsi"/>
          <w:b/>
          <w:color w:val="4472C4" w:themeColor="accent1"/>
          <w:sz w:val="22"/>
          <w:szCs w:val="22"/>
        </w:rPr>
      </w:pPr>
      <w:r w:rsidRPr="00FC16F4">
        <w:rPr>
          <w:rFonts w:eastAsiaTheme="minorHAnsi"/>
          <w:sz w:val="22"/>
          <w:szCs w:val="22"/>
        </w:rPr>
        <w:t xml:space="preserve">Unless there is evidence to the contrary, the intent is to summarize and incorporate intervention effects into the model as relative risks or rates rather than absolute differences </w:t>
      </w:r>
      <w:proofErr w:type="gramStart"/>
      <w:r w:rsidRPr="00FC16F4">
        <w:rPr>
          <w:rFonts w:eastAsiaTheme="minorHAnsi"/>
          <w:sz w:val="22"/>
          <w:szCs w:val="22"/>
        </w:rPr>
        <w:t>due to the fact that</w:t>
      </w:r>
      <w:proofErr w:type="gramEnd"/>
      <w:r w:rsidRPr="00FC16F4">
        <w:rPr>
          <w:rFonts w:eastAsiaTheme="minorHAnsi"/>
          <w:sz w:val="22"/>
          <w:szCs w:val="22"/>
        </w:rPr>
        <w:t xml:space="preserve"> such measures are less likely to differ substantively by context. Interactions between characteristics (on the multiplicative scale) are only to be incorporated if there is strong evidence. Again, we have not intended to rely on data from Malawi or Africa for such evidence but if local evidence exists which strongly suggests a different effect than elsewhere then the intent is that this modified effect is incorporated in the model.</w:t>
      </w:r>
    </w:p>
    <w:p w14:paraId="2F051409" w14:textId="2652A6C2" w:rsidR="00FC16F4" w:rsidRPr="00FC16F4" w:rsidRDefault="00FC16F4" w:rsidP="00FC16F4">
      <w:pPr>
        <w:pStyle w:val="Heading3"/>
        <w:rPr>
          <w:rFonts w:eastAsiaTheme="minorHAnsi"/>
        </w:rPr>
      </w:pPr>
      <w:r w:rsidRPr="00FC16F4">
        <w:rPr>
          <w:rFonts w:eastAsiaTheme="minorHAnsi"/>
        </w:rPr>
        <w:t xml:space="preserve">Demographic and social characteristics </w:t>
      </w:r>
      <w:proofErr w:type="gramStart"/>
      <w:r w:rsidRPr="00FC16F4">
        <w:rPr>
          <w:rFonts w:eastAsiaTheme="minorHAnsi"/>
        </w:rPr>
        <w:t>modelled</w:t>
      </w:r>
      <w:proofErr w:type="gramEnd"/>
    </w:p>
    <w:p w14:paraId="70DE711D" w14:textId="4BD41EAB" w:rsidR="00FC16F4" w:rsidRPr="00FC16F4" w:rsidRDefault="00FC16F4" w:rsidP="00FC16F4">
      <w:pPr>
        <w:spacing w:after="160" w:line="259" w:lineRule="auto"/>
        <w:rPr>
          <w:rFonts w:eastAsiaTheme="minorHAnsi"/>
          <w:sz w:val="22"/>
          <w:szCs w:val="22"/>
        </w:rPr>
      </w:pPr>
      <w:r w:rsidRPr="00FC16F4">
        <w:rPr>
          <w:rFonts w:eastAsiaTheme="minorHAnsi"/>
          <w:sz w:val="22"/>
          <w:szCs w:val="22"/>
        </w:rPr>
        <w:t xml:space="preserve">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pollution (wood burning stove). We assign individuals a current education status (none, primary, secondary) which is (updated every 3 months) from age 5 to 20. From age 15 we assign BMI in 5 categories, tobacco use status, drinking excess alcohol, having low exercise, high sugar intake, high salt intake, and marital status (never, currently, widowed/divorced). The status </w:t>
      </w:r>
      <w:proofErr w:type="gramStart"/>
      <w:r w:rsidRPr="00FC16F4">
        <w:rPr>
          <w:rFonts w:eastAsiaTheme="minorHAnsi"/>
          <w:sz w:val="22"/>
          <w:szCs w:val="22"/>
        </w:rPr>
        <w:t>with regard to</w:t>
      </w:r>
      <w:proofErr w:type="gramEnd"/>
      <w:r w:rsidRPr="00FC16F4">
        <w:rPr>
          <w:rFonts w:eastAsiaTheme="minorHAnsi"/>
          <w:sz w:val="22"/>
          <w:szCs w:val="22"/>
        </w:rPr>
        <w:t xml:space="preserve"> such variables for individuals can change over time. The influences between these variables are described in detail in a separate document.</w:t>
      </w:r>
    </w:p>
    <w:p w14:paraId="393C6D93" w14:textId="77777777" w:rsidR="00FC16F4" w:rsidRPr="00AC73EC" w:rsidRDefault="00FC16F4" w:rsidP="00ED54E3"/>
    <w:p w14:paraId="3C0FF1C5" w14:textId="0452AE13" w:rsidR="00ED54E3" w:rsidRDefault="00FC16F4" w:rsidP="00ED54E3">
      <w:pPr>
        <w:pStyle w:val="Heading1"/>
      </w:pPr>
      <w:r>
        <w:lastRenderedPageBreak/>
        <w:t>The HIV module</w:t>
      </w:r>
    </w:p>
    <w:p w14:paraId="4ABADE8B" w14:textId="6987C748" w:rsidR="00ED54E3" w:rsidRDefault="00ED54E3" w:rsidP="00ED54E3">
      <w:r>
        <w:t xml:space="preserve">The HIV module is responsible for assigning new HIV infections to individuals and scheduling relevant health system interactions. At baseline (2010), the model reproduces the HIV prevalence in Malawi using the prevalence estimates generated by the Avenir Health Spectrum/EPP model, distributed by age and sex. A simple transmission model estimates the numbers of new infections in adults and the relative risk of acquisition is determined for </w:t>
      </w:r>
      <w:proofErr w:type="gramStart"/>
      <w:r>
        <w:t>each individual</w:t>
      </w:r>
      <w:proofErr w:type="gramEnd"/>
      <w:r>
        <w:t xml:space="preserve"> based on their lifestyle characteristics and demographic information. New infections in infants are estimated from the prevalence of infection in mothers combined with the rate of mother-to-child transmission, length of time breastfeeding and antiretroviral coverage.  The predicted survival times for each infected individual are drawn from probability distributions and those adherent to ART experience no AIDS-mortality. HIV Testing and ART coverage estimates </w:t>
      </w:r>
      <w:r w:rsidR="00582FDB">
        <w:t xml:space="preserve">from 2011 onwards </w:t>
      </w:r>
      <w:r>
        <w:t xml:space="preserve">are derived from the Malawi Ministry of Health Integrated HIV Program Reports.  Once health care events such as testing or treatment initiation are scheduled, they enter the health system event queue and are executed chronologically subject to any resource constraints. After the event occurs, the individual’s health state may change as the disease progresses or treatment is started, or a sequence of linked health care system events can be triggered. </w:t>
      </w:r>
    </w:p>
    <w:p w14:paraId="7DF85B60" w14:textId="459425AB" w:rsidR="00ED54E3" w:rsidRDefault="00ED54E3" w:rsidP="00ED54E3"/>
    <w:p w14:paraId="47230F4D" w14:textId="77777777" w:rsidR="00336707" w:rsidRPr="000A1FF3" w:rsidRDefault="00336707" w:rsidP="00336707">
      <w:pPr>
        <w:pStyle w:val="Heading2"/>
      </w:pPr>
      <w:r>
        <w:t>Model structure</w:t>
      </w:r>
    </w:p>
    <w:p w14:paraId="270EDB9C" w14:textId="77777777" w:rsidR="00336707" w:rsidRPr="00336707" w:rsidRDefault="00336707" w:rsidP="00336707">
      <w:pPr>
        <w:pStyle w:val="Heading3"/>
        <w:rPr>
          <w:rStyle w:val="SubtleEmphasis"/>
          <w:i w:val="0"/>
          <w:iCs w:val="0"/>
        </w:rPr>
      </w:pPr>
      <w:r w:rsidRPr="00336707">
        <w:rPr>
          <w:rStyle w:val="SubtleEmphasis"/>
          <w:i w:val="0"/>
          <w:iCs w:val="0"/>
        </w:rPr>
        <w:t xml:space="preserve">Variables </w:t>
      </w:r>
      <w:proofErr w:type="gramStart"/>
      <w:r w:rsidRPr="00336707">
        <w:rPr>
          <w:rStyle w:val="SubtleEmphasis"/>
          <w:i w:val="0"/>
          <w:iCs w:val="0"/>
        </w:rPr>
        <w:t>modelled</w:t>
      </w:r>
      <w:proofErr w:type="gramEnd"/>
    </w:p>
    <w:p w14:paraId="5F75D96D" w14:textId="58DE92B5" w:rsidR="00336707" w:rsidRDefault="009F00B3" w:rsidP="00ED54E3">
      <w:r>
        <w:t xml:space="preserve">The individual properties managed by the HIV module are summarised in Table 1. Other disease modules can also call on the HIV module to request HIV tests, or in the case of TB (an AIDS-defining condition), the TB module can request the symptom “AIDS” to be assigned in co-infected individuals. </w:t>
      </w:r>
    </w:p>
    <w:p w14:paraId="7626747E" w14:textId="77777777" w:rsidR="009F00B3" w:rsidRDefault="009F00B3" w:rsidP="00ED54E3"/>
    <w:p w14:paraId="2C17241F" w14:textId="5F959954" w:rsidR="00ED54E3" w:rsidRDefault="00582169" w:rsidP="00ED54E3">
      <w:r>
        <w:t>Table 1. Individual properties managed by the HIV module.</w:t>
      </w:r>
    </w:p>
    <w:tbl>
      <w:tblPr>
        <w:tblStyle w:val="PlainTable1"/>
        <w:tblW w:w="0" w:type="auto"/>
        <w:tblLook w:val="04A0" w:firstRow="1" w:lastRow="0" w:firstColumn="1" w:lastColumn="0" w:noHBand="0" w:noVBand="1"/>
      </w:tblPr>
      <w:tblGrid>
        <w:gridCol w:w="2254"/>
        <w:gridCol w:w="5679"/>
        <w:gridCol w:w="2523"/>
      </w:tblGrid>
      <w:tr w:rsidR="00054F6D" w:rsidRPr="00160EDD" w14:paraId="47E5B32A" w14:textId="77777777" w:rsidTr="005821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0ED18458" w14:textId="77777777" w:rsidR="00ED54E3" w:rsidRPr="00160EDD" w:rsidRDefault="00ED54E3" w:rsidP="00AE254B">
            <w:r>
              <w:t>Property</w:t>
            </w:r>
          </w:p>
        </w:tc>
        <w:tc>
          <w:tcPr>
            <w:tcW w:w="5679" w:type="dxa"/>
            <w:noWrap/>
          </w:tcPr>
          <w:p w14:paraId="16CED799" w14:textId="77777777" w:rsidR="00ED54E3" w:rsidRPr="00160EDD" w:rsidRDefault="00ED54E3" w:rsidP="00AE254B">
            <w:pPr>
              <w:cnfStyle w:val="100000000000" w:firstRow="1" w:lastRow="0" w:firstColumn="0" w:lastColumn="0" w:oddVBand="0" w:evenVBand="0" w:oddHBand="0" w:evenHBand="0" w:firstRowFirstColumn="0" w:firstRowLastColumn="0" w:lastRowFirstColumn="0" w:lastRowLastColumn="0"/>
            </w:pPr>
            <w:r>
              <w:t>Description</w:t>
            </w:r>
          </w:p>
        </w:tc>
        <w:tc>
          <w:tcPr>
            <w:tcW w:w="2523" w:type="dxa"/>
            <w:noWrap/>
          </w:tcPr>
          <w:p w14:paraId="1831C1D4" w14:textId="77777777" w:rsidR="00ED54E3" w:rsidRPr="00160EDD" w:rsidRDefault="00ED54E3" w:rsidP="00AE254B">
            <w:pPr>
              <w:cnfStyle w:val="100000000000" w:firstRow="1" w:lastRow="0" w:firstColumn="0" w:lastColumn="0" w:oddVBand="0" w:evenVBand="0" w:oddHBand="0" w:evenHBand="0" w:firstRowFirstColumn="0" w:firstRowLastColumn="0" w:lastRowFirstColumn="0" w:lastRowLastColumn="0"/>
            </w:pPr>
            <w:r>
              <w:t>Values</w:t>
            </w:r>
          </w:p>
        </w:tc>
      </w:tr>
      <w:tr w:rsidR="00054F6D" w:rsidRPr="00160EDD" w14:paraId="317632B0" w14:textId="77777777" w:rsidTr="005821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noWrap/>
            <w:hideMark/>
          </w:tcPr>
          <w:p w14:paraId="5217213B" w14:textId="10642938" w:rsidR="00ED54E3" w:rsidRPr="00160EDD" w:rsidRDefault="00ED54E3" w:rsidP="00AE254B">
            <w:proofErr w:type="spellStart"/>
            <w:r>
              <w:t>h</w:t>
            </w:r>
            <w:r w:rsidR="00054F6D">
              <w:t>v</w:t>
            </w:r>
            <w:r>
              <w:t>_inf</w:t>
            </w:r>
            <w:proofErr w:type="spellEnd"/>
          </w:p>
        </w:tc>
        <w:tc>
          <w:tcPr>
            <w:tcW w:w="5679" w:type="dxa"/>
            <w:noWrap/>
          </w:tcPr>
          <w:p w14:paraId="5C62BF81" w14:textId="77777777" w:rsidR="00ED54E3" w:rsidRPr="00160EDD" w:rsidRDefault="00ED54E3" w:rsidP="00AE254B">
            <w:pPr>
              <w:cnfStyle w:val="000000100000" w:firstRow="0" w:lastRow="0" w:firstColumn="0" w:lastColumn="0" w:oddVBand="0" w:evenVBand="0" w:oddHBand="1" w:evenHBand="0" w:firstRowFirstColumn="0" w:firstRowLastColumn="0" w:lastRowFirstColumn="0" w:lastRowLastColumn="0"/>
            </w:pPr>
            <w:r>
              <w:t>HIV infection status</w:t>
            </w:r>
          </w:p>
        </w:tc>
        <w:tc>
          <w:tcPr>
            <w:tcW w:w="2523" w:type="dxa"/>
            <w:noWrap/>
          </w:tcPr>
          <w:p w14:paraId="5359A75B" w14:textId="77777777" w:rsidR="00ED54E3" w:rsidRPr="00160EDD" w:rsidRDefault="00ED54E3" w:rsidP="00AE254B">
            <w:pPr>
              <w:cnfStyle w:val="000000100000" w:firstRow="0" w:lastRow="0" w:firstColumn="0" w:lastColumn="0" w:oddVBand="0" w:evenVBand="0" w:oddHBand="1" w:evenHBand="0" w:firstRowFirstColumn="0" w:firstRowLastColumn="0" w:lastRowFirstColumn="0" w:lastRowLastColumn="0"/>
            </w:pPr>
            <w:r>
              <w:t>True / False</w:t>
            </w:r>
          </w:p>
        </w:tc>
      </w:tr>
      <w:tr w:rsidR="00054F6D" w:rsidRPr="00160EDD" w14:paraId="2E9CF56D" w14:textId="77777777" w:rsidTr="00582169">
        <w:trPr>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0665A39B" w14:textId="6D8DF9F8" w:rsidR="00054F6D" w:rsidRDefault="00054F6D" w:rsidP="00054F6D">
            <w:proofErr w:type="spellStart"/>
            <w:r>
              <w:t>hv_art</w:t>
            </w:r>
            <w:proofErr w:type="spellEnd"/>
          </w:p>
        </w:tc>
        <w:tc>
          <w:tcPr>
            <w:tcW w:w="5679" w:type="dxa"/>
            <w:noWrap/>
          </w:tcPr>
          <w:p w14:paraId="044227B6" w14:textId="44742772" w:rsidR="00054F6D" w:rsidRDefault="00054F6D" w:rsidP="00054F6D">
            <w:pPr>
              <w:cnfStyle w:val="000000000000" w:firstRow="0" w:lastRow="0" w:firstColumn="0" w:lastColumn="0" w:oddVBand="0" w:evenVBand="0" w:oddHBand="0" w:evenHBand="0" w:firstRowFirstColumn="0" w:firstRowLastColumn="0" w:lastRowFirstColumn="0" w:lastRowLastColumn="0"/>
            </w:pPr>
            <w:r>
              <w:t>Current ART status</w:t>
            </w:r>
          </w:p>
        </w:tc>
        <w:tc>
          <w:tcPr>
            <w:tcW w:w="2523" w:type="dxa"/>
            <w:noWrap/>
          </w:tcPr>
          <w:p w14:paraId="78FA1FA5" w14:textId="5F89DD4D" w:rsidR="00054F6D" w:rsidRDefault="00054F6D" w:rsidP="00054F6D">
            <w:pPr>
              <w:cnfStyle w:val="000000000000" w:firstRow="0" w:lastRow="0" w:firstColumn="0" w:lastColumn="0" w:oddVBand="0" w:evenVBand="0" w:oddHBand="0" w:evenHBand="0" w:firstRowFirstColumn="0" w:firstRowLastColumn="0" w:lastRowFirstColumn="0" w:lastRowLastColumn="0"/>
            </w:pPr>
            <w:r>
              <w:t xml:space="preserve">Categorical: </w:t>
            </w:r>
            <w:r w:rsidRPr="00054F6D">
              <w:t>"not", "</w:t>
            </w:r>
            <w:proofErr w:type="spellStart"/>
            <w:r w:rsidRPr="00054F6D">
              <w:t>on_VL_suppressed</w:t>
            </w:r>
            <w:proofErr w:type="spellEnd"/>
            <w:r w:rsidRPr="00054F6D">
              <w:t>", "</w:t>
            </w:r>
            <w:proofErr w:type="spellStart"/>
            <w:r w:rsidRPr="00054F6D">
              <w:t>on_not_VL_suppressed</w:t>
            </w:r>
            <w:proofErr w:type="spellEnd"/>
            <w:r w:rsidRPr="00054F6D">
              <w:t>"</w:t>
            </w:r>
          </w:p>
        </w:tc>
      </w:tr>
      <w:tr w:rsidR="00054F6D" w:rsidRPr="00160EDD" w14:paraId="5B54CABC" w14:textId="77777777" w:rsidTr="005821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06BE9232" w14:textId="0C1BB946" w:rsidR="00054F6D" w:rsidRDefault="00054F6D" w:rsidP="00054F6D">
            <w:proofErr w:type="spellStart"/>
            <w:r w:rsidRPr="00054F6D">
              <w:t>hv_is_on_prep</w:t>
            </w:r>
            <w:proofErr w:type="spellEnd"/>
          </w:p>
        </w:tc>
        <w:tc>
          <w:tcPr>
            <w:tcW w:w="5679" w:type="dxa"/>
            <w:noWrap/>
          </w:tcPr>
          <w:p w14:paraId="57FB3FAF" w14:textId="176452AB" w:rsidR="00054F6D" w:rsidRDefault="00054F6D" w:rsidP="00054F6D">
            <w:pPr>
              <w:cnfStyle w:val="000000100000" w:firstRow="0" w:lastRow="0" w:firstColumn="0" w:lastColumn="0" w:oddVBand="0" w:evenVBand="0" w:oddHBand="1" w:evenHBand="0" w:firstRowFirstColumn="0" w:firstRowLastColumn="0" w:lastRowFirstColumn="0" w:lastRowLastColumn="0"/>
            </w:pPr>
            <w:r>
              <w:t xml:space="preserve">Whether or not the person is currently taking and receiving a protective effect from Pre-Exposure </w:t>
            </w:r>
            <w:r w:rsidR="009F7807">
              <w:t>Prophylaxis</w:t>
            </w:r>
          </w:p>
        </w:tc>
        <w:tc>
          <w:tcPr>
            <w:tcW w:w="2523" w:type="dxa"/>
            <w:noWrap/>
          </w:tcPr>
          <w:p w14:paraId="5CC70D44" w14:textId="6A17DB03" w:rsidR="00054F6D" w:rsidRDefault="00054F6D" w:rsidP="00054F6D">
            <w:pPr>
              <w:cnfStyle w:val="000000100000" w:firstRow="0" w:lastRow="0" w:firstColumn="0" w:lastColumn="0" w:oddVBand="0" w:evenVBand="0" w:oddHBand="1" w:evenHBand="0" w:firstRowFirstColumn="0" w:firstRowLastColumn="0" w:lastRowFirstColumn="0" w:lastRowLastColumn="0"/>
            </w:pPr>
            <w:r>
              <w:t>True / False</w:t>
            </w:r>
          </w:p>
        </w:tc>
      </w:tr>
      <w:tr w:rsidR="00054F6D" w:rsidRPr="00160EDD" w14:paraId="4E24D584" w14:textId="77777777" w:rsidTr="00582169">
        <w:trPr>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7D84263A" w14:textId="07E8E5E8" w:rsidR="00054F6D" w:rsidRDefault="00054F6D" w:rsidP="00054F6D">
            <w:proofErr w:type="spellStart"/>
            <w:r w:rsidRPr="00054F6D">
              <w:t>hv_behaviour_change</w:t>
            </w:r>
            <w:proofErr w:type="spellEnd"/>
          </w:p>
        </w:tc>
        <w:tc>
          <w:tcPr>
            <w:tcW w:w="5679" w:type="dxa"/>
            <w:noWrap/>
          </w:tcPr>
          <w:p w14:paraId="51BB7BFA" w14:textId="23F12F5E" w:rsidR="00054F6D" w:rsidRDefault="00054F6D" w:rsidP="00054F6D">
            <w:pPr>
              <w:cnfStyle w:val="000000000000" w:firstRow="0" w:lastRow="0" w:firstColumn="0" w:lastColumn="0" w:oddVBand="0" w:evenVBand="0" w:oddHBand="0" w:evenHBand="0" w:firstRowFirstColumn="0" w:firstRowLastColumn="0" w:lastRowFirstColumn="0" w:lastRowLastColumn="0"/>
            </w:pPr>
            <w:r>
              <w:t>Has this person been exposed to</w:t>
            </w:r>
            <w:r w:rsidR="005444F7">
              <w:t xml:space="preserve"> effective</w:t>
            </w:r>
            <w:r>
              <w:t xml:space="preserve"> HIV prevention counselling</w:t>
            </w:r>
            <w:r w:rsidR="005444F7">
              <w:t xml:space="preserve"> which will lower risk</w:t>
            </w:r>
            <w:r>
              <w:t xml:space="preserve"> following a negative HIV test result</w:t>
            </w:r>
          </w:p>
        </w:tc>
        <w:tc>
          <w:tcPr>
            <w:tcW w:w="2523" w:type="dxa"/>
            <w:noWrap/>
          </w:tcPr>
          <w:p w14:paraId="208FF7DE" w14:textId="44E632C8" w:rsidR="00054F6D" w:rsidRDefault="00054F6D" w:rsidP="00054F6D">
            <w:pPr>
              <w:cnfStyle w:val="000000000000" w:firstRow="0" w:lastRow="0" w:firstColumn="0" w:lastColumn="0" w:oddVBand="0" w:evenVBand="0" w:oddHBand="0" w:evenHBand="0" w:firstRowFirstColumn="0" w:firstRowLastColumn="0" w:lastRowFirstColumn="0" w:lastRowLastColumn="0"/>
            </w:pPr>
            <w:r>
              <w:t>True / False</w:t>
            </w:r>
          </w:p>
        </w:tc>
      </w:tr>
      <w:tr w:rsidR="00054F6D" w:rsidRPr="00160EDD" w14:paraId="4AB9B2E4" w14:textId="77777777" w:rsidTr="005821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003F33F1" w14:textId="05F7712A" w:rsidR="00054F6D" w:rsidRDefault="00054F6D" w:rsidP="00054F6D">
            <w:proofErr w:type="spellStart"/>
            <w:r w:rsidRPr="00054F6D">
              <w:t>hv_diagnosed</w:t>
            </w:r>
            <w:proofErr w:type="spellEnd"/>
          </w:p>
        </w:tc>
        <w:tc>
          <w:tcPr>
            <w:tcW w:w="5679" w:type="dxa"/>
            <w:noWrap/>
          </w:tcPr>
          <w:p w14:paraId="13B85063" w14:textId="10831535" w:rsidR="00054F6D" w:rsidRDefault="00582169" w:rsidP="00054F6D">
            <w:pPr>
              <w:cnfStyle w:val="000000100000" w:firstRow="0" w:lastRow="0" w:firstColumn="0" w:lastColumn="0" w:oddVBand="0" w:evenVBand="0" w:oddHBand="1" w:evenHBand="0" w:firstRowFirstColumn="0" w:firstRowLastColumn="0" w:lastRowFirstColumn="0" w:lastRowLastColumn="0"/>
            </w:pPr>
            <w:r>
              <w:t>K</w:t>
            </w:r>
            <w:r w:rsidR="00054F6D" w:rsidRPr="00054F6D">
              <w:t xml:space="preserve">nows that they are </w:t>
            </w:r>
            <w:r w:rsidR="00BA43EC">
              <w:t>HIV</w:t>
            </w:r>
            <w:r w:rsidR="00054F6D" w:rsidRPr="00054F6D">
              <w:t xml:space="preserve">+: </w:t>
            </w:r>
            <w:proofErr w:type="gramStart"/>
            <w:r w:rsidR="00054F6D" w:rsidRPr="00054F6D">
              <w:t>i.e.</w:t>
            </w:r>
            <w:proofErr w:type="gramEnd"/>
            <w:r w:rsidR="00054F6D" w:rsidRPr="00054F6D">
              <w:t xml:space="preserve"> is </w:t>
            </w:r>
            <w:r w:rsidR="00BA43EC">
              <w:t>HIV</w:t>
            </w:r>
            <w:r w:rsidR="00054F6D" w:rsidRPr="00054F6D">
              <w:t xml:space="preserve">+ and tested as </w:t>
            </w:r>
            <w:r w:rsidR="00BA43EC">
              <w:t>HIV</w:t>
            </w:r>
            <w:r w:rsidR="00054F6D" w:rsidRPr="00054F6D">
              <w:t>+</w:t>
            </w:r>
          </w:p>
        </w:tc>
        <w:tc>
          <w:tcPr>
            <w:tcW w:w="2523" w:type="dxa"/>
            <w:noWrap/>
          </w:tcPr>
          <w:p w14:paraId="20F0A369" w14:textId="1C6DDC02" w:rsidR="00054F6D" w:rsidRDefault="00054F6D" w:rsidP="00054F6D">
            <w:pPr>
              <w:cnfStyle w:val="000000100000" w:firstRow="0" w:lastRow="0" w:firstColumn="0" w:lastColumn="0" w:oddVBand="0" w:evenVBand="0" w:oddHBand="1" w:evenHBand="0" w:firstRowFirstColumn="0" w:firstRowLastColumn="0" w:lastRowFirstColumn="0" w:lastRowLastColumn="0"/>
            </w:pPr>
            <w:r>
              <w:t>True / False</w:t>
            </w:r>
          </w:p>
        </w:tc>
      </w:tr>
      <w:tr w:rsidR="00054F6D" w:rsidRPr="00160EDD" w14:paraId="33B851BB" w14:textId="77777777" w:rsidTr="00582169">
        <w:trPr>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4168A422" w14:textId="66CFF3D1" w:rsidR="00054F6D" w:rsidRDefault="00054F6D" w:rsidP="00054F6D">
            <w:proofErr w:type="spellStart"/>
            <w:r>
              <w:t>hv_number_tests</w:t>
            </w:r>
            <w:proofErr w:type="spellEnd"/>
          </w:p>
        </w:tc>
        <w:tc>
          <w:tcPr>
            <w:tcW w:w="5679" w:type="dxa"/>
            <w:noWrap/>
          </w:tcPr>
          <w:p w14:paraId="666D7A46" w14:textId="7733DEF6" w:rsidR="00054F6D" w:rsidRDefault="00054F6D" w:rsidP="00054F6D">
            <w:pPr>
              <w:cnfStyle w:val="000000000000" w:firstRow="0" w:lastRow="0" w:firstColumn="0" w:lastColumn="0" w:oddVBand="0" w:evenVBand="0" w:oddHBand="0" w:evenHBand="0" w:firstRowFirstColumn="0" w:firstRowLastColumn="0" w:lastRowFirstColumn="0" w:lastRowLastColumn="0"/>
            </w:pPr>
            <w:r>
              <w:t>Number of HIV tests ever administered</w:t>
            </w:r>
          </w:p>
        </w:tc>
        <w:tc>
          <w:tcPr>
            <w:tcW w:w="2523" w:type="dxa"/>
            <w:noWrap/>
          </w:tcPr>
          <w:p w14:paraId="10F8CC0A" w14:textId="1BFD7DCD" w:rsidR="00054F6D" w:rsidRDefault="00054F6D" w:rsidP="00054F6D">
            <w:pPr>
              <w:cnfStyle w:val="000000000000" w:firstRow="0" w:lastRow="0" w:firstColumn="0" w:lastColumn="0" w:oddVBand="0" w:evenVBand="0" w:oddHBand="0" w:evenHBand="0" w:firstRowFirstColumn="0" w:firstRowLastColumn="0" w:lastRowFirstColumn="0" w:lastRowLastColumn="0"/>
            </w:pPr>
            <w:r>
              <w:t>Integer</w:t>
            </w:r>
          </w:p>
        </w:tc>
      </w:tr>
      <w:tr w:rsidR="00054F6D" w:rsidRPr="00160EDD" w14:paraId="52FA022A" w14:textId="77777777" w:rsidTr="005821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33B7F018" w14:textId="571300EC" w:rsidR="00054F6D" w:rsidRDefault="00054F6D" w:rsidP="00054F6D">
            <w:proofErr w:type="spellStart"/>
            <w:r w:rsidRPr="00054F6D">
              <w:t>hv_last_test_date</w:t>
            </w:r>
            <w:proofErr w:type="spellEnd"/>
          </w:p>
        </w:tc>
        <w:tc>
          <w:tcPr>
            <w:tcW w:w="5679" w:type="dxa"/>
            <w:noWrap/>
          </w:tcPr>
          <w:p w14:paraId="32829E70" w14:textId="1C3C53E8" w:rsidR="00054F6D" w:rsidRDefault="00582169" w:rsidP="00054F6D">
            <w:pPr>
              <w:cnfStyle w:val="000000100000" w:firstRow="0" w:lastRow="0" w:firstColumn="0" w:lastColumn="0" w:oddVBand="0" w:evenVBand="0" w:oddHBand="1" w:evenHBand="0" w:firstRowFirstColumn="0" w:firstRowLastColumn="0" w:lastRowFirstColumn="0" w:lastRowLastColumn="0"/>
            </w:pPr>
            <w:r>
              <w:t>D</w:t>
            </w:r>
            <w:r w:rsidR="00054F6D" w:rsidRPr="00054F6D">
              <w:t xml:space="preserve">ate of last </w:t>
            </w:r>
            <w:r w:rsidR="00BA43EC">
              <w:t>HIV</w:t>
            </w:r>
            <w:r w:rsidR="00054F6D" w:rsidRPr="00054F6D">
              <w:t xml:space="preserve"> test</w:t>
            </w:r>
          </w:p>
        </w:tc>
        <w:tc>
          <w:tcPr>
            <w:tcW w:w="2523" w:type="dxa"/>
            <w:noWrap/>
          </w:tcPr>
          <w:p w14:paraId="580500BC" w14:textId="029A7D44" w:rsidR="00054F6D" w:rsidRDefault="00054F6D" w:rsidP="00054F6D">
            <w:pPr>
              <w:cnfStyle w:val="000000100000" w:firstRow="0" w:lastRow="0" w:firstColumn="0" w:lastColumn="0" w:oddVBand="0" w:evenVBand="0" w:oddHBand="1" w:evenHBand="0" w:firstRowFirstColumn="0" w:firstRowLastColumn="0" w:lastRowFirstColumn="0" w:lastRowLastColumn="0"/>
            </w:pPr>
            <w:r>
              <w:t>Date</w:t>
            </w:r>
          </w:p>
        </w:tc>
      </w:tr>
      <w:tr w:rsidR="00054F6D" w:rsidRPr="00160EDD" w14:paraId="7ACADA5D" w14:textId="77777777" w:rsidTr="00582169">
        <w:trPr>
          <w:trHeight w:val="300"/>
        </w:trPr>
        <w:tc>
          <w:tcPr>
            <w:cnfStyle w:val="001000000000" w:firstRow="0" w:lastRow="0" w:firstColumn="1" w:lastColumn="0" w:oddVBand="0" w:evenVBand="0" w:oddHBand="0" w:evenHBand="0" w:firstRowFirstColumn="0" w:firstRowLastColumn="0" w:lastRowFirstColumn="0" w:lastRowLastColumn="0"/>
            <w:tcW w:w="2254" w:type="dxa"/>
            <w:noWrap/>
          </w:tcPr>
          <w:p w14:paraId="188AACED" w14:textId="7247A498" w:rsidR="00054F6D" w:rsidRDefault="00054F6D" w:rsidP="00054F6D">
            <w:proofErr w:type="spellStart"/>
            <w:r w:rsidRPr="00054F6D">
              <w:t>hv_date_inf</w:t>
            </w:r>
            <w:proofErr w:type="spellEnd"/>
          </w:p>
        </w:tc>
        <w:tc>
          <w:tcPr>
            <w:tcW w:w="5679" w:type="dxa"/>
            <w:noWrap/>
          </w:tcPr>
          <w:p w14:paraId="1B18C974" w14:textId="1C71C98B" w:rsidR="00054F6D" w:rsidRDefault="00054F6D" w:rsidP="00054F6D">
            <w:pPr>
              <w:cnfStyle w:val="000000000000" w:firstRow="0" w:lastRow="0" w:firstColumn="0" w:lastColumn="0" w:oddVBand="0" w:evenVBand="0" w:oddHBand="0" w:evenHBand="0" w:firstRowFirstColumn="0" w:firstRowLastColumn="0" w:lastRowFirstColumn="0" w:lastRowLastColumn="0"/>
            </w:pPr>
            <w:r w:rsidRPr="00054F6D">
              <w:t xml:space="preserve">Date infected with </w:t>
            </w:r>
            <w:r w:rsidR="00BA43EC">
              <w:t>HIV</w:t>
            </w:r>
          </w:p>
        </w:tc>
        <w:tc>
          <w:tcPr>
            <w:tcW w:w="2523" w:type="dxa"/>
            <w:noWrap/>
          </w:tcPr>
          <w:p w14:paraId="20F53A50" w14:textId="092F872C" w:rsidR="00054F6D" w:rsidRDefault="00054F6D" w:rsidP="00054F6D">
            <w:pPr>
              <w:cnfStyle w:val="000000000000" w:firstRow="0" w:lastRow="0" w:firstColumn="0" w:lastColumn="0" w:oddVBand="0" w:evenVBand="0" w:oddHBand="0" w:evenHBand="0" w:firstRowFirstColumn="0" w:firstRowLastColumn="0" w:lastRowFirstColumn="0" w:lastRowLastColumn="0"/>
            </w:pPr>
            <w:r>
              <w:t>Date</w:t>
            </w:r>
          </w:p>
        </w:tc>
      </w:tr>
    </w:tbl>
    <w:p w14:paraId="514F0F3E" w14:textId="3AEA13CE" w:rsidR="00ED54E3" w:rsidRDefault="00ED54E3" w:rsidP="00ED54E3"/>
    <w:p w14:paraId="5980361E" w14:textId="507E5AAB" w:rsidR="00281D0C" w:rsidRDefault="00281D0C" w:rsidP="00396618">
      <w:pPr>
        <w:pStyle w:val="Heading3"/>
      </w:pPr>
      <w:r>
        <w:t>Initialising the simulation</w:t>
      </w:r>
    </w:p>
    <w:p w14:paraId="509184FC" w14:textId="6BACD4C1" w:rsidR="00281D0C" w:rsidRPr="00336707" w:rsidRDefault="00281D0C" w:rsidP="00A24100">
      <w:pPr>
        <w:pStyle w:val="Subtitle"/>
        <w:spacing w:after="0"/>
        <w:rPr>
          <w:rStyle w:val="SubtleEmphasis"/>
        </w:rPr>
      </w:pPr>
      <w:r>
        <w:rPr>
          <w:rStyle w:val="SubtleEmphasis"/>
        </w:rPr>
        <w:t>Baseline prevalence</w:t>
      </w:r>
    </w:p>
    <w:p w14:paraId="7DA442B4" w14:textId="3AFA3627" w:rsidR="00BA43EC" w:rsidRDefault="00396618" w:rsidP="00582FDB">
      <w:pPr>
        <w:spacing w:after="0"/>
      </w:pPr>
      <w:r>
        <w:t xml:space="preserve">The prevalence of HIV in adults and children (under 15 years) in 2010 </w:t>
      </w:r>
      <w:r w:rsidR="00282F0D">
        <w:t>is</w:t>
      </w:r>
      <w:r>
        <w:t xml:space="preserve"> taken from the Spectrum</w:t>
      </w:r>
      <w:r w:rsidR="009F00B3">
        <w:t>/EPP</w:t>
      </w:r>
      <w:r>
        <w:t xml:space="preserve"> projections. The estimated </w:t>
      </w:r>
      <w:r w:rsidR="009F00B3">
        <w:t xml:space="preserve">overall </w:t>
      </w:r>
      <w:r>
        <w:t xml:space="preserve">prevalence of HIV in children under 14 years of age in 2010 was 2.1% and the age distribution of prevalent infections is shown </w:t>
      </w:r>
      <w:r w:rsidRPr="00E86EC2">
        <w:t>below</w:t>
      </w:r>
      <w:r w:rsidR="0046244F" w:rsidRPr="00E86EC2">
        <w:t xml:space="preserve"> (Figure </w:t>
      </w:r>
      <w:r w:rsidR="00E86EC2" w:rsidRPr="00E86EC2">
        <w:t>1</w:t>
      </w:r>
      <w:proofErr w:type="gramStart"/>
      <w:r w:rsidR="0046244F" w:rsidRPr="00E86EC2">
        <w:t>)</w:t>
      </w:r>
      <w:r w:rsidRPr="00E86EC2">
        <w:t>.[</w:t>
      </w:r>
      <w:proofErr w:type="gramEnd"/>
      <w:r>
        <w:t xml:space="preserve">Source: Spectrum projections 2017_version_5] </w:t>
      </w:r>
      <w:r w:rsidR="0046244F">
        <w:t>We assume that there are</w:t>
      </w:r>
      <w:r>
        <w:t xml:space="preserve"> no differences in the distribution of infections </w:t>
      </w:r>
      <w:r w:rsidR="00201333">
        <w:t xml:space="preserve">in children </w:t>
      </w:r>
      <w:r>
        <w:t>by sex.</w:t>
      </w:r>
      <w:r w:rsidR="00582FDB">
        <w:t xml:space="preserve"> </w:t>
      </w:r>
      <w:r w:rsidR="009F00B3">
        <w:t xml:space="preserve">HIV infections in the baseline population </w:t>
      </w:r>
      <w:r w:rsidR="0046244F">
        <w:t>are</w:t>
      </w:r>
      <w:r>
        <w:t xml:space="preserve"> distributed according to their relative risk of infection, determined using a logistic regression</w:t>
      </w:r>
      <w:r w:rsidR="00201333">
        <w:t xml:space="preserve"> of Malawi DHS data</w:t>
      </w:r>
      <w:r>
        <w:t xml:space="preserve"> which examined </w:t>
      </w:r>
      <w:proofErr w:type="gramStart"/>
      <w:r>
        <w:t>a number of</w:t>
      </w:r>
      <w:proofErr w:type="gramEnd"/>
      <w:r>
        <w:t xml:space="preserve"> demographic characteristics such as education</w:t>
      </w:r>
      <w:r w:rsidR="00582FDB">
        <w:t>,</w:t>
      </w:r>
      <w:r>
        <w:t xml:space="preserve"> wealth</w:t>
      </w:r>
      <w:r w:rsidR="00582FDB">
        <w:t xml:space="preserve"> and risk behaviour</w:t>
      </w:r>
      <w:r>
        <w:t xml:space="preserve"> and their influence on the </w:t>
      </w:r>
      <w:r w:rsidR="00201333">
        <w:t>risk</w:t>
      </w:r>
      <w:r>
        <w:t xml:space="preserve"> of HIV infection</w:t>
      </w:r>
      <w:r w:rsidR="00201333">
        <w:t xml:space="preserve"> (</w:t>
      </w:r>
      <w:r w:rsidR="00201333" w:rsidRPr="00E86EC2">
        <w:t xml:space="preserve">see Table </w:t>
      </w:r>
      <w:r w:rsidR="00E86EC2" w:rsidRPr="00E86EC2">
        <w:t>2</w:t>
      </w:r>
      <w:r w:rsidR="00201333" w:rsidRPr="00E86EC2">
        <w:t>)</w:t>
      </w:r>
      <w:r w:rsidRPr="00E86EC2">
        <w:t>.</w:t>
      </w:r>
      <w:r>
        <w:t xml:space="preserve"> </w:t>
      </w:r>
      <w:r w:rsidR="00BA43EC" w:rsidRPr="00281D0C">
        <w:t xml:space="preserve">We infer the </w:t>
      </w:r>
      <w:r w:rsidRPr="00281D0C">
        <w:t xml:space="preserve">length of time infected for the baseline population </w:t>
      </w:r>
      <w:r w:rsidR="009F7807" w:rsidRPr="00281D0C">
        <w:t xml:space="preserve">using the projections from the </w:t>
      </w:r>
      <w:r w:rsidR="009F7807" w:rsidRPr="00281D0C">
        <w:lastRenderedPageBreak/>
        <w:t>Spectrum model</w:t>
      </w:r>
      <w:r w:rsidR="00BA43EC" w:rsidRPr="00281D0C">
        <w:t xml:space="preserve"> to build up a representative population of HIV-infected individuals experiencing varying stages of disease.</w:t>
      </w:r>
      <w:r w:rsidR="00BA43EC">
        <w:t xml:space="preserve"> </w:t>
      </w:r>
      <w:r w:rsidR="00582FDB">
        <w:t xml:space="preserve">Infection dates are constrained to occur on or after the date of birth. </w:t>
      </w:r>
    </w:p>
    <w:p w14:paraId="2BFC39FB" w14:textId="77777777" w:rsidR="00FE5FD1" w:rsidRDefault="00FE5FD1" w:rsidP="00582FDB">
      <w:pPr>
        <w:spacing w:after="0"/>
      </w:pPr>
    </w:p>
    <w:p w14:paraId="28D15E90" w14:textId="49E5E425" w:rsidR="00281D0C" w:rsidRPr="00336707" w:rsidRDefault="00281D0C" w:rsidP="00A24100">
      <w:pPr>
        <w:pStyle w:val="Subtitle"/>
        <w:spacing w:after="0"/>
        <w:rPr>
          <w:rStyle w:val="SubtleEmphasis"/>
        </w:rPr>
      </w:pPr>
      <w:r>
        <w:rPr>
          <w:rStyle w:val="SubtleEmphasis"/>
        </w:rPr>
        <w:t>Baseline</w:t>
      </w:r>
      <w:r w:rsidR="0046244F">
        <w:rPr>
          <w:rStyle w:val="SubtleEmphasis"/>
        </w:rPr>
        <w:t xml:space="preserve"> testing and</w:t>
      </w:r>
      <w:r>
        <w:rPr>
          <w:rStyle w:val="SubtleEmphasis"/>
        </w:rPr>
        <w:t xml:space="preserve"> ART coverage</w:t>
      </w:r>
    </w:p>
    <w:p w14:paraId="5B3E20D0" w14:textId="2EF75524" w:rsidR="00281D0C" w:rsidRDefault="00281D0C" w:rsidP="00A24100">
      <w:pPr>
        <w:spacing w:after="0"/>
      </w:pPr>
      <w:r>
        <w:t xml:space="preserve">The proportion of HIV-infected individuals on ART </w:t>
      </w:r>
      <w:r w:rsidR="00282F0D">
        <w:t xml:space="preserve">in 2010 </w:t>
      </w:r>
      <w:r>
        <w:t>is estimated using the Spectrum/EPP outputs. Each HIV-infected individual is assigned a probability of being on treatment in 2010</w:t>
      </w:r>
      <w:r w:rsidR="0046244F">
        <w:t xml:space="preserve"> based on their age and sex, then</w:t>
      </w:r>
      <w:r>
        <w:t xml:space="preserve"> random draws determine which individuals are assigned ART. Once on ART, a second random draw determines the likelihood that an individual on ART at that time will be virally suppressed using the</w:t>
      </w:r>
      <w:r w:rsidR="00BC485A">
        <w:t xml:space="preserve"> estimates reported in the</w:t>
      </w:r>
      <w:r>
        <w:t xml:space="preserve"> 2015-2016 MPHIA </w:t>
      </w:r>
      <w:r w:rsidR="00BC485A">
        <w:t>survey</w:t>
      </w:r>
      <w:r>
        <w:t xml:space="preserve">. </w:t>
      </w:r>
    </w:p>
    <w:p w14:paraId="06E5ED57" w14:textId="7736E8A7" w:rsidR="0046244F" w:rsidRDefault="0046244F" w:rsidP="00281D0C">
      <w:r>
        <w:t xml:space="preserve">All persons who are assigned ART are assumed to have had one HIV test. </w:t>
      </w:r>
      <w:r w:rsidR="001E7D27">
        <w:t xml:space="preserve">HIV </w:t>
      </w:r>
      <w:r w:rsidR="001E7D27" w:rsidRPr="00C46720">
        <w:t>testing coverage</w:t>
      </w:r>
      <w:r w:rsidR="001E7D27">
        <w:t xml:space="preserve"> (definition: ever tested and received results) by 2010 was reported to be 71.6% in women aged 15-49 and 50.9% in men aged 15-54.</w:t>
      </w:r>
      <w:r w:rsidR="001E7D27">
        <w:fldChar w:fldCharType="begin"/>
      </w:r>
      <w:r w:rsidR="001E7D27">
        <w:instrText xml:space="preserve"> ADDIN EN.CITE &lt;EndNote&gt;&lt;Cite&gt;&lt;Author&gt;National Statistical Office (NSO) [Malawi]&lt;/Author&gt;&lt;Year&gt;2011&lt;/Year&gt;&lt;RecNum&gt;18&lt;/RecNum&gt;&lt;DisplayText&gt;(National Statistical Office (NSO) [Malawi] 2011)&lt;/DisplayText&gt;&lt;record&gt;&lt;rec-number&gt;18&lt;/rec-number&gt;&lt;foreign-keys&gt;&lt;key app="EN" db-id="fdxddfzvgd2s5def22lpt2vlxvrw59fw92zw" timestamp="1611831216"&gt;18&lt;/key&gt;&lt;/foreign-keys&gt;&lt;ref-type name="Report"&gt;27&lt;/ref-type&gt;&lt;contributors&gt;&lt;authors&gt;&lt;author&gt;National Statistical Office (NSO) [Malawi], ICF Macro,&lt;/author&gt;&lt;/authors&gt;&lt;/contributors&gt;&lt;titles&gt;&lt;title&gt;Malawi Demographic and Health Survey 2010&lt;/title&gt;&lt;/titles&gt;&lt;dates&gt;&lt;year&gt;2011&lt;/year&gt;&lt;/dates&gt;&lt;pub-location&gt; Zomba, Malawi, and Calverton, Maryland, USA&lt;/pub-location&gt;&lt;urls&gt;&lt;related-urls&gt;&lt;url&gt;https://dhsprogram.com/pubs/pdf/fr247/fr247.pdf&lt;/url&gt;&lt;/related-urls&gt;&lt;/urls&gt;&lt;/record&gt;&lt;/Cite&gt;&lt;/EndNote&gt;</w:instrText>
      </w:r>
      <w:r w:rsidR="001E7D27">
        <w:fldChar w:fldCharType="separate"/>
      </w:r>
      <w:r w:rsidR="001E7D27">
        <w:rPr>
          <w:noProof/>
        </w:rPr>
        <w:t>(National Statistical Office (NSO) [Malawi] 2011)</w:t>
      </w:r>
      <w:r w:rsidR="001E7D27">
        <w:fldChar w:fldCharType="end"/>
      </w:r>
      <w:r w:rsidR="001E7D27">
        <w:t xml:space="preserve"> </w:t>
      </w:r>
      <w:r>
        <w:t xml:space="preserve">We use the </w:t>
      </w:r>
      <w:r w:rsidR="00BC485A">
        <w:t xml:space="preserve">2010 </w:t>
      </w:r>
      <w:r>
        <w:t>HIV testing coverage levels to assign any remaining HIV tests to the rest of the population</w:t>
      </w:r>
      <w:r w:rsidR="00BC485A">
        <w:t xml:space="preserve">, sampling amongst adults (both infected and non-infected) aged 15 years or over and assigning dummy dates for the date of last test. </w:t>
      </w:r>
      <w:r w:rsidR="001E7D27">
        <w:t>Testing rates in children are not widely reported and so we assume all those not currently on treatment have also not been tested.</w:t>
      </w:r>
    </w:p>
    <w:p w14:paraId="710B206B" w14:textId="15AE98CB" w:rsidR="001E7D27" w:rsidRPr="00336707" w:rsidRDefault="001E7D27" w:rsidP="00A24100">
      <w:pPr>
        <w:pStyle w:val="Subtitle"/>
        <w:spacing w:after="0"/>
        <w:rPr>
          <w:rStyle w:val="SubtleEmphasis"/>
        </w:rPr>
      </w:pPr>
      <w:r>
        <w:rPr>
          <w:rStyle w:val="SubtleEmphasis"/>
        </w:rPr>
        <w:t>Baseline mortality projections</w:t>
      </w:r>
    </w:p>
    <w:p w14:paraId="7A2792F8" w14:textId="7199084F" w:rsidR="00281D0C" w:rsidRDefault="00BC485A" w:rsidP="00A24100">
      <w:pPr>
        <w:spacing w:after="0"/>
      </w:pPr>
      <w:r>
        <w:t>Any individuals who have been infected for at least 10 years and are not currently on ART are classified as having AIDS and a projected date of death due to AIDS is scheduled. Those infected for less than 10 years and not currently on ART will have their AIDS onset date scheduled according to the mean time between infection and AIDS onset. Any individuals on ART</w:t>
      </w:r>
      <w:r w:rsidR="00A05EF4">
        <w:t xml:space="preserve"> (either virally suppressed or unsuppressed) will have no further events (AIDS or death) scheduled at this point. </w:t>
      </w:r>
    </w:p>
    <w:p w14:paraId="636D7D81" w14:textId="7A749C0B" w:rsidR="00BA43EC" w:rsidRDefault="00BA43EC" w:rsidP="00396618"/>
    <w:p w14:paraId="3FB1D542" w14:textId="77777777" w:rsidR="00BC485A" w:rsidRDefault="00BC485A" w:rsidP="00396618"/>
    <w:p w14:paraId="0A06831F" w14:textId="34FB3FAA" w:rsidR="00282F0D" w:rsidRDefault="009C3E03" w:rsidP="00396618">
      <w:r>
        <w:rPr>
          <w:noProof/>
          <w:lang w:eastAsia="en-GB"/>
        </w:rPr>
        <w:drawing>
          <wp:inline distT="0" distB="0" distL="0" distR="0" wp14:anchorId="25C62943" wp14:editId="3E29B446">
            <wp:extent cx="6000750" cy="24098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DE05DF" w14:textId="6B87084E" w:rsidR="00282F0D" w:rsidRDefault="00282F0D" w:rsidP="00396618">
      <w:r w:rsidRPr="00E86EC2">
        <w:t xml:space="preserve">Figure </w:t>
      </w:r>
      <w:r w:rsidR="00E86EC2" w:rsidRPr="00E86EC2">
        <w:t>1</w:t>
      </w:r>
      <w:r w:rsidRPr="00E86EC2">
        <w:t>. Age distribution of prevalence HIV infections in children in 2010.</w:t>
      </w:r>
    </w:p>
    <w:p w14:paraId="55E2DDAA" w14:textId="7B5EA5CF" w:rsidR="00282F0D" w:rsidRDefault="00282F0D" w:rsidP="00396618"/>
    <w:p w14:paraId="790BFB58" w14:textId="77777777" w:rsidR="00282F0D" w:rsidRDefault="00282F0D" w:rsidP="00396618"/>
    <w:p w14:paraId="1CDE5490" w14:textId="0CF4634E" w:rsidR="00336707" w:rsidRPr="001325AF" w:rsidRDefault="00336707" w:rsidP="00336707">
      <w:pPr>
        <w:pStyle w:val="Heading3"/>
      </w:pPr>
      <w:r w:rsidRPr="001325AF">
        <w:t>Incidence of</w:t>
      </w:r>
      <w:r>
        <w:t xml:space="preserve"> HIV infection </w:t>
      </w:r>
      <w:r w:rsidRPr="001325AF">
        <w:t xml:space="preserve"> </w:t>
      </w:r>
    </w:p>
    <w:p w14:paraId="09E05626" w14:textId="77777777" w:rsidR="00336707" w:rsidRPr="00336707" w:rsidRDefault="00336707" w:rsidP="00A24100">
      <w:pPr>
        <w:pStyle w:val="Subtitle"/>
        <w:spacing w:after="0"/>
        <w:rPr>
          <w:rStyle w:val="SubtleEmphasis"/>
        </w:rPr>
      </w:pPr>
      <w:r w:rsidRPr="00336707">
        <w:rPr>
          <w:rStyle w:val="SubtleEmphasis"/>
        </w:rPr>
        <w:t>Mother-to-child transmission</w:t>
      </w:r>
    </w:p>
    <w:p w14:paraId="1E0A8A05" w14:textId="0AA65A1A" w:rsidR="00EE2BFE" w:rsidRDefault="00EE2BFE" w:rsidP="00A24100">
      <w:pPr>
        <w:spacing w:after="0"/>
      </w:pPr>
      <w:r>
        <w:t>New infections occurring in those aged &lt;15 years can only occur through mother-to-child transmission</w:t>
      </w:r>
      <w:r w:rsidR="00E86EC2">
        <w:t xml:space="preserve"> (Figure 2)</w:t>
      </w:r>
      <w:r>
        <w:t>. The probability of transmission from a mother with HIV to an infant is divided into two distinct risk periods: gestational/delivery and breastfeeding. The risk of HIV acquisition in infants during pregnancy or delivery is dependent on the timing of infection in the mother. Infections occurring in the mother during pregnancy will carry a higher risk of mother-to-child transmission than infections which have occurred prior to pregnancy</w:t>
      </w:r>
      <w:r w:rsidR="001C4CF8">
        <w:t xml:space="preserve"> (probability=0.3 if mother is infected during pregnancy, 0.22 if infected prior)</w:t>
      </w:r>
      <w:r>
        <w:t>.</w:t>
      </w:r>
      <w:r w:rsidR="00D9397C">
        <w:fldChar w:fldCharType="begin"/>
      </w:r>
      <w:r w:rsidR="00EA606E">
        <w:instrText xml:space="preserve"> ADDIN EN.CITE &lt;EndNote&gt;&lt;Cite&gt;&lt;Author&gt;Rollins&lt;/Author&gt;&lt;Year&gt;2012&lt;/Year&gt;&lt;RecNum&gt;1&lt;/RecNum&gt;&lt;DisplayText&gt;(Rollins, Mahy et al. 2012)&lt;/DisplayText&gt;&lt;record&gt;&lt;rec-number&gt;1&lt;/rec-number&gt;&lt;foreign-keys&gt;&lt;key app="EN" db-id="fdxddfzvgd2s5def22lpt2vlxvrw59fw92zw" timestamp="1611831202"&gt;1&lt;/key&gt;&lt;/foreign-keys&gt;&lt;ref-type name="Journal Article"&gt;17&lt;/ref-type&gt;&lt;contributors&gt;&lt;authors&gt;&lt;author&gt;Rollins, Nigel&lt;/author&gt;&lt;author&gt;Mahy, Mary&lt;/author&gt;&lt;author&gt;Becquet, Renaud&lt;/author&gt;&lt;author&gt;Kuhn, Louise&lt;/author&gt;&lt;author&gt;Creek, Tracy&lt;/author&gt;&lt;author&gt;Mofenson, Lynne&lt;/author&gt;&lt;/authors&gt;&lt;/contributors&gt;&lt;titles&gt;&lt;title&gt;Estimates of peripartum and postnatal mother-to-child transmission probabilities of HIV for use in Spectrum and other population-based models&lt;/title&gt;&lt;secondary-title&gt;Sexually Transmitted Infections&lt;/secondary-title&gt;&lt;/titles&gt;&lt;periodical&gt;&lt;full-title&gt;Sexually Transmitted Infections&lt;/full-title&gt;&lt;/periodical&gt;&lt;pages&gt;i44-i51&lt;/pages&gt;&lt;volume&gt;88&lt;/volume&gt;&lt;number&gt;Suppl 2&lt;/number&gt;&lt;dates&gt;&lt;year&gt;2012&lt;/year&gt;&lt;/dates&gt;&lt;urls&gt;&lt;related-urls&gt;&lt;url&gt;https://sti.bmj.com/content/sextrans/88/Suppl_2/i44.full.pdf&lt;/url&gt;&lt;/related-urls&gt;&lt;/urls&gt;&lt;electronic-resource-num&gt;10.1136/sextrans-2012-050709&lt;/electronic-resource-num&gt;&lt;/record&gt;&lt;/Cite&gt;&lt;/EndNote&gt;</w:instrText>
      </w:r>
      <w:r w:rsidR="00D9397C">
        <w:fldChar w:fldCharType="separate"/>
      </w:r>
      <w:r w:rsidR="00D9397C">
        <w:rPr>
          <w:noProof/>
        </w:rPr>
        <w:t>(Rollins, Mahy et al. 2012)</w:t>
      </w:r>
      <w:r w:rsidR="00D9397C">
        <w:fldChar w:fldCharType="end"/>
      </w:r>
      <w:r>
        <w:t xml:space="preserve"> If the infant is not infected during pregnancy or delivery and is being breastfed, they will be exposed to a risk of HIV infection through breastfeeding</w:t>
      </w:r>
      <w:r w:rsidR="000B67EB">
        <w:t>. The time to infection through breastfeeding is calculated using a random draw from an exponential distribution with rate parameter equal to 1/monthly probability of mother-to-child transmission</w:t>
      </w:r>
      <w:r w:rsidR="001C4CF8">
        <w:t xml:space="preserve"> (monthly probability=0.01)</w:t>
      </w:r>
      <w:r w:rsidR="000B67EB">
        <w:t xml:space="preserve"> through breastfeeding.</w:t>
      </w:r>
      <w:r w:rsidR="00D9397C">
        <w:t xml:space="preserve"> </w:t>
      </w:r>
      <w:r w:rsidR="000B67EB">
        <w:t xml:space="preserve">If breastfeeding has ceased by the time the infection event is scheduled to occur, the child will remain HIV-negative. </w:t>
      </w:r>
    </w:p>
    <w:p w14:paraId="2ADB477A" w14:textId="77777777" w:rsidR="00582FDB" w:rsidRDefault="00582FDB" w:rsidP="00A24100">
      <w:pPr>
        <w:spacing w:after="0"/>
      </w:pPr>
    </w:p>
    <w:p w14:paraId="430FA617" w14:textId="16FB10A1" w:rsidR="00EE2BFE" w:rsidRDefault="000B67EB" w:rsidP="00EE2BFE">
      <w:r>
        <w:lastRenderedPageBreak/>
        <w:t>If the mother is on ART and is virally suppressed, there will be no risk of vertical transmission.</w:t>
      </w:r>
      <w:r w:rsidR="00D9397C">
        <w:t xml:space="preserve"> </w:t>
      </w:r>
      <w:r w:rsidR="00A82B3F">
        <w:t xml:space="preserve">Infants of mothers that are on ART but not virally suppressed will be susceptible to the same risks as if the mother is untreated. </w:t>
      </w:r>
      <w:r w:rsidR="00B05F8C">
        <w:t xml:space="preserve">We assume that if mothers are on ART and adherent (virally suppressed), the infant will also receive AZT or NVP until one week after breastfeeding </w:t>
      </w:r>
      <w:r w:rsidR="008B0A05">
        <w:t>cessation</w:t>
      </w:r>
      <w:r w:rsidR="00B05F8C">
        <w:t>.</w:t>
      </w:r>
    </w:p>
    <w:p w14:paraId="6D8C412F" w14:textId="77777777" w:rsidR="00286E28" w:rsidRDefault="00286E28" w:rsidP="00EE2BFE"/>
    <w:p w14:paraId="33A211AB" w14:textId="6C4D5394" w:rsidR="00EE2BFE" w:rsidRDefault="00EE2BFE" w:rsidP="00EE2BFE">
      <w:r>
        <w:rPr>
          <w:noProof/>
          <w:lang w:eastAsia="en-GB"/>
        </w:rPr>
        <w:drawing>
          <wp:inline distT="0" distB="0" distL="0" distR="0" wp14:anchorId="6B8CA2C3" wp14:editId="0D4D0449">
            <wp:extent cx="2801118" cy="3206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TCT_HI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1118" cy="3206503"/>
                    </a:xfrm>
                    <a:prstGeom prst="rect">
                      <a:avLst/>
                    </a:prstGeom>
                  </pic:spPr>
                </pic:pic>
              </a:graphicData>
            </a:graphic>
          </wp:inline>
        </w:drawing>
      </w:r>
    </w:p>
    <w:p w14:paraId="4D60FD32" w14:textId="58E52C0E" w:rsidR="00336707" w:rsidRDefault="00286E28" w:rsidP="00ED54E3">
      <w:r w:rsidRPr="00E86EC2">
        <w:t xml:space="preserve">Figure </w:t>
      </w:r>
      <w:r w:rsidR="00E86EC2" w:rsidRPr="00E86EC2">
        <w:t>2</w:t>
      </w:r>
      <w:r w:rsidRPr="00E86EC2">
        <w:t>. Flow</w:t>
      </w:r>
      <w:r w:rsidRPr="00286E28">
        <w:t xml:space="preserve"> diagram showing the risks of mother-to-child transmission applied at birth to infants of mothers with HIV</w:t>
      </w:r>
      <w:r>
        <w:t>.</w:t>
      </w:r>
    </w:p>
    <w:p w14:paraId="2A3FBD30" w14:textId="6A49A656" w:rsidR="00286E28" w:rsidRDefault="00286E28" w:rsidP="00ED54E3"/>
    <w:p w14:paraId="0387F347" w14:textId="77777777" w:rsidR="00286E28" w:rsidRDefault="00286E28" w:rsidP="00ED54E3"/>
    <w:p w14:paraId="62A046B3" w14:textId="180A9F32" w:rsidR="00336707" w:rsidRDefault="00336707" w:rsidP="00A24100">
      <w:pPr>
        <w:pStyle w:val="Subtitle"/>
        <w:spacing w:after="0"/>
        <w:rPr>
          <w:rStyle w:val="SubtleEmphasis"/>
        </w:rPr>
      </w:pPr>
      <w:r w:rsidRPr="00336707">
        <w:rPr>
          <w:rStyle w:val="SubtleEmphasis"/>
        </w:rPr>
        <w:t>Transmission in adults</w:t>
      </w:r>
    </w:p>
    <w:p w14:paraId="025B7D87" w14:textId="07D9AC25" w:rsidR="00AC566D" w:rsidRDefault="004C14A3" w:rsidP="00A24100">
      <w:pPr>
        <w:spacing w:after="0"/>
      </w:pPr>
      <w:r>
        <w:t xml:space="preserve">The HIV polling event runs each year and schedules </w:t>
      </w:r>
      <w:r w:rsidR="008B0A05">
        <w:t>people</w:t>
      </w:r>
      <w:r>
        <w:t xml:space="preserve"> becoming newly infected through horizontal transmission. The onset dates for all newly infected </w:t>
      </w:r>
      <w:r w:rsidR="008B0A05">
        <w:t>people</w:t>
      </w:r>
      <w:r>
        <w:t xml:space="preserve"> are randomly distributed across the year. The probability that a susceptible person</w:t>
      </w:r>
      <w:r w:rsidR="00091159">
        <w:t xml:space="preserve"> (</w:t>
      </w:r>
      <w:r w:rsidR="00091159" w:rsidRPr="00091159">
        <w:rPr>
          <w:i/>
          <w:iCs/>
        </w:rPr>
        <w:t>i</w:t>
      </w:r>
      <w:r w:rsidR="00091159">
        <w:t>)</w:t>
      </w:r>
      <w:r>
        <w:t xml:space="preserve"> will become infected</w:t>
      </w:r>
      <w:r w:rsidR="00091159">
        <w:t xml:space="preserve"> is scaled by the individual relative risk of infection</w:t>
      </w:r>
      <w:r w:rsidR="00AC566D">
        <w:t xml:space="preserve">: </w:t>
      </w:r>
    </w:p>
    <w:p w14:paraId="7B37E9BC" w14:textId="2D0CF724" w:rsidR="00091159" w:rsidRDefault="007967AD" w:rsidP="00336707">
      <m:oMathPara>
        <m:oMath>
          <m:sSub>
            <m:sSubPr>
              <m:ctrlPr>
                <w:rPr>
                  <w:rFonts w:ascii="Cambria Math" w:hAnsi="Cambria Math"/>
                  <w:i/>
                </w:rPr>
              </m:ctrlPr>
            </m:sSubPr>
            <m:e>
              <m:r>
                <w:rPr>
                  <w:rFonts w:ascii="Cambria Math" w:hAnsi="Cambria Math"/>
                </w:rPr>
                <m:t>p_inf</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βI</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i</m:t>
              </m:r>
            </m:sub>
          </m:sSub>
        </m:oMath>
      </m:oMathPara>
    </w:p>
    <w:p w14:paraId="5D0083C2" w14:textId="28C2F452" w:rsidR="004C14A3" w:rsidRDefault="00AC566D" w:rsidP="00336707">
      <w:r>
        <w:t>Where the transmission probability (</w:t>
      </w:r>
      <w:r w:rsidRPr="00AC566D">
        <w:rPr>
          <w:rFonts w:cstheme="minorHAnsi"/>
          <w:i/>
          <w:iCs/>
        </w:rPr>
        <w:t>β</w:t>
      </w:r>
      <w:r>
        <w:t>) is calibrated to HIV surveillance data</w:t>
      </w:r>
      <w:r w:rsidR="00582FDB">
        <w:t xml:space="preserve"> and</w:t>
      </w:r>
      <w:r>
        <w:t xml:space="preserve"> the number of infected individuals (</w:t>
      </w:r>
      <w:r w:rsidRPr="00BA3D88">
        <w:rPr>
          <w:i/>
          <w:iCs/>
        </w:rPr>
        <w:t>I</w:t>
      </w:r>
      <w:r>
        <w:t xml:space="preserve">) includes all those currently infected and not on ART </w:t>
      </w:r>
      <w:r w:rsidR="00582FDB">
        <w:t>and those on</w:t>
      </w:r>
      <w:r w:rsidR="00AE2FFB">
        <w:t xml:space="preserve"> ART but not </w:t>
      </w:r>
      <w:r>
        <w:t>virally suppressed</w:t>
      </w:r>
      <w:r w:rsidR="00582FDB">
        <w:t>. The</w:t>
      </w:r>
      <w:r>
        <w:t xml:space="preserve"> total number (</w:t>
      </w:r>
      <w:r w:rsidRPr="003819CE">
        <w:rPr>
          <w:i/>
          <w:iCs/>
        </w:rPr>
        <w:t>N</w:t>
      </w:r>
      <w:r>
        <w:t xml:space="preserve">) is the sum of the infectious and susceptible populations. The </w:t>
      </w:r>
      <w:r w:rsidR="00AE2FFB">
        <w:t xml:space="preserve">individual </w:t>
      </w:r>
      <w:r>
        <w:t>relativ</w:t>
      </w:r>
      <w:r w:rsidR="00AE2FFB">
        <w:t>e risk of acquisition (</w:t>
      </w:r>
      <w:proofErr w:type="spellStart"/>
      <w:r w:rsidR="00AE2FFB" w:rsidRPr="00AE2FFB">
        <w:rPr>
          <w:i/>
          <w:iCs/>
        </w:rPr>
        <w:t>RR</w:t>
      </w:r>
      <w:r w:rsidR="00AE2FFB" w:rsidRPr="00AE2FFB">
        <w:rPr>
          <w:i/>
          <w:iCs/>
          <w:vertAlign w:val="subscript"/>
        </w:rPr>
        <w:t>i</w:t>
      </w:r>
      <w:proofErr w:type="spellEnd"/>
      <w:r w:rsidR="00AE2FFB">
        <w:t>) is based on demographic properties, such as age, sex, wealth index</w:t>
      </w:r>
      <w:r w:rsidR="00C10095">
        <w:t xml:space="preserve"> and</w:t>
      </w:r>
      <w:r w:rsidR="00AE2FFB">
        <w:t xml:space="preserve"> education </w:t>
      </w:r>
      <w:r w:rsidR="00C10095">
        <w:t>along with</w:t>
      </w:r>
      <w:r w:rsidR="00AE2FFB">
        <w:t xml:space="preserve"> behavioural characteristics such as female sex work</w:t>
      </w:r>
      <w:r w:rsidR="003819CE">
        <w:t>,</w:t>
      </w:r>
      <w:r w:rsidR="00AE2FFB">
        <w:t xml:space="preserve"> exposure to behaviour change counselling</w:t>
      </w:r>
      <w:r w:rsidR="003819CE">
        <w:t xml:space="preserve"> and pre-exposure prophylaxis (</w:t>
      </w:r>
      <w:proofErr w:type="spellStart"/>
      <w:r w:rsidR="003819CE">
        <w:t>PrEP</w:t>
      </w:r>
      <w:proofErr w:type="spellEnd"/>
      <w:r w:rsidR="003819CE">
        <w:t>)</w:t>
      </w:r>
      <w:r w:rsidR="00AE2FFB">
        <w:t>. The probabilities of transmission from males to females and vice versa are calculated separately</w:t>
      </w:r>
      <w:r w:rsidR="0072186D">
        <w:t>.</w:t>
      </w:r>
      <w:r w:rsidR="00AE2FFB">
        <w:t xml:space="preserve"> </w:t>
      </w:r>
      <w:r w:rsidR="00C92DCB">
        <w:t xml:space="preserve">We </w:t>
      </w:r>
      <w:r w:rsidR="003819CE">
        <w:t>do</w:t>
      </w:r>
      <w:r w:rsidR="00C92DCB">
        <w:t xml:space="preserve"> not differentiate between homosexual versus heterosexual transmission and assume that intravenous drug use as a risk factor for HIV acquisition </w:t>
      </w:r>
      <w:r w:rsidR="003819CE">
        <w:t>is</w:t>
      </w:r>
      <w:r w:rsidR="00C92DCB">
        <w:t xml:space="preserve"> not widespread in Malawi.</w:t>
      </w:r>
    </w:p>
    <w:p w14:paraId="42643C0B" w14:textId="1A604A57" w:rsidR="004C79A1" w:rsidRDefault="004C79A1" w:rsidP="00336707"/>
    <w:p w14:paraId="4896D015" w14:textId="4513403C" w:rsidR="004C79A1" w:rsidRPr="00B078CC" w:rsidRDefault="00E86EC2" w:rsidP="004C79A1">
      <w:pPr>
        <w:rPr>
          <w:b/>
        </w:rPr>
      </w:pPr>
      <w:r w:rsidRPr="00E86EC2">
        <w:rPr>
          <w:bCs/>
        </w:rPr>
        <w:t>Table 2. Relative</w:t>
      </w:r>
      <w:r>
        <w:rPr>
          <w:bCs/>
        </w:rPr>
        <w:t xml:space="preserve"> risks</w:t>
      </w:r>
      <w:r w:rsidRPr="004C79A1">
        <w:rPr>
          <w:bCs/>
        </w:rPr>
        <w:t xml:space="preserve"> for </w:t>
      </w:r>
      <w:r>
        <w:rPr>
          <w:bCs/>
        </w:rPr>
        <w:t>incident</w:t>
      </w:r>
      <w:r w:rsidRPr="004C79A1">
        <w:rPr>
          <w:bCs/>
        </w:rPr>
        <w:t xml:space="preserve"> HIV infections in adults by demographic characteristics</w:t>
      </w:r>
      <w:r>
        <w:rPr>
          <w:bCs/>
        </w:rPr>
        <w:t>. Source: analysis of Malawi DHS data.</w:t>
      </w:r>
    </w:p>
    <w:tbl>
      <w:tblPr>
        <w:tblStyle w:val="GridTable1Light"/>
        <w:tblW w:w="0" w:type="auto"/>
        <w:tblLook w:val="0620" w:firstRow="1" w:lastRow="0" w:firstColumn="0" w:lastColumn="0" w:noHBand="1" w:noVBand="1"/>
      </w:tblPr>
      <w:tblGrid>
        <w:gridCol w:w="2600"/>
        <w:gridCol w:w="1283"/>
      </w:tblGrid>
      <w:tr w:rsidR="004C79A1" w:rsidRPr="00C37914" w14:paraId="27F081E3" w14:textId="77777777" w:rsidTr="004C79A1">
        <w:trPr>
          <w:cnfStyle w:val="100000000000" w:firstRow="1" w:lastRow="0" w:firstColumn="0" w:lastColumn="0" w:oddVBand="0" w:evenVBand="0" w:oddHBand="0" w:evenHBand="0" w:firstRowFirstColumn="0" w:firstRowLastColumn="0" w:lastRowFirstColumn="0" w:lastRowLastColumn="0"/>
          <w:trHeight w:val="315"/>
        </w:trPr>
        <w:tc>
          <w:tcPr>
            <w:tcW w:w="0" w:type="auto"/>
            <w:noWrap/>
          </w:tcPr>
          <w:p w14:paraId="5CB9A2CC" w14:textId="77777777" w:rsidR="004C79A1" w:rsidRPr="00C37914" w:rsidRDefault="004C79A1" w:rsidP="00AE254B">
            <w:r w:rsidRPr="00C37914">
              <w:t>Demographic characteristic</w:t>
            </w:r>
          </w:p>
        </w:tc>
        <w:tc>
          <w:tcPr>
            <w:tcW w:w="0" w:type="auto"/>
            <w:noWrap/>
          </w:tcPr>
          <w:p w14:paraId="58A75EE6" w14:textId="3CA6DEC3" w:rsidR="004C79A1" w:rsidRPr="00C37914" w:rsidRDefault="00396618" w:rsidP="00AE254B">
            <w:r>
              <w:t>Relative risk</w:t>
            </w:r>
          </w:p>
        </w:tc>
      </w:tr>
      <w:tr w:rsidR="004C79A1" w:rsidRPr="00C37914" w14:paraId="6D2154F5" w14:textId="77777777" w:rsidTr="004C79A1">
        <w:trPr>
          <w:trHeight w:val="315"/>
        </w:trPr>
        <w:tc>
          <w:tcPr>
            <w:tcW w:w="0" w:type="auto"/>
            <w:noWrap/>
          </w:tcPr>
          <w:p w14:paraId="50B39D42" w14:textId="77777777" w:rsidR="004C79A1" w:rsidRPr="00C37914" w:rsidRDefault="004C79A1" w:rsidP="00AE254B">
            <w:r>
              <w:t>Residence</w:t>
            </w:r>
          </w:p>
        </w:tc>
        <w:tc>
          <w:tcPr>
            <w:tcW w:w="0" w:type="auto"/>
            <w:noWrap/>
          </w:tcPr>
          <w:p w14:paraId="15A4C4DF" w14:textId="77777777" w:rsidR="004C79A1" w:rsidRPr="00C37914" w:rsidRDefault="004C79A1" w:rsidP="00AE254B"/>
        </w:tc>
      </w:tr>
      <w:tr w:rsidR="004C79A1" w:rsidRPr="00C37914" w14:paraId="4625B69A" w14:textId="77777777" w:rsidTr="004C79A1">
        <w:trPr>
          <w:trHeight w:val="315"/>
        </w:trPr>
        <w:tc>
          <w:tcPr>
            <w:tcW w:w="0" w:type="auto"/>
            <w:noWrap/>
          </w:tcPr>
          <w:p w14:paraId="32C532D1" w14:textId="77777777" w:rsidR="004C79A1" w:rsidRPr="00C37914" w:rsidRDefault="004C79A1" w:rsidP="00AE254B">
            <w:pPr>
              <w:ind w:left="720"/>
            </w:pPr>
            <w:r w:rsidRPr="00C37914">
              <w:t>urban</w:t>
            </w:r>
          </w:p>
        </w:tc>
        <w:tc>
          <w:tcPr>
            <w:tcW w:w="0" w:type="auto"/>
            <w:noWrap/>
          </w:tcPr>
          <w:p w14:paraId="523B407C" w14:textId="77777777" w:rsidR="004C79A1" w:rsidRPr="00C37914" w:rsidRDefault="004C79A1" w:rsidP="00AE254B">
            <w:r w:rsidRPr="00C37914">
              <w:t>1.0</w:t>
            </w:r>
          </w:p>
        </w:tc>
      </w:tr>
      <w:tr w:rsidR="004C79A1" w:rsidRPr="00C37914" w14:paraId="425842EB" w14:textId="77777777" w:rsidTr="004C79A1">
        <w:trPr>
          <w:trHeight w:val="315"/>
        </w:trPr>
        <w:tc>
          <w:tcPr>
            <w:tcW w:w="0" w:type="auto"/>
            <w:noWrap/>
            <w:hideMark/>
          </w:tcPr>
          <w:p w14:paraId="2FDB1ED1" w14:textId="77777777" w:rsidR="004C79A1" w:rsidRPr="00C37914" w:rsidRDefault="004C79A1" w:rsidP="00AE254B">
            <w:pPr>
              <w:ind w:left="720"/>
            </w:pPr>
            <w:r>
              <w:t>rural</w:t>
            </w:r>
          </w:p>
        </w:tc>
        <w:tc>
          <w:tcPr>
            <w:tcW w:w="0" w:type="auto"/>
            <w:noWrap/>
            <w:hideMark/>
          </w:tcPr>
          <w:p w14:paraId="043A0ED9" w14:textId="77777777" w:rsidR="004C79A1" w:rsidRPr="00C37914" w:rsidRDefault="004C79A1" w:rsidP="00AE254B">
            <w:r w:rsidRPr="00C37914">
              <w:t>0.52</w:t>
            </w:r>
          </w:p>
        </w:tc>
      </w:tr>
      <w:tr w:rsidR="004C79A1" w:rsidRPr="00C37914" w14:paraId="68E1DC52" w14:textId="77777777" w:rsidTr="004C79A1">
        <w:trPr>
          <w:trHeight w:val="315"/>
        </w:trPr>
        <w:tc>
          <w:tcPr>
            <w:tcW w:w="0" w:type="auto"/>
            <w:noWrap/>
          </w:tcPr>
          <w:p w14:paraId="4F0C1207" w14:textId="77777777" w:rsidR="004C79A1" w:rsidRDefault="004C79A1" w:rsidP="00AE254B">
            <w:r>
              <w:t>Wealth index</w:t>
            </w:r>
          </w:p>
        </w:tc>
        <w:tc>
          <w:tcPr>
            <w:tcW w:w="0" w:type="auto"/>
            <w:noWrap/>
          </w:tcPr>
          <w:p w14:paraId="1D1C7C86" w14:textId="77777777" w:rsidR="004C79A1" w:rsidRPr="00C37914" w:rsidRDefault="004C79A1" w:rsidP="00AE254B"/>
        </w:tc>
      </w:tr>
      <w:tr w:rsidR="004C79A1" w:rsidRPr="00C37914" w14:paraId="74CBC67B" w14:textId="77777777" w:rsidTr="004C79A1">
        <w:trPr>
          <w:trHeight w:val="315"/>
        </w:trPr>
        <w:tc>
          <w:tcPr>
            <w:tcW w:w="0" w:type="auto"/>
            <w:noWrap/>
          </w:tcPr>
          <w:p w14:paraId="3BCE261B" w14:textId="77777777" w:rsidR="004C79A1" w:rsidRDefault="004C79A1" w:rsidP="00AE254B">
            <w:pPr>
              <w:ind w:left="720"/>
            </w:pPr>
            <w:r>
              <w:lastRenderedPageBreak/>
              <w:t>poorest</w:t>
            </w:r>
          </w:p>
        </w:tc>
        <w:tc>
          <w:tcPr>
            <w:tcW w:w="0" w:type="auto"/>
            <w:noWrap/>
          </w:tcPr>
          <w:p w14:paraId="6E98BE5C" w14:textId="77777777" w:rsidR="004C79A1" w:rsidRPr="00C37914" w:rsidRDefault="004C79A1" w:rsidP="00AE254B">
            <w:r>
              <w:t>1.0</w:t>
            </w:r>
          </w:p>
        </w:tc>
      </w:tr>
      <w:tr w:rsidR="004C79A1" w:rsidRPr="00C37914" w14:paraId="55285ABF" w14:textId="77777777" w:rsidTr="004C79A1">
        <w:trPr>
          <w:trHeight w:val="315"/>
        </w:trPr>
        <w:tc>
          <w:tcPr>
            <w:tcW w:w="0" w:type="auto"/>
            <w:noWrap/>
            <w:hideMark/>
          </w:tcPr>
          <w:p w14:paraId="488A4EA6" w14:textId="77777777" w:rsidR="004C79A1" w:rsidRPr="00C37914" w:rsidRDefault="004C79A1" w:rsidP="00AE254B">
            <w:pPr>
              <w:ind w:left="720"/>
            </w:pPr>
            <w:r w:rsidRPr="00C37914">
              <w:t>poorer</w:t>
            </w:r>
          </w:p>
        </w:tc>
        <w:tc>
          <w:tcPr>
            <w:tcW w:w="0" w:type="auto"/>
            <w:noWrap/>
            <w:hideMark/>
          </w:tcPr>
          <w:p w14:paraId="7CF81AC8" w14:textId="77777777" w:rsidR="004C79A1" w:rsidRPr="00C37914" w:rsidRDefault="004C79A1" w:rsidP="00AE254B">
            <w:r w:rsidRPr="00C37914">
              <w:t>0.96</w:t>
            </w:r>
          </w:p>
        </w:tc>
      </w:tr>
      <w:tr w:rsidR="004C79A1" w:rsidRPr="00C37914" w14:paraId="31AFD64E" w14:textId="77777777" w:rsidTr="004C79A1">
        <w:trPr>
          <w:trHeight w:val="315"/>
        </w:trPr>
        <w:tc>
          <w:tcPr>
            <w:tcW w:w="0" w:type="auto"/>
            <w:noWrap/>
            <w:hideMark/>
          </w:tcPr>
          <w:p w14:paraId="082E4767" w14:textId="77777777" w:rsidR="004C79A1" w:rsidRPr="00C37914" w:rsidRDefault="004C79A1" w:rsidP="00AE254B">
            <w:pPr>
              <w:ind w:left="720"/>
            </w:pPr>
            <w:r w:rsidRPr="00C37914">
              <w:t>middle</w:t>
            </w:r>
          </w:p>
        </w:tc>
        <w:tc>
          <w:tcPr>
            <w:tcW w:w="0" w:type="auto"/>
            <w:noWrap/>
            <w:hideMark/>
          </w:tcPr>
          <w:p w14:paraId="7275F11D" w14:textId="77777777" w:rsidR="004C79A1" w:rsidRPr="00C37914" w:rsidRDefault="004C79A1" w:rsidP="00AE254B">
            <w:r w:rsidRPr="00C37914">
              <w:t>1.18</w:t>
            </w:r>
          </w:p>
        </w:tc>
      </w:tr>
      <w:tr w:rsidR="004C79A1" w:rsidRPr="00C37914" w14:paraId="37BD406A" w14:textId="77777777" w:rsidTr="004C79A1">
        <w:trPr>
          <w:trHeight w:val="315"/>
        </w:trPr>
        <w:tc>
          <w:tcPr>
            <w:tcW w:w="0" w:type="auto"/>
            <w:noWrap/>
            <w:hideMark/>
          </w:tcPr>
          <w:p w14:paraId="41BD300C" w14:textId="77777777" w:rsidR="004C79A1" w:rsidRPr="00C37914" w:rsidRDefault="004C79A1" w:rsidP="00AE254B">
            <w:pPr>
              <w:ind w:left="720"/>
            </w:pPr>
            <w:r w:rsidRPr="00C37914">
              <w:t>richer</w:t>
            </w:r>
          </w:p>
        </w:tc>
        <w:tc>
          <w:tcPr>
            <w:tcW w:w="0" w:type="auto"/>
            <w:noWrap/>
            <w:hideMark/>
          </w:tcPr>
          <w:p w14:paraId="11E921AA" w14:textId="77777777" w:rsidR="004C79A1" w:rsidRPr="00C37914" w:rsidRDefault="004C79A1" w:rsidP="00AE254B">
            <w:r w:rsidRPr="00C37914">
              <w:t>1.19</w:t>
            </w:r>
          </w:p>
        </w:tc>
      </w:tr>
      <w:tr w:rsidR="004C79A1" w:rsidRPr="00C37914" w14:paraId="258EAADE" w14:textId="77777777" w:rsidTr="004C79A1">
        <w:trPr>
          <w:trHeight w:val="315"/>
        </w:trPr>
        <w:tc>
          <w:tcPr>
            <w:tcW w:w="0" w:type="auto"/>
            <w:noWrap/>
            <w:hideMark/>
          </w:tcPr>
          <w:p w14:paraId="725CEB2F" w14:textId="77777777" w:rsidR="004C79A1" w:rsidRPr="00C37914" w:rsidRDefault="004C79A1" w:rsidP="00AE254B">
            <w:pPr>
              <w:ind w:left="720"/>
            </w:pPr>
            <w:r w:rsidRPr="00C37914">
              <w:t>richest</w:t>
            </w:r>
          </w:p>
        </w:tc>
        <w:tc>
          <w:tcPr>
            <w:tcW w:w="0" w:type="auto"/>
            <w:noWrap/>
            <w:hideMark/>
          </w:tcPr>
          <w:p w14:paraId="71B7719E" w14:textId="77777777" w:rsidR="004C79A1" w:rsidRPr="00C37914" w:rsidRDefault="004C79A1" w:rsidP="00AE254B">
            <w:r w:rsidRPr="00C37914">
              <w:t>1.56</w:t>
            </w:r>
          </w:p>
        </w:tc>
      </w:tr>
      <w:tr w:rsidR="004C79A1" w:rsidRPr="00C37914" w14:paraId="5259CFEB" w14:textId="77777777" w:rsidTr="004C79A1">
        <w:trPr>
          <w:trHeight w:val="315"/>
        </w:trPr>
        <w:tc>
          <w:tcPr>
            <w:tcW w:w="0" w:type="auto"/>
            <w:noWrap/>
          </w:tcPr>
          <w:p w14:paraId="6D3DD2D9" w14:textId="77777777" w:rsidR="004C79A1" w:rsidRPr="00C37914" w:rsidRDefault="004C79A1" w:rsidP="00AE254B">
            <w:r>
              <w:t>Sex</w:t>
            </w:r>
          </w:p>
        </w:tc>
        <w:tc>
          <w:tcPr>
            <w:tcW w:w="0" w:type="auto"/>
            <w:noWrap/>
          </w:tcPr>
          <w:p w14:paraId="77CEC49E" w14:textId="77777777" w:rsidR="004C79A1" w:rsidRPr="00C37914" w:rsidRDefault="004C79A1" w:rsidP="00AE254B"/>
        </w:tc>
      </w:tr>
      <w:tr w:rsidR="004C79A1" w:rsidRPr="00C37914" w14:paraId="38096DA6" w14:textId="77777777" w:rsidTr="004C79A1">
        <w:trPr>
          <w:trHeight w:val="315"/>
        </w:trPr>
        <w:tc>
          <w:tcPr>
            <w:tcW w:w="0" w:type="auto"/>
            <w:noWrap/>
          </w:tcPr>
          <w:p w14:paraId="5A8A4136" w14:textId="77777777" w:rsidR="004C79A1" w:rsidRPr="00C37914" w:rsidRDefault="004C79A1" w:rsidP="00AE254B">
            <w:pPr>
              <w:ind w:left="720"/>
            </w:pPr>
            <w:r>
              <w:t>male</w:t>
            </w:r>
          </w:p>
        </w:tc>
        <w:tc>
          <w:tcPr>
            <w:tcW w:w="0" w:type="auto"/>
            <w:noWrap/>
          </w:tcPr>
          <w:p w14:paraId="04F4A277" w14:textId="77777777" w:rsidR="004C79A1" w:rsidRPr="00C37914" w:rsidRDefault="004C79A1" w:rsidP="00AE254B">
            <w:r>
              <w:t>1.0</w:t>
            </w:r>
          </w:p>
        </w:tc>
      </w:tr>
      <w:tr w:rsidR="004C79A1" w:rsidRPr="00C37914" w14:paraId="7C2E4EBC" w14:textId="77777777" w:rsidTr="004C79A1">
        <w:trPr>
          <w:trHeight w:val="315"/>
        </w:trPr>
        <w:tc>
          <w:tcPr>
            <w:tcW w:w="0" w:type="auto"/>
            <w:noWrap/>
            <w:hideMark/>
          </w:tcPr>
          <w:p w14:paraId="5CC0388B" w14:textId="77777777" w:rsidR="004C79A1" w:rsidRPr="00C37914" w:rsidRDefault="004C79A1" w:rsidP="00AE254B">
            <w:pPr>
              <w:ind w:left="720"/>
            </w:pPr>
            <w:r>
              <w:t>female</w:t>
            </w:r>
          </w:p>
        </w:tc>
        <w:tc>
          <w:tcPr>
            <w:tcW w:w="0" w:type="auto"/>
            <w:noWrap/>
            <w:hideMark/>
          </w:tcPr>
          <w:p w14:paraId="55461206" w14:textId="77777777" w:rsidR="004C79A1" w:rsidRPr="00C37914" w:rsidRDefault="004C79A1" w:rsidP="00AE254B">
            <w:r w:rsidRPr="00C37914">
              <w:t>1.43</w:t>
            </w:r>
          </w:p>
        </w:tc>
      </w:tr>
      <w:tr w:rsidR="004C79A1" w:rsidRPr="00C37914" w14:paraId="7AD23257" w14:textId="77777777" w:rsidTr="004C79A1">
        <w:trPr>
          <w:trHeight w:val="315"/>
        </w:trPr>
        <w:tc>
          <w:tcPr>
            <w:tcW w:w="0" w:type="auto"/>
            <w:noWrap/>
          </w:tcPr>
          <w:p w14:paraId="178F8B58" w14:textId="77777777" w:rsidR="004C79A1" w:rsidRDefault="004C79A1" w:rsidP="00AE254B">
            <w:r>
              <w:t>Age group</w:t>
            </w:r>
          </w:p>
        </w:tc>
        <w:tc>
          <w:tcPr>
            <w:tcW w:w="0" w:type="auto"/>
            <w:noWrap/>
          </w:tcPr>
          <w:p w14:paraId="78E16AFC" w14:textId="77777777" w:rsidR="004C79A1" w:rsidRPr="00C37914" w:rsidRDefault="004C79A1" w:rsidP="00AE254B"/>
        </w:tc>
      </w:tr>
      <w:tr w:rsidR="004C79A1" w:rsidRPr="00C37914" w14:paraId="29D453C8" w14:textId="77777777" w:rsidTr="004C79A1">
        <w:trPr>
          <w:trHeight w:val="315"/>
        </w:trPr>
        <w:tc>
          <w:tcPr>
            <w:tcW w:w="0" w:type="auto"/>
            <w:noWrap/>
          </w:tcPr>
          <w:p w14:paraId="6CE229EA" w14:textId="77777777" w:rsidR="004C79A1" w:rsidRDefault="004C79A1" w:rsidP="00AE254B">
            <w:pPr>
              <w:ind w:left="720"/>
            </w:pPr>
            <w:r>
              <w:t>15-19</w:t>
            </w:r>
          </w:p>
        </w:tc>
        <w:tc>
          <w:tcPr>
            <w:tcW w:w="0" w:type="auto"/>
            <w:noWrap/>
          </w:tcPr>
          <w:p w14:paraId="3B6EEF05" w14:textId="77777777" w:rsidR="004C79A1" w:rsidRPr="00C37914" w:rsidRDefault="004C79A1" w:rsidP="00AE254B">
            <w:r>
              <w:t>1.0</w:t>
            </w:r>
          </w:p>
        </w:tc>
      </w:tr>
      <w:tr w:rsidR="004C79A1" w:rsidRPr="00C37914" w14:paraId="43B69790" w14:textId="77777777" w:rsidTr="004C79A1">
        <w:trPr>
          <w:trHeight w:val="315"/>
        </w:trPr>
        <w:tc>
          <w:tcPr>
            <w:tcW w:w="0" w:type="auto"/>
            <w:noWrap/>
            <w:hideMark/>
          </w:tcPr>
          <w:p w14:paraId="519EE5A3" w14:textId="77777777" w:rsidR="004C79A1" w:rsidRPr="00C37914" w:rsidRDefault="004C79A1" w:rsidP="00AE254B">
            <w:pPr>
              <w:ind w:left="720"/>
            </w:pPr>
            <w:r>
              <w:t>20-24</w:t>
            </w:r>
          </w:p>
        </w:tc>
        <w:tc>
          <w:tcPr>
            <w:tcW w:w="0" w:type="auto"/>
            <w:noWrap/>
            <w:hideMark/>
          </w:tcPr>
          <w:p w14:paraId="57DC9114" w14:textId="77777777" w:rsidR="004C79A1" w:rsidRPr="00C37914" w:rsidRDefault="004C79A1" w:rsidP="00AE254B">
            <w:r w:rsidRPr="00C37914">
              <w:t>2.15</w:t>
            </w:r>
          </w:p>
        </w:tc>
      </w:tr>
      <w:tr w:rsidR="004C79A1" w:rsidRPr="00C37914" w14:paraId="0E38F160" w14:textId="77777777" w:rsidTr="004C79A1">
        <w:trPr>
          <w:trHeight w:val="315"/>
        </w:trPr>
        <w:tc>
          <w:tcPr>
            <w:tcW w:w="0" w:type="auto"/>
            <w:noWrap/>
            <w:hideMark/>
          </w:tcPr>
          <w:p w14:paraId="4EE14D59" w14:textId="77777777" w:rsidR="004C79A1" w:rsidRPr="00C37914" w:rsidRDefault="004C79A1" w:rsidP="00AE254B">
            <w:pPr>
              <w:ind w:left="720"/>
            </w:pPr>
            <w:r>
              <w:t>25-29</w:t>
            </w:r>
          </w:p>
        </w:tc>
        <w:tc>
          <w:tcPr>
            <w:tcW w:w="0" w:type="auto"/>
            <w:noWrap/>
            <w:hideMark/>
          </w:tcPr>
          <w:p w14:paraId="34612799" w14:textId="77777777" w:rsidR="004C79A1" w:rsidRPr="00C37914" w:rsidRDefault="004C79A1" w:rsidP="00AE254B">
            <w:r w:rsidRPr="00C37914">
              <w:t>3.75</w:t>
            </w:r>
          </w:p>
        </w:tc>
      </w:tr>
      <w:tr w:rsidR="004C79A1" w:rsidRPr="00C37914" w14:paraId="4B85F4DF" w14:textId="77777777" w:rsidTr="004C79A1">
        <w:trPr>
          <w:trHeight w:val="315"/>
        </w:trPr>
        <w:tc>
          <w:tcPr>
            <w:tcW w:w="0" w:type="auto"/>
            <w:noWrap/>
            <w:hideMark/>
          </w:tcPr>
          <w:p w14:paraId="3990ACB8" w14:textId="77777777" w:rsidR="004C79A1" w:rsidRPr="00C37914" w:rsidRDefault="004C79A1" w:rsidP="00AE254B">
            <w:pPr>
              <w:ind w:left="720"/>
            </w:pPr>
            <w:r>
              <w:t>30-34</w:t>
            </w:r>
          </w:p>
        </w:tc>
        <w:tc>
          <w:tcPr>
            <w:tcW w:w="0" w:type="auto"/>
            <w:noWrap/>
            <w:hideMark/>
          </w:tcPr>
          <w:p w14:paraId="7E3ED533" w14:textId="77777777" w:rsidR="004C79A1" w:rsidRPr="00C37914" w:rsidRDefault="004C79A1" w:rsidP="00AE254B">
            <w:r w:rsidRPr="00C37914">
              <w:t>5.88</w:t>
            </w:r>
          </w:p>
        </w:tc>
      </w:tr>
      <w:tr w:rsidR="004C79A1" w:rsidRPr="00C37914" w14:paraId="77E0C68F" w14:textId="77777777" w:rsidTr="004C79A1">
        <w:trPr>
          <w:trHeight w:val="315"/>
        </w:trPr>
        <w:tc>
          <w:tcPr>
            <w:tcW w:w="0" w:type="auto"/>
            <w:noWrap/>
            <w:hideMark/>
          </w:tcPr>
          <w:p w14:paraId="6D0FE5DA" w14:textId="77777777" w:rsidR="004C79A1" w:rsidRPr="00C37914" w:rsidRDefault="004C79A1" w:rsidP="00AE254B">
            <w:pPr>
              <w:ind w:left="720"/>
            </w:pPr>
            <w:r>
              <w:t>35-39</w:t>
            </w:r>
          </w:p>
        </w:tc>
        <w:tc>
          <w:tcPr>
            <w:tcW w:w="0" w:type="auto"/>
            <w:noWrap/>
            <w:hideMark/>
          </w:tcPr>
          <w:p w14:paraId="15F1CA0B" w14:textId="77777777" w:rsidR="004C79A1" w:rsidRPr="00C37914" w:rsidRDefault="004C79A1" w:rsidP="00AE254B">
            <w:r w:rsidRPr="00C37914">
              <w:t>7.57</w:t>
            </w:r>
          </w:p>
        </w:tc>
      </w:tr>
      <w:tr w:rsidR="004C79A1" w:rsidRPr="00C37914" w14:paraId="58E68AB7" w14:textId="77777777" w:rsidTr="004C79A1">
        <w:trPr>
          <w:trHeight w:val="315"/>
        </w:trPr>
        <w:tc>
          <w:tcPr>
            <w:tcW w:w="0" w:type="auto"/>
            <w:noWrap/>
            <w:hideMark/>
          </w:tcPr>
          <w:p w14:paraId="052E4F7E" w14:textId="77777777" w:rsidR="004C79A1" w:rsidRPr="00C37914" w:rsidRDefault="004C79A1" w:rsidP="00AE254B">
            <w:pPr>
              <w:ind w:left="720"/>
            </w:pPr>
            <w:r>
              <w:t>40-44</w:t>
            </w:r>
          </w:p>
        </w:tc>
        <w:tc>
          <w:tcPr>
            <w:tcW w:w="0" w:type="auto"/>
            <w:noWrap/>
            <w:hideMark/>
          </w:tcPr>
          <w:p w14:paraId="5CAC4BD8" w14:textId="77777777" w:rsidR="004C79A1" w:rsidRPr="00C37914" w:rsidRDefault="004C79A1" w:rsidP="00AE254B">
            <w:r w:rsidRPr="00C37914">
              <w:t>7.93</w:t>
            </w:r>
          </w:p>
        </w:tc>
      </w:tr>
      <w:tr w:rsidR="004C79A1" w:rsidRPr="00C37914" w14:paraId="00356CAA" w14:textId="77777777" w:rsidTr="004C79A1">
        <w:trPr>
          <w:trHeight w:val="315"/>
        </w:trPr>
        <w:tc>
          <w:tcPr>
            <w:tcW w:w="0" w:type="auto"/>
            <w:noWrap/>
            <w:hideMark/>
          </w:tcPr>
          <w:p w14:paraId="1F6461E1" w14:textId="77777777" w:rsidR="004C79A1" w:rsidRPr="00C37914" w:rsidRDefault="004C79A1" w:rsidP="00AE254B">
            <w:pPr>
              <w:ind w:left="720"/>
            </w:pPr>
            <w:r>
              <w:t>45-49</w:t>
            </w:r>
          </w:p>
        </w:tc>
        <w:tc>
          <w:tcPr>
            <w:tcW w:w="0" w:type="auto"/>
            <w:noWrap/>
            <w:hideMark/>
          </w:tcPr>
          <w:p w14:paraId="690BAE95" w14:textId="77777777" w:rsidR="004C79A1" w:rsidRPr="00C37914" w:rsidRDefault="004C79A1" w:rsidP="00AE254B">
            <w:r w:rsidRPr="00C37914">
              <w:t>6.72</w:t>
            </w:r>
          </w:p>
        </w:tc>
      </w:tr>
      <w:tr w:rsidR="004C79A1" w:rsidRPr="00C37914" w14:paraId="114E555B" w14:textId="77777777" w:rsidTr="004C79A1">
        <w:trPr>
          <w:trHeight w:val="315"/>
        </w:trPr>
        <w:tc>
          <w:tcPr>
            <w:tcW w:w="0" w:type="auto"/>
            <w:noWrap/>
            <w:hideMark/>
          </w:tcPr>
          <w:p w14:paraId="1C9663C4" w14:textId="77777777" w:rsidR="004C79A1" w:rsidRPr="00C37914" w:rsidRDefault="004C79A1" w:rsidP="00AE254B">
            <w:pPr>
              <w:ind w:left="720"/>
            </w:pPr>
            <w:r>
              <w:t>50+</w:t>
            </w:r>
          </w:p>
        </w:tc>
        <w:tc>
          <w:tcPr>
            <w:tcW w:w="0" w:type="auto"/>
            <w:noWrap/>
            <w:hideMark/>
          </w:tcPr>
          <w:p w14:paraId="507E1DE9" w14:textId="77777777" w:rsidR="004C79A1" w:rsidRPr="00C37914" w:rsidRDefault="004C79A1" w:rsidP="00AE254B">
            <w:r w:rsidRPr="00C37914">
              <w:t>7.9</w:t>
            </w:r>
          </w:p>
        </w:tc>
      </w:tr>
      <w:tr w:rsidR="004C79A1" w:rsidRPr="00C37914" w14:paraId="60BE8450" w14:textId="77777777" w:rsidTr="004C79A1">
        <w:trPr>
          <w:trHeight w:val="315"/>
        </w:trPr>
        <w:tc>
          <w:tcPr>
            <w:tcW w:w="0" w:type="auto"/>
            <w:noWrap/>
          </w:tcPr>
          <w:p w14:paraId="052D3225" w14:textId="77777777" w:rsidR="004C79A1" w:rsidRPr="00C37914" w:rsidRDefault="004C79A1" w:rsidP="00AE254B">
            <w:r>
              <w:t>Education level</w:t>
            </w:r>
          </w:p>
        </w:tc>
        <w:tc>
          <w:tcPr>
            <w:tcW w:w="0" w:type="auto"/>
            <w:noWrap/>
          </w:tcPr>
          <w:p w14:paraId="31E95DC1" w14:textId="77777777" w:rsidR="004C79A1" w:rsidRPr="00C37914" w:rsidRDefault="004C79A1" w:rsidP="00AE254B"/>
        </w:tc>
      </w:tr>
      <w:tr w:rsidR="004C79A1" w:rsidRPr="00C37914" w14:paraId="085C2994" w14:textId="77777777" w:rsidTr="004C79A1">
        <w:trPr>
          <w:trHeight w:val="315"/>
        </w:trPr>
        <w:tc>
          <w:tcPr>
            <w:tcW w:w="0" w:type="auto"/>
            <w:noWrap/>
          </w:tcPr>
          <w:p w14:paraId="07E6CAAE" w14:textId="77777777" w:rsidR="004C79A1" w:rsidRPr="00C37914" w:rsidRDefault="004C79A1" w:rsidP="00AE254B">
            <w:pPr>
              <w:ind w:left="720"/>
            </w:pPr>
            <w:r>
              <w:t>none</w:t>
            </w:r>
          </w:p>
        </w:tc>
        <w:tc>
          <w:tcPr>
            <w:tcW w:w="0" w:type="auto"/>
            <w:noWrap/>
          </w:tcPr>
          <w:p w14:paraId="3BFA31FA" w14:textId="77777777" w:rsidR="004C79A1" w:rsidRPr="00C37914" w:rsidRDefault="004C79A1" w:rsidP="00AE254B">
            <w:r>
              <w:t>1.0</w:t>
            </w:r>
          </w:p>
        </w:tc>
      </w:tr>
      <w:tr w:rsidR="004C79A1" w:rsidRPr="00C37914" w14:paraId="61D6A824" w14:textId="77777777" w:rsidTr="004C79A1">
        <w:trPr>
          <w:trHeight w:val="315"/>
        </w:trPr>
        <w:tc>
          <w:tcPr>
            <w:tcW w:w="0" w:type="auto"/>
            <w:noWrap/>
            <w:hideMark/>
          </w:tcPr>
          <w:p w14:paraId="52B3B981" w14:textId="77777777" w:rsidR="004C79A1" w:rsidRPr="00C37914" w:rsidRDefault="004C79A1" w:rsidP="00AE254B">
            <w:pPr>
              <w:ind w:left="720"/>
            </w:pPr>
            <w:r>
              <w:t>primary</w:t>
            </w:r>
          </w:p>
        </w:tc>
        <w:tc>
          <w:tcPr>
            <w:tcW w:w="0" w:type="auto"/>
            <w:noWrap/>
            <w:hideMark/>
          </w:tcPr>
          <w:p w14:paraId="53E0602E" w14:textId="77777777" w:rsidR="004C79A1" w:rsidRPr="00C37914" w:rsidRDefault="004C79A1" w:rsidP="00AE254B">
            <w:r w:rsidRPr="00C37914">
              <w:t>1.18</w:t>
            </w:r>
          </w:p>
        </w:tc>
      </w:tr>
      <w:tr w:rsidR="004C79A1" w:rsidRPr="00C37914" w14:paraId="5B9B964F" w14:textId="77777777" w:rsidTr="004C79A1">
        <w:trPr>
          <w:trHeight w:val="315"/>
        </w:trPr>
        <w:tc>
          <w:tcPr>
            <w:tcW w:w="0" w:type="auto"/>
            <w:noWrap/>
            <w:hideMark/>
          </w:tcPr>
          <w:p w14:paraId="02FD4858" w14:textId="77777777" w:rsidR="004C79A1" w:rsidRPr="00C37914" w:rsidRDefault="004C79A1" w:rsidP="00AE254B">
            <w:pPr>
              <w:ind w:left="720"/>
            </w:pPr>
            <w:r>
              <w:t>secondary</w:t>
            </w:r>
          </w:p>
        </w:tc>
        <w:tc>
          <w:tcPr>
            <w:tcW w:w="0" w:type="auto"/>
            <w:noWrap/>
            <w:hideMark/>
          </w:tcPr>
          <w:p w14:paraId="49CD1496" w14:textId="77777777" w:rsidR="004C79A1" w:rsidRPr="00C37914" w:rsidRDefault="004C79A1" w:rsidP="00AE254B">
            <w:r w:rsidRPr="00C37914">
              <w:t>1.15</w:t>
            </w:r>
          </w:p>
        </w:tc>
      </w:tr>
      <w:tr w:rsidR="004C79A1" w:rsidRPr="00C37914" w14:paraId="1EAD244C" w14:textId="77777777" w:rsidTr="004C79A1">
        <w:trPr>
          <w:trHeight w:val="315"/>
        </w:trPr>
        <w:tc>
          <w:tcPr>
            <w:tcW w:w="0" w:type="auto"/>
            <w:noWrap/>
            <w:hideMark/>
          </w:tcPr>
          <w:p w14:paraId="7AE2410B" w14:textId="77777777" w:rsidR="004C79A1" w:rsidRPr="00C37914" w:rsidRDefault="004C79A1" w:rsidP="00AE254B">
            <w:pPr>
              <w:ind w:left="720"/>
            </w:pPr>
            <w:r>
              <w:t>higher</w:t>
            </w:r>
          </w:p>
        </w:tc>
        <w:tc>
          <w:tcPr>
            <w:tcW w:w="0" w:type="auto"/>
            <w:noWrap/>
            <w:hideMark/>
          </w:tcPr>
          <w:p w14:paraId="54E635DC" w14:textId="77777777" w:rsidR="004C79A1" w:rsidRPr="00C37914" w:rsidRDefault="004C79A1" w:rsidP="00AE254B">
            <w:r w:rsidRPr="00C37914">
              <w:t>1</w:t>
            </w:r>
            <w:r>
              <w:t>.0</w:t>
            </w:r>
          </w:p>
        </w:tc>
      </w:tr>
    </w:tbl>
    <w:p w14:paraId="4D6C0965" w14:textId="77777777" w:rsidR="004C79A1" w:rsidRDefault="004C79A1" w:rsidP="004C79A1"/>
    <w:p w14:paraId="448F1E3F" w14:textId="77777777" w:rsidR="00AE2FFB" w:rsidRDefault="00AE2FFB" w:rsidP="00336707">
      <w:pPr>
        <w:pStyle w:val="Heading3"/>
      </w:pPr>
    </w:p>
    <w:p w14:paraId="59AAD842" w14:textId="7FB62D18" w:rsidR="00336707" w:rsidRDefault="00336707" w:rsidP="00336707">
      <w:pPr>
        <w:pStyle w:val="Heading3"/>
      </w:pPr>
      <w:r>
        <w:t xml:space="preserve">Progression </w:t>
      </w:r>
      <w:r w:rsidR="00EA606E">
        <w:t>to AIDS and mortality</w:t>
      </w:r>
    </w:p>
    <w:p w14:paraId="5AAB5242" w14:textId="77777777" w:rsidR="00C13706" w:rsidRPr="00C13706" w:rsidRDefault="00C13706" w:rsidP="00336707">
      <w:pPr>
        <w:rPr>
          <w:rStyle w:val="SubtleEmphasis"/>
        </w:rPr>
      </w:pPr>
      <w:r w:rsidRPr="00C13706">
        <w:rPr>
          <w:rStyle w:val="SubtleEmphasis"/>
        </w:rPr>
        <w:t>Infants</w:t>
      </w:r>
    </w:p>
    <w:p w14:paraId="09624540" w14:textId="103EF78B" w:rsidR="00336707" w:rsidRDefault="0072186D" w:rsidP="00336707">
      <w:r>
        <w:t>AIDS onset is scheduled at the time of infection. For infants infected</w:t>
      </w:r>
      <w:r w:rsidR="00846341">
        <w:t xml:space="preserve"> before the age of 5 years, the time from infection to AIDS is equal to the </w:t>
      </w:r>
      <w:r w:rsidR="00C260F3">
        <w:t>projected</w:t>
      </w:r>
      <w:r w:rsidR="00846341">
        <w:t xml:space="preserve"> survival time</w:t>
      </w:r>
      <w:r w:rsidR="00EA606E">
        <w:t>, which follows an exponential distribution for infants infected prior to or during birth</w:t>
      </w:r>
      <w:r w:rsidR="00C260F3">
        <w:t xml:space="preserve"> (median survival time 0.64 years)</w:t>
      </w:r>
      <w:r w:rsidR="00EA606E">
        <w:t xml:space="preserve"> and a Weibull distribution if infected after birth and before the age of 5 years</w:t>
      </w:r>
      <w:r w:rsidR="00C260F3">
        <w:t xml:space="preserve"> (median survival time 16 years)</w:t>
      </w:r>
      <w:r w:rsidR="00EA606E">
        <w:t>.</w:t>
      </w:r>
      <w:r w:rsidR="00EA606E">
        <w:fldChar w:fldCharType="begin"/>
      </w:r>
      <w:r w:rsidR="00EA606E">
        <w:instrText xml:space="preserve"> ADDIN EN.CITE &lt;EndNote&gt;&lt;Cite&gt;&lt;Author&gt;Ferrand&lt;/Author&gt;&lt;Year&gt;2009&lt;/Year&gt;&lt;RecNum&gt;9&lt;/RecNum&gt;&lt;DisplayText&gt;(Ferrand, Corbett et al. 2009)&lt;/DisplayText&gt;&lt;record&gt;&lt;rec-number&gt;9&lt;/rec-number&gt;&lt;foreign-keys&gt;&lt;key app="EN" db-id="fdxddfzvgd2s5def22lpt2vlxvrw59fw92zw" timestamp="1611831216"&gt;9&lt;/key&gt;&lt;/foreign-keys&gt;&lt;ref-type name="Journal Article"&gt;17&lt;/ref-type&gt;&lt;contributors&gt;&lt;authors&gt;&lt;author&gt;Ferrand, Rashida A&lt;/author&gt;&lt;author&gt;Corbett, Elizabeth L&lt;/author&gt;&lt;author&gt;Wood, Robin&lt;/author&gt;&lt;author&gt;Hargrove, John&lt;/author&gt;&lt;author&gt;Ndhlovu, Chiratidzo E&lt;/author&gt;&lt;author&gt;Cowan, Frances M&lt;/author&gt;&lt;author&gt;Gouws, Eleanor&lt;/author&gt;&lt;author&gt;Williams, Brian G&lt;/author&gt;&lt;/authors&gt;&lt;/contributors&gt;&lt;titles&gt;&lt;title&gt;AIDS among older children and adolescents in Southern Africa: projecting the time course and magnitude of the epidemic&lt;/title&gt;&lt;secondary-title&gt;AIDS (London, England)&lt;/secondary-title&gt;&lt;/titles&gt;&lt;periodical&gt;&lt;full-title&gt;AIDS (London, England)&lt;/full-title&gt;&lt;/periodical&gt;&lt;pages&gt;2039&lt;/pages&gt;&lt;volume&gt;23&lt;/volume&gt;&lt;number&gt;15&lt;/number&gt;&lt;dates&gt;&lt;year&gt;2009&lt;/year&gt;&lt;/dates&gt;&lt;urls&gt;&lt;related-urls&gt;&lt;url&gt;https://www.ncbi.nlm.nih.gov/pmc/articles/PMC3408596/&lt;/url&gt;&lt;/related-urls&gt;&lt;/urls&gt;&lt;/record&gt;&lt;/Cite&gt;&lt;/EndNote&gt;</w:instrText>
      </w:r>
      <w:r w:rsidR="00EA606E">
        <w:fldChar w:fldCharType="separate"/>
      </w:r>
      <w:r w:rsidR="00EA606E">
        <w:rPr>
          <w:noProof/>
        </w:rPr>
        <w:t>(Ferrand, Corbett et al. 2009)</w:t>
      </w:r>
      <w:r w:rsidR="00EA606E">
        <w:fldChar w:fldCharType="end"/>
      </w:r>
      <w:r w:rsidR="00C260F3">
        <w:t xml:space="preserve"> </w:t>
      </w:r>
      <w:r w:rsidR="00C13706">
        <w:t xml:space="preserve">The projected death date is then scheduled to occur 18 months after AIDS onset. </w:t>
      </w:r>
    </w:p>
    <w:p w14:paraId="16461C81" w14:textId="77777777" w:rsidR="00C13706" w:rsidRPr="00C13706" w:rsidRDefault="00C13706" w:rsidP="00E64F05">
      <w:pPr>
        <w:rPr>
          <w:rStyle w:val="SubtleEmphasis"/>
        </w:rPr>
      </w:pPr>
      <w:r w:rsidRPr="00C13706">
        <w:rPr>
          <w:rStyle w:val="SubtleEmphasis"/>
        </w:rPr>
        <w:t>Adults</w:t>
      </w:r>
    </w:p>
    <w:p w14:paraId="3BAC4A74" w14:textId="3B38EA3A" w:rsidR="00E64F05" w:rsidRDefault="00E64F05" w:rsidP="00E64F05">
      <w:r>
        <w:t>The</w:t>
      </w:r>
      <w:r w:rsidR="00AE34ED">
        <w:t xml:space="preserve"> projected</w:t>
      </w:r>
      <w:r>
        <w:t xml:space="preserve"> survival times for adult infections in the absence of treatment follow a 2-parameter Weibull distribution with</w:t>
      </w:r>
      <w:r w:rsidR="003819CE">
        <w:t xml:space="preserve"> a fixed</w:t>
      </w:r>
      <w:r>
        <w:t xml:space="preserve"> shape parameter and scale parameter dependent on age, resulting in a median survival time of 10.6 years (95% CI 9.7-12.8) for 25-34 year olds</w:t>
      </w:r>
      <w:r w:rsidR="00E86EC2">
        <w:t xml:space="preserve"> (Figure 3)</w:t>
      </w:r>
      <w:r>
        <w:t>.</w:t>
      </w:r>
      <w:r>
        <w:fldChar w:fldCharType="begin"/>
      </w:r>
      <w:r>
        <w:instrText xml:space="preserve"> ADDIN EN.CITE &lt;EndNote&gt;&lt;Cite&gt;&lt;Author&gt;Todd&lt;/Author&gt;&lt;Year&gt;2007&lt;/Year&gt;&lt;RecNum&gt;8&lt;/RecNum&gt;&lt;DisplayText&gt;(Todd, Glynn et al. 2007)&lt;/DisplayText&gt;&lt;record&gt;&lt;rec-number&gt;8&lt;/rec-number&gt;&lt;foreign-keys&gt;&lt;key app="EN" db-id="fdxddfzvgd2s5def22lpt2vlxvrw59fw92zw" timestamp="1611831216"&gt;8&lt;/key&gt;&lt;/foreign-keys&gt;&lt;ref-type name="Journal Article"&gt;17&lt;/ref-type&gt;&lt;contributors&gt;&lt;authors&gt;&lt;author&gt;Todd, Jim&lt;/author&gt;&lt;author&gt;Glynn, Judith R&lt;/author&gt;&lt;author&gt;Marston, Milly&lt;/author&gt;&lt;author&gt;Lutalo, Tom&lt;/author&gt;&lt;author&gt;Biraro, Sam&lt;/author&gt;&lt;author&gt;Mwita, Wambura&lt;/author&gt;&lt;author&gt;Suriyanon, Vinai&lt;/author&gt;&lt;author&gt;Rangsin, Ram&lt;/author&gt;&lt;author&gt;Nelson, Kenrad E&lt;/author&gt;&lt;author&gt;Sonnenberg, Pam&lt;/author&gt;&lt;/authors&gt;&lt;/contributors&gt;&lt;titles&gt;&lt;title&gt;Time from HIV seroconversion to death: a collaborative analysis of eight studies in six low and middle-income countries before highly active antiretroviral therapy&lt;/title&gt;&lt;secondary-title&gt;AIDS (London, England)&lt;/secondary-title&gt;&lt;/titles&gt;&lt;periodical&gt;&lt;full-title&gt;AIDS (London, England)&lt;/full-title&gt;&lt;/periodical&gt;&lt;pages&gt;S55&lt;/pages&gt;&lt;volume&gt;21&lt;/volume&gt;&lt;number&gt;Suppl 6&lt;/number&gt;&lt;dates&gt;&lt;year&gt;2007&lt;/year&gt;&lt;/dates&gt;&lt;urls&gt;&lt;/urls&gt;&lt;/record&gt;&lt;/Cite&gt;&lt;/EndNote&gt;</w:instrText>
      </w:r>
      <w:r>
        <w:fldChar w:fldCharType="separate"/>
      </w:r>
      <w:r>
        <w:rPr>
          <w:noProof/>
        </w:rPr>
        <w:t>(Todd, Glynn et al. 2007)</w:t>
      </w:r>
      <w:r>
        <w:fldChar w:fldCharType="end"/>
      </w:r>
      <w:r>
        <w:t xml:space="preserve"> The individual scale parameter </w:t>
      </w:r>
      <w:r w:rsidR="00AE34ED">
        <w:t>is</w:t>
      </w:r>
      <w:r>
        <w:t xml:space="preserve"> calculated using the age at the time of infection as follows:</w:t>
      </w:r>
    </w:p>
    <w:p w14:paraId="5BB1051A" w14:textId="77777777" w:rsidR="00E64F05" w:rsidRPr="00E64F05" w:rsidRDefault="00E64F05" w:rsidP="00E64F05">
      <m:oMathPara>
        <m:oMathParaPr>
          <m:jc m:val="left"/>
        </m:oMathParaPr>
        <m:oMath>
          <m:r>
            <m:rPr>
              <m:sty m:val="p"/>
            </m:rPr>
            <w:rPr>
              <w:rFonts w:ascii="Cambria Math" w:hAnsi="Cambria Math"/>
            </w:rPr>
            <m:t>log⁡</m:t>
          </m:r>
          <m:r>
            <w:rPr>
              <w:rFonts w:ascii="Cambria Math" w:hAnsi="Cambria Math"/>
            </w:rPr>
            <m:t>(weibull scale parameter)=2.55-0.025(age-30)</m:t>
          </m:r>
        </m:oMath>
      </m:oMathPara>
    </w:p>
    <w:p w14:paraId="311DA2CB" w14:textId="0E4496EE" w:rsidR="00E64F05" w:rsidRDefault="00E64F05" w:rsidP="00E64F05">
      <w:r>
        <w:t xml:space="preserve">The </w:t>
      </w:r>
      <w:r w:rsidR="00AE34ED">
        <w:t>onset of AIDS in adults is scheduled to occur prior to the projected death date</w:t>
      </w:r>
      <w:r w:rsidR="003819CE">
        <w:t xml:space="preserve"> using a random draw from the exponential distribution with a mean of 18 months</w:t>
      </w:r>
      <w:r w:rsidR="00AE34ED">
        <w:t>.</w:t>
      </w:r>
      <w:r>
        <w:t xml:space="preserve"> </w:t>
      </w:r>
    </w:p>
    <w:p w14:paraId="711AE9A3" w14:textId="77777777" w:rsidR="00E64F05" w:rsidRDefault="00E64F05" w:rsidP="00E64F05"/>
    <w:p w14:paraId="32F7E62F" w14:textId="7E34B092" w:rsidR="00E64F05" w:rsidRDefault="00E64F05" w:rsidP="00E64F05">
      <w:pPr>
        <w:rPr>
          <w:color w:val="FF0000"/>
        </w:rPr>
      </w:pPr>
      <w:r>
        <w:rPr>
          <w:noProof/>
          <w:color w:val="FF0000"/>
          <w:lang w:eastAsia="en-GB"/>
        </w:rPr>
        <w:lastRenderedPageBreak/>
        <w:drawing>
          <wp:inline distT="0" distB="0" distL="0" distR="0" wp14:anchorId="09544571" wp14:editId="00F8B2A2">
            <wp:extent cx="4272242"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n_surv.png"/>
                    <pic:cNvPicPr/>
                  </pic:nvPicPr>
                  <pic:blipFill rotWithShape="1">
                    <a:blip r:embed="rId7">
                      <a:extLst>
                        <a:ext uri="{28A0092B-C50C-407E-A947-70E740481C1C}">
                          <a14:useLocalDpi xmlns:a14="http://schemas.microsoft.com/office/drawing/2010/main" val="0"/>
                        </a:ext>
                      </a:extLst>
                    </a:blip>
                    <a:srcRect t="14488" r="4609" b="2246"/>
                    <a:stretch/>
                  </pic:blipFill>
                  <pic:spPr bwMode="auto">
                    <a:xfrm>
                      <a:off x="0" y="0"/>
                      <a:ext cx="4276138" cy="2907774"/>
                    </a:xfrm>
                    <a:prstGeom prst="rect">
                      <a:avLst/>
                    </a:prstGeom>
                    <a:ln>
                      <a:noFill/>
                    </a:ln>
                    <a:extLst>
                      <a:ext uri="{53640926-AAD7-44D8-BBD7-CCE9431645EC}">
                        <a14:shadowObscured xmlns:a14="http://schemas.microsoft.com/office/drawing/2010/main"/>
                      </a:ext>
                    </a:extLst>
                  </pic:spPr>
                </pic:pic>
              </a:graphicData>
            </a:graphic>
          </wp:inline>
        </w:drawing>
      </w:r>
    </w:p>
    <w:p w14:paraId="6B46771B" w14:textId="37911497" w:rsidR="00E64F05" w:rsidRPr="00C13706" w:rsidRDefault="00C13706" w:rsidP="00E64F05">
      <w:r w:rsidRPr="00E86EC2">
        <w:t xml:space="preserve">Figure </w:t>
      </w:r>
      <w:r w:rsidR="00E86EC2" w:rsidRPr="00E86EC2">
        <w:t>3</w:t>
      </w:r>
      <w:r w:rsidRPr="00E86EC2">
        <w:t>. Median</w:t>
      </w:r>
      <w:r w:rsidRPr="00C13706">
        <w:t xml:space="preserve"> survival times by age at seroconversion for adults </w:t>
      </w:r>
      <w:r w:rsidR="00722B2D">
        <w:t xml:space="preserve">if untreated with ART </w:t>
      </w:r>
      <w:r w:rsidRPr="00C13706">
        <w:t>(men and women)</w:t>
      </w:r>
    </w:p>
    <w:p w14:paraId="2864F416" w14:textId="43F4C5A3" w:rsidR="00336707" w:rsidRDefault="00336707" w:rsidP="00336707"/>
    <w:p w14:paraId="71492E55" w14:textId="1F835BC8" w:rsidR="00C92DCB" w:rsidRDefault="00C92DCB" w:rsidP="00C92DCB">
      <w:pPr>
        <w:pStyle w:val="Heading2"/>
      </w:pPr>
      <w:r w:rsidRPr="000A1FF3">
        <w:t>Disability weights</w:t>
      </w:r>
    </w:p>
    <w:p w14:paraId="0D64C686" w14:textId="77777777" w:rsidR="00C92DCB" w:rsidRPr="00C92DCB" w:rsidRDefault="00C92DCB" w:rsidP="00C92DCB"/>
    <w:p w14:paraId="204EC94C" w14:textId="49DA0036" w:rsidR="00336707" w:rsidRDefault="00C13706" w:rsidP="00336707">
      <w:r w:rsidRPr="00E86EC2">
        <w:t xml:space="preserve">Table </w:t>
      </w:r>
      <w:r w:rsidR="00E86EC2" w:rsidRPr="00E86EC2">
        <w:t>3</w:t>
      </w:r>
      <w:r w:rsidRPr="00E86EC2">
        <w:t>. DALY weights</w:t>
      </w:r>
      <w:r>
        <w:t xml:space="preserve"> associated with HIV symptoms.</w:t>
      </w:r>
    </w:p>
    <w:tbl>
      <w:tblPr>
        <w:tblStyle w:val="TableGridLight"/>
        <w:tblW w:w="0" w:type="auto"/>
        <w:tblLook w:val="04A0" w:firstRow="1" w:lastRow="0" w:firstColumn="1" w:lastColumn="0" w:noHBand="0" w:noVBand="1"/>
      </w:tblPr>
      <w:tblGrid>
        <w:gridCol w:w="1199"/>
        <w:gridCol w:w="1343"/>
        <w:gridCol w:w="6384"/>
        <w:gridCol w:w="1530"/>
      </w:tblGrid>
      <w:tr w:rsidR="00C13706" w:rsidRPr="007E6DAA" w14:paraId="1C693C3F" w14:textId="77777777" w:rsidTr="00C13706">
        <w:tc>
          <w:tcPr>
            <w:tcW w:w="0" w:type="auto"/>
          </w:tcPr>
          <w:p w14:paraId="54C3489E" w14:textId="77777777" w:rsidR="00C13706" w:rsidRPr="007E6DAA" w:rsidRDefault="00C13706" w:rsidP="00AE254B">
            <w:pPr>
              <w:rPr>
                <w:b/>
                <w:sz w:val="20"/>
                <w:szCs w:val="20"/>
              </w:rPr>
            </w:pPr>
            <w:r w:rsidRPr="007E6DAA">
              <w:rPr>
                <w:b/>
                <w:sz w:val="20"/>
                <w:szCs w:val="20"/>
              </w:rPr>
              <w:t>HIV specific symptoms</w:t>
            </w:r>
          </w:p>
        </w:tc>
        <w:tc>
          <w:tcPr>
            <w:tcW w:w="0" w:type="auto"/>
          </w:tcPr>
          <w:p w14:paraId="62C5C68A" w14:textId="5C78918B" w:rsidR="00C13706" w:rsidRPr="007E6DAA" w:rsidRDefault="00C13706" w:rsidP="00AE254B">
            <w:pPr>
              <w:rPr>
                <w:b/>
                <w:sz w:val="20"/>
                <w:szCs w:val="20"/>
              </w:rPr>
            </w:pPr>
            <w:r>
              <w:rPr>
                <w:b/>
                <w:sz w:val="20"/>
                <w:szCs w:val="20"/>
              </w:rPr>
              <w:t>WHO classification</w:t>
            </w:r>
          </w:p>
        </w:tc>
        <w:tc>
          <w:tcPr>
            <w:tcW w:w="6384" w:type="dxa"/>
          </w:tcPr>
          <w:p w14:paraId="3C78D0C4" w14:textId="202B29B6" w:rsidR="00C13706" w:rsidRPr="007E6DAA" w:rsidRDefault="00C13706" w:rsidP="00AE254B">
            <w:pPr>
              <w:rPr>
                <w:b/>
                <w:sz w:val="20"/>
                <w:szCs w:val="20"/>
              </w:rPr>
            </w:pPr>
            <w:r>
              <w:rPr>
                <w:b/>
                <w:sz w:val="20"/>
                <w:szCs w:val="20"/>
              </w:rPr>
              <w:t>D</w:t>
            </w:r>
            <w:r w:rsidRPr="007E6DAA">
              <w:rPr>
                <w:b/>
                <w:sz w:val="20"/>
                <w:szCs w:val="20"/>
              </w:rPr>
              <w:t>ALY weight definition</w:t>
            </w:r>
          </w:p>
        </w:tc>
        <w:tc>
          <w:tcPr>
            <w:tcW w:w="1530" w:type="dxa"/>
          </w:tcPr>
          <w:p w14:paraId="01EDBEDB" w14:textId="75AF0FAC" w:rsidR="00C13706" w:rsidRPr="007E6DAA" w:rsidRDefault="00C13706" w:rsidP="00AE254B">
            <w:pPr>
              <w:rPr>
                <w:b/>
                <w:sz w:val="20"/>
                <w:szCs w:val="20"/>
              </w:rPr>
            </w:pPr>
            <w:r>
              <w:rPr>
                <w:b/>
                <w:sz w:val="20"/>
                <w:szCs w:val="20"/>
              </w:rPr>
              <w:t>D</w:t>
            </w:r>
            <w:r w:rsidRPr="007E6DAA">
              <w:rPr>
                <w:b/>
                <w:sz w:val="20"/>
                <w:szCs w:val="20"/>
              </w:rPr>
              <w:t>ALY weight</w:t>
            </w:r>
          </w:p>
        </w:tc>
      </w:tr>
      <w:tr w:rsidR="00C13706" w:rsidRPr="007E6DAA" w14:paraId="7DEE9C8D" w14:textId="77777777" w:rsidTr="00C13706">
        <w:tc>
          <w:tcPr>
            <w:tcW w:w="0" w:type="auto"/>
          </w:tcPr>
          <w:p w14:paraId="6F78E57E" w14:textId="14A7B09F" w:rsidR="00C13706" w:rsidRPr="007E6DAA" w:rsidRDefault="00C13706" w:rsidP="00AE254B">
            <w:pPr>
              <w:rPr>
                <w:sz w:val="20"/>
                <w:szCs w:val="20"/>
              </w:rPr>
            </w:pPr>
            <w:r>
              <w:rPr>
                <w:sz w:val="20"/>
                <w:szCs w:val="20"/>
              </w:rPr>
              <w:t>HIV infection</w:t>
            </w:r>
          </w:p>
        </w:tc>
        <w:tc>
          <w:tcPr>
            <w:tcW w:w="0" w:type="auto"/>
          </w:tcPr>
          <w:p w14:paraId="0C0916CD" w14:textId="77777777" w:rsidR="00C13706" w:rsidRPr="007E6DAA" w:rsidRDefault="00C13706" w:rsidP="00AE254B">
            <w:pPr>
              <w:rPr>
                <w:sz w:val="20"/>
                <w:szCs w:val="20"/>
              </w:rPr>
            </w:pPr>
            <w:r>
              <w:rPr>
                <w:sz w:val="20"/>
                <w:szCs w:val="20"/>
              </w:rPr>
              <w:t xml:space="preserve">WHO stage </w:t>
            </w:r>
            <w:r w:rsidRPr="007E6DAA">
              <w:rPr>
                <w:sz w:val="20"/>
                <w:szCs w:val="20"/>
              </w:rPr>
              <w:t>3</w:t>
            </w:r>
          </w:p>
        </w:tc>
        <w:tc>
          <w:tcPr>
            <w:tcW w:w="6384" w:type="dxa"/>
          </w:tcPr>
          <w:p w14:paraId="7E89DD53" w14:textId="77777777" w:rsidR="00C13706" w:rsidRPr="007E6DAA" w:rsidRDefault="00C13706" w:rsidP="00AE254B">
            <w:pPr>
              <w:rPr>
                <w:sz w:val="20"/>
                <w:szCs w:val="20"/>
              </w:rPr>
            </w:pPr>
            <w:r w:rsidRPr="007E6DAA">
              <w:rPr>
                <w:sz w:val="20"/>
                <w:szCs w:val="20"/>
              </w:rPr>
              <w:t xml:space="preserve">Symptomatic HIV without </w:t>
            </w:r>
            <w:proofErr w:type="spellStart"/>
            <w:r w:rsidRPr="007E6DAA">
              <w:rPr>
                <w:sz w:val="20"/>
                <w:szCs w:val="20"/>
              </w:rPr>
              <w:t>anemia</w:t>
            </w:r>
            <w:proofErr w:type="spellEnd"/>
            <w:r w:rsidRPr="007E6DAA">
              <w:rPr>
                <w:sz w:val="20"/>
                <w:szCs w:val="20"/>
              </w:rPr>
              <w:t>,"HIV cases, symptomatic, pre-</w:t>
            </w:r>
            <w:proofErr w:type="spellStart"/>
            <w:r w:rsidRPr="007E6DAA">
              <w:rPr>
                <w:sz w:val="20"/>
                <w:szCs w:val="20"/>
              </w:rPr>
              <w:t>AIDS","has</w:t>
            </w:r>
            <w:proofErr w:type="spellEnd"/>
            <w:r w:rsidRPr="007E6DAA">
              <w:rPr>
                <w:sz w:val="20"/>
                <w:szCs w:val="20"/>
              </w:rPr>
              <w:t xml:space="preserve"> weight loss, fatigue, and frequent infections.</w:t>
            </w:r>
          </w:p>
        </w:tc>
        <w:tc>
          <w:tcPr>
            <w:tcW w:w="1530" w:type="dxa"/>
          </w:tcPr>
          <w:p w14:paraId="0F8B823C" w14:textId="77777777" w:rsidR="00C13706" w:rsidRDefault="00C13706" w:rsidP="00AE254B">
            <w:pPr>
              <w:rPr>
                <w:sz w:val="20"/>
                <w:szCs w:val="20"/>
              </w:rPr>
            </w:pPr>
            <w:r w:rsidRPr="007E6DAA">
              <w:rPr>
                <w:sz w:val="20"/>
                <w:szCs w:val="20"/>
              </w:rPr>
              <w:t xml:space="preserve">0.274 </w:t>
            </w:r>
          </w:p>
          <w:p w14:paraId="09FCB89C" w14:textId="57F93C4F" w:rsidR="00C13706" w:rsidRPr="007E6DAA" w:rsidRDefault="00C13706" w:rsidP="00AE254B">
            <w:pPr>
              <w:rPr>
                <w:sz w:val="20"/>
                <w:szCs w:val="20"/>
              </w:rPr>
            </w:pPr>
            <w:r w:rsidRPr="007E6DAA">
              <w:rPr>
                <w:sz w:val="20"/>
                <w:szCs w:val="20"/>
              </w:rPr>
              <w:t>(0.184-0.377)</w:t>
            </w:r>
          </w:p>
        </w:tc>
      </w:tr>
      <w:tr w:rsidR="00C13706" w:rsidRPr="007E6DAA" w14:paraId="0BB78DB8" w14:textId="77777777" w:rsidTr="00C13706">
        <w:tc>
          <w:tcPr>
            <w:tcW w:w="0" w:type="auto"/>
          </w:tcPr>
          <w:p w14:paraId="45F8D37E" w14:textId="77777777" w:rsidR="00C13706" w:rsidRPr="007E6DAA" w:rsidRDefault="00C13706" w:rsidP="00AE254B">
            <w:pPr>
              <w:rPr>
                <w:sz w:val="20"/>
                <w:szCs w:val="20"/>
              </w:rPr>
            </w:pPr>
            <w:r>
              <w:rPr>
                <w:sz w:val="20"/>
                <w:szCs w:val="20"/>
              </w:rPr>
              <w:t>AIDS</w:t>
            </w:r>
          </w:p>
        </w:tc>
        <w:tc>
          <w:tcPr>
            <w:tcW w:w="0" w:type="auto"/>
          </w:tcPr>
          <w:p w14:paraId="75D675CB" w14:textId="77777777" w:rsidR="00C13706" w:rsidRPr="007E6DAA" w:rsidRDefault="00C13706" w:rsidP="00AE254B">
            <w:pPr>
              <w:rPr>
                <w:sz w:val="20"/>
                <w:szCs w:val="20"/>
              </w:rPr>
            </w:pPr>
            <w:r w:rsidRPr="007E6DAA">
              <w:rPr>
                <w:sz w:val="20"/>
                <w:szCs w:val="20"/>
              </w:rPr>
              <w:t>WHO stage 4</w:t>
            </w:r>
          </w:p>
        </w:tc>
        <w:tc>
          <w:tcPr>
            <w:tcW w:w="6384" w:type="dxa"/>
          </w:tcPr>
          <w:p w14:paraId="0C82C74E" w14:textId="77777777" w:rsidR="00C13706" w:rsidRPr="007E6DAA" w:rsidRDefault="00C13706" w:rsidP="00AE254B">
            <w:pPr>
              <w:rPr>
                <w:sz w:val="20"/>
                <w:szCs w:val="20"/>
              </w:rPr>
            </w:pPr>
            <w:r w:rsidRPr="007E6DAA">
              <w:rPr>
                <w:sz w:val="20"/>
                <w:szCs w:val="20"/>
              </w:rPr>
              <w:t xml:space="preserve">AIDS without antiretroviral treatment without </w:t>
            </w:r>
            <w:proofErr w:type="spellStart"/>
            <w:r w:rsidRPr="007E6DAA">
              <w:rPr>
                <w:sz w:val="20"/>
                <w:szCs w:val="20"/>
              </w:rPr>
              <w:t>anemia</w:t>
            </w:r>
            <w:proofErr w:type="spellEnd"/>
            <w:r w:rsidRPr="007E6DAA">
              <w:rPr>
                <w:sz w:val="20"/>
                <w:szCs w:val="20"/>
              </w:rPr>
              <w:t xml:space="preserve">,"AIDS cases, not receiving ARV </w:t>
            </w:r>
            <w:proofErr w:type="spellStart"/>
            <w:r w:rsidRPr="007E6DAA">
              <w:rPr>
                <w:sz w:val="20"/>
                <w:szCs w:val="20"/>
              </w:rPr>
              <w:t>treatment","has</w:t>
            </w:r>
            <w:proofErr w:type="spellEnd"/>
            <w:r w:rsidRPr="007E6DAA">
              <w:rPr>
                <w:sz w:val="20"/>
                <w:szCs w:val="20"/>
              </w:rPr>
              <w:t xml:space="preserve"> severe weight loss, weakness, fatigue, cough and fever, and frequent infections, skin rashes and </w:t>
            </w:r>
            <w:proofErr w:type="spellStart"/>
            <w:r w:rsidRPr="007E6DAA">
              <w:rPr>
                <w:sz w:val="20"/>
                <w:szCs w:val="20"/>
              </w:rPr>
              <w:t>diarrhea</w:t>
            </w:r>
            <w:proofErr w:type="spellEnd"/>
          </w:p>
        </w:tc>
        <w:tc>
          <w:tcPr>
            <w:tcW w:w="1530" w:type="dxa"/>
          </w:tcPr>
          <w:p w14:paraId="5F28A6EA" w14:textId="77777777" w:rsidR="00C13706" w:rsidRDefault="00C13706" w:rsidP="00AE254B">
            <w:pPr>
              <w:rPr>
                <w:sz w:val="20"/>
                <w:szCs w:val="20"/>
              </w:rPr>
            </w:pPr>
            <w:r w:rsidRPr="007E6DAA">
              <w:rPr>
                <w:sz w:val="20"/>
                <w:szCs w:val="20"/>
              </w:rPr>
              <w:t xml:space="preserve">0.582 </w:t>
            </w:r>
          </w:p>
          <w:p w14:paraId="1024C452" w14:textId="761001F9" w:rsidR="00C13706" w:rsidRPr="007E6DAA" w:rsidRDefault="00C13706" w:rsidP="00AE254B">
            <w:pPr>
              <w:rPr>
                <w:sz w:val="20"/>
                <w:szCs w:val="20"/>
              </w:rPr>
            </w:pPr>
            <w:r w:rsidRPr="007E6DAA">
              <w:rPr>
                <w:sz w:val="20"/>
                <w:szCs w:val="20"/>
              </w:rPr>
              <w:t>(0.406-0.743)</w:t>
            </w:r>
          </w:p>
        </w:tc>
      </w:tr>
    </w:tbl>
    <w:p w14:paraId="4BF01786" w14:textId="77777777" w:rsidR="00C13706" w:rsidRPr="00336707" w:rsidRDefault="00C13706" w:rsidP="00336707"/>
    <w:p w14:paraId="29D13354" w14:textId="77777777" w:rsidR="00336707" w:rsidRPr="00336707" w:rsidRDefault="00336707" w:rsidP="00336707"/>
    <w:p w14:paraId="439408F3" w14:textId="21281A10" w:rsidR="00336707" w:rsidRDefault="00336707" w:rsidP="00336707"/>
    <w:p w14:paraId="1A7C8BBE" w14:textId="3709A6C8" w:rsidR="00336707" w:rsidRDefault="00336707" w:rsidP="00336707"/>
    <w:p w14:paraId="732C35E0" w14:textId="1341C8D8" w:rsidR="00F86E85" w:rsidRDefault="00F86E85" w:rsidP="00C92DCB">
      <w:pPr>
        <w:pStyle w:val="Heading2"/>
      </w:pPr>
      <w:r>
        <w:t>Female sex work</w:t>
      </w:r>
    </w:p>
    <w:p w14:paraId="021BD833" w14:textId="47B24027" w:rsidR="00F86E85" w:rsidRDefault="00F86E85" w:rsidP="00F86E85">
      <w:r>
        <w:t>The size of the female sex worker population is assumed to be constant over time and we use the most recent estimate from UNAIDS, 31,200 women, corresponding with 0.0069 of all women aged 15-49. All other estimates agree that the proportion of women engaging in sex work is below 1%. Women are randomly recruited into sex work if they are between the ages of 15 and 49 and unmarried. The annual probability of transitioning from sex work to a low sexual risk group is 1/5.5, given the average duration of sex work reported in African countries.</w:t>
      </w:r>
      <w:r>
        <w:fldChar w:fldCharType="begin"/>
      </w:r>
      <w:r w:rsidR="001E7D27">
        <w:instrText xml:space="preserve"> ADDIN EN.CITE &lt;EndNote&gt;&lt;Cite&gt;&lt;Author&gt;Fazito&lt;/Author&gt;&lt;Year&gt;2012&lt;/Year&gt;&lt;RecNum&gt;10&lt;/RecNum&gt;&lt;DisplayText&gt;(Fazito, Cuchi et al. 2012)&lt;/DisplayText&gt;&lt;record&gt;&lt;rec-number&gt;10&lt;/rec-number&gt;&lt;foreign-keys&gt;&lt;key app="EN" db-id="fdxddfzvgd2s5def22lpt2vlxvrw59fw92zw" timestamp="1611831216"&gt;10&lt;/key&gt;&lt;/foreign-keys&gt;&lt;ref-type name="Journal Article"&gt;17&lt;/ref-type&gt;&lt;contributors&gt;&lt;authors&gt;&lt;author&gt;Fazito, Erika&lt;/author&gt;&lt;author&gt;Cuchi, Paloma&lt;/author&gt;&lt;author&gt;Mahy, Mary&lt;/author&gt;&lt;author&gt;Brown, Tim&lt;/author&gt;&lt;/authors&gt;&lt;/contributors&gt;&lt;titles&gt;&lt;title&gt;Analysis of duration of risk behaviour for key populations: a literature review&lt;/title&gt;&lt;secondary-title&gt;Sexually Transmitted Infections&lt;/secondary-title&gt;&lt;/titles&gt;&lt;periodical&gt;&lt;full-title&gt;Sexually Transmitted Infections&lt;/full-title&gt;&lt;/periodical&gt;&lt;pages&gt;i24-i32&lt;/pages&gt;&lt;volume&gt;88&lt;/volume&gt;&lt;number&gt;Suppl 2&lt;/number&gt;&lt;dates&gt;&lt;year&gt;2012&lt;/year&gt;&lt;/dates&gt;&lt;urls&gt;&lt;related-urls&gt;&lt;url&gt;https://sti.bmj.com/content/sextrans/88/Suppl_2/i24.full.pdf&lt;/url&gt;&lt;/related-urls&gt;&lt;/urls&gt;&lt;electronic-resource-num&gt;10.1136/sextrans-2012-050647&lt;/electronic-resource-num&gt;&lt;/record&gt;&lt;/Cite&gt;&lt;/EndNote&gt;</w:instrText>
      </w:r>
      <w:r>
        <w:fldChar w:fldCharType="separate"/>
      </w:r>
      <w:r>
        <w:rPr>
          <w:noProof/>
        </w:rPr>
        <w:t>(Fazito, Cuchi et al. 2012)</w:t>
      </w:r>
      <w:r>
        <w:fldChar w:fldCharType="end"/>
      </w:r>
      <w:r>
        <w:t xml:space="preserve"> </w:t>
      </w:r>
    </w:p>
    <w:p w14:paraId="0141DFE4" w14:textId="77777777" w:rsidR="00F86E85" w:rsidRDefault="00F86E85" w:rsidP="00F86E85"/>
    <w:p w14:paraId="5736EC9F" w14:textId="77777777" w:rsidR="00F86E85" w:rsidRDefault="00F86E85" w:rsidP="00F86E85">
      <w:r>
        <w:rPr>
          <w:noProof/>
          <w:lang w:eastAsia="en-GB"/>
        </w:rPr>
        <w:lastRenderedPageBreak/>
        <w:drawing>
          <wp:inline distT="0" distB="0" distL="0" distR="0" wp14:anchorId="01F49637" wp14:editId="1F335AEE">
            <wp:extent cx="6410325" cy="3105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206279" w14:textId="592F4BC5" w:rsidR="00F86E85" w:rsidRDefault="00F86E85" w:rsidP="00F86E85">
      <w:r>
        <w:t xml:space="preserve">Sources: </w:t>
      </w:r>
      <w:r>
        <w:fldChar w:fldCharType="begin">
          <w:fldData xml:space="preserve">PEVuZE5vdGU+PENpdGU+PEF1dGhvcj5DaGl6aW1iYTwvQXV0aG9yPjxZZWFyPjIwMTE8L1llYXI+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</w:fldData>
        </w:fldChar>
      </w:r>
      <w:r w:rsidR="001E7D27">
        <w:instrText xml:space="preserve"> ADDIN EN.CITE </w:instrText>
      </w:r>
      <w:r w:rsidR="001E7D27">
        <w:fldChar w:fldCharType="begin">
          <w:fldData xml:space="preserve">PEVuZE5vdGU+PENpdGU+PEF1dGhvcj5DaGl6aW1iYTwvQXV0aG9yPjxZZWFyPjIwMTE8L1llYXI+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</w:fldData>
        </w:fldChar>
      </w:r>
      <w:r w:rsidR="001E7D27">
        <w:instrText xml:space="preserve"> ADDIN EN.CITE.DATA </w:instrText>
      </w:r>
      <w:r w:rsidR="001E7D27">
        <w:fldChar w:fldCharType="end"/>
      </w:r>
      <w:r>
        <w:fldChar w:fldCharType="separate"/>
      </w:r>
      <w:r>
        <w:rPr>
          <w:noProof/>
        </w:rPr>
        <w:t>(Chizimba and Malera 2011, [Malawi] 2014, Joint United Nations Programme on HIV/AIDS 2017, PEPFAR 2017)</w:t>
      </w:r>
      <w:r>
        <w:fldChar w:fldCharType="end"/>
      </w:r>
    </w:p>
    <w:p w14:paraId="026EBD70" w14:textId="77777777" w:rsidR="00F86E85" w:rsidRDefault="00F86E85" w:rsidP="00F86E85">
      <w:r>
        <w:t xml:space="preserve">Notes: </w:t>
      </w:r>
      <w:proofErr w:type="spellStart"/>
      <w:r>
        <w:t>Pepfar</w:t>
      </w:r>
      <w:proofErr w:type="spellEnd"/>
      <w:r>
        <w:t xml:space="preserve"> estimate from Global Fund concept note 2014, PLACE study conducted in 6 districts</w:t>
      </w:r>
    </w:p>
    <w:p w14:paraId="6D66205E" w14:textId="77777777" w:rsidR="00F86E85" w:rsidRDefault="00F86E85" w:rsidP="00F86E85">
      <w:proofErr w:type="spellStart"/>
      <w:r>
        <w:t>Pepfar</w:t>
      </w:r>
      <w:proofErr w:type="spellEnd"/>
      <w:r>
        <w:t xml:space="preserve"> using same estimate for 2016, 2017 and </w:t>
      </w:r>
      <w:proofErr w:type="gramStart"/>
      <w:r>
        <w:t>2018</w:t>
      </w:r>
      <w:proofErr w:type="gramEnd"/>
    </w:p>
    <w:p w14:paraId="6495CF8F" w14:textId="77777777" w:rsidR="00F86E85" w:rsidRDefault="00F86E85" w:rsidP="00336707">
      <w:pPr>
        <w:pStyle w:val="Heading2"/>
      </w:pPr>
    </w:p>
    <w:p w14:paraId="150B017C" w14:textId="77777777" w:rsidR="00F86E85" w:rsidRDefault="00F86E85" w:rsidP="00336707">
      <w:pPr>
        <w:pStyle w:val="Heading2"/>
      </w:pPr>
    </w:p>
    <w:p w14:paraId="0135A544" w14:textId="624891B7" w:rsidR="00336707" w:rsidRDefault="00336707" w:rsidP="00336707">
      <w:pPr>
        <w:pStyle w:val="Heading2"/>
      </w:pPr>
      <w:r>
        <w:t>Health System Interactions</w:t>
      </w:r>
    </w:p>
    <w:p w14:paraId="01A4D1F5" w14:textId="2B174EE6" w:rsidR="00336707" w:rsidRDefault="00336707" w:rsidP="00336707"/>
    <w:p w14:paraId="5C57626B" w14:textId="331CC44C" w:rsidR="00336707" w:rsidRDefault="00336707" w:rsidP="00336707">
      <w:pPr>
        <w:pStyle w:val="Heading3"/>
      </w:pPr>
      <w:r>
        <w:t xml:space="preserve">Care Seeking &amp; </w:t>
      </w:r>
      <w:r w:rsidR="00116BEC">
        <w:t xml:space="preserve">health system </w:t>
      </w:r>
      <w:proofErr w:type="gramStart"/>
      <w:r w:rsidR="00116BEC">
        <w:t>interactions</w:t>
      </w:r>
      <w:proofErr w:type="gramEnd"/>
    </w:p>
    <w:p w14:paraId="39FC924B" w14:textId="7E8B9D1C" w:rsidR="000F0D6B" w:rsidRDefault="000F0D6B" w:rsidP="006D09ED">
      <w:r>
        <w:t xml:space="preserve">HIV tests are scheduled </w:t>
      </w:r>
      <w:r w:rsidR="00443129">
        <w:t xml:space="preserve">to occur </w:t>
      </w:r>
      <w:r>
        <w:t xml:space="preserve">in the simulation through </w:t>
      </w:r>
      <w:r w:rsidR="00D64612">
        <w:t>four</w:t>
      </w:r>
      <w:r>
        <w:t xml:space="preserve"> routes: </w:t>
      </w:r>
    </w:p>
    <w:p w14:paraId="43946E20" w14:textId="73D95B3F" w:rsidR="006D09ED" w:rsidRDefault="000F0D6B" w:rsidP="000F0D6B">
      <w:pPr>
        <w:pStyle w:val="ListParagraph"/>
        <w:numPr>
          <w:ilvl w:val="0"/>
          <w:numId w:val="7"/>
        </w:numPr>
      </w:pPr>
      <w:r>
        <w:t xml:space="preserve">a regular event poll running annually and randomly allocating tests to individuals </w:t>
      </w:r>
      <w:r w:rsidR="00A24100">
        <w:t xml:space="preserve">of any age </w:t>
      </w:r>
      <w:r>
        <w:t xml:space="preserve">at any point in that </w:t>
      </w:r>
      <w:proofErr w:type="gramStart"/>
      <w:r>
        <w:t>year</w:t>
      </w:r>
      <w:proofErr w:type="gramEnd"/>
    </w:p>
    <w:p w14:paraId="00453ACA" w14:textId="1AD09933" w:rsidR="00D64612" w:rsidRDefault="00D64612" w:rsidP="000F0D6B">
      <w:pPr>
        <w:pStyle w:val="ListParagraph"/>
        <w:numPr>
          <w:ilvl w:val="0"/>
          <w:numId w:val="7"/>
        </w:numPr>
      </w:pPr>
      <w:r>
        <w:t xml:space="preserve">following the onset of AIDS symptoms which trigger healthcare seeking through the healthcare seeking </w:t>
      </w:r>
      <w:proofErr w:type="gramStart"/>
      <w:r>
        <w:t>algorithm</w:t>
      </w:r>
      <w:proofErr w:type="gramEnd"/>
    </w:p>
    <w:p w14:paraId="3D56364F" w14:textId="18416865" w:rsidR="000F0D6B" w:rsidRDefault="000F0D6B" w:rsidP="000F0D6B">
      <w:pPr>
        <w:pStyle w:val="ListParagraph"/>
        <w:numPr>
          <w:ilvl w:val="0"/>
          <w:numId w:val="7"/>
        </w:numPr>
      </w:pPr>
      <w:r>
        <w:t>through another healthcare-seeking event</w:t>
      </w:r>
      <w:r w:rsidR="00443129">
        <w:t xml:space="preserve">, </w:t>
      </w:r>
      <w:proofErr w:type="gramStart"/>
      <w:r w:rsidR="00443129">
        <w:t>e.g.</w:t>
      </w:r>
      <w:proofErr w:type="gramEnd"/>
      <w:r w:rsidR="00443129">
        <w:t xml:space="preserve"> TB diagnosis or antenatal care appointment,</w:t>
      </w:r>
      <w:r>
        <w:t xml:space="preserve"> which triggers a request for an HIV test</w:t>
      </w:r>
    </w:p>
    <w:p w14:paraId="7B418323" w14:textId="26293D21" w:rsidR="00DD320B" w:rsidRDefault="000F0D6B" w:rsidP="00DD320B">
      <w:pPr>
        <w:pStyle w:val="ListParagraph"/>
        <w:numPr>
          <w:ilvl w:val="0"/>
          <w:numId w:val="7"/>
        </w:numPr>
      </w:pPr>
      <w:r>
        <w:t>when an infant is born to an HIV-positive mother</w:t>
      </w:r>
    </w:p>
    <w:p w14:paraId="171ACFF7" w14:textId="625C92DB" w:rsidR="00DD320B" w:rsidRDefault="00DD320B" w:rsidP="00DD320B">
      <w:r>
        <w:t>Following the HIV test, they may or may not then present for further health services, such as ART (if HIV-positive), voluntary male medical circumcision (if HIV-negative and male)</w:t>
      </w:r>
      <w:r w:rsidR="00A153F0">
        <w:t>, behaviour change counselling (if HIV-negative and aged 15 years or older)</w:t>
      </w:r>
      <w:r>
        <w:t xml:space="preserve"> or </w:t>
      </w:r>
      <w:proofErr w:type="spellStart"/>
      <w:r>
        <w:t>PrEP</w:t>
      </w:r>
      <w:proofErr w:type="spellEnd"/>
      <w:r>
        <w:t xml:space="preserve"> (if HIV-negative and a female sex worker). </w:t>
      </w:r>
      <w:r w:rsidR="00456334">
        <w:t xml:space="preserve">The overall number of tests performed each year are calibrated to match the </w:t>
      </w:r>
      <w:proofErr w:type="spellStart"/>
      <w:r w:rsidR="00456334">
        <w:t>MoH</w:t>
      </w:r>
      <w:proofErr w:type="spellEnd"/>
      <w:r w:rsidR="00456334">
        <w:t xml:space="preserve"> reports of testing coverage. HIV testing is assumed to be 100% sensitive and specific.</w:t>
      </w:r>
      <w:r w:rsidR="00456334">
        <w:fldChar w:fldCharType="begin"/>
      </w:r>
      <w:r w:rsidR="00174830">
        <w:instrText xml:space="preserve"> ADDIN EN.CITE &lt;EndNote&gt;&lt;Cite&gt;&lt;Author&gt;Wright&lt;/Author&gt;&lt;Year&gt;2004&lt;/Year&gt;&lt;RecNum&gt;20&lt;/RecNum&gt;&lt;DisplayText&gt;(Wright and Stringer 2004)&lt;/DisplayText&gt;&lt;record&gt;&lt;rec-number&gt;20&lt;/rec-number&gt;&lt;foreign-keys&gt;&lt;key app="EN" db-id="fdxddfzvgd2s5def22lpt2vlxvrw59fw92zw" timestamp="1611831216"&gt;20&lt;/key&gt;&lt;/foreign-keys&gt;&lt;ref-type name="Journal Article"&gt;17&lt;/ref-type&gt;&lt;contributors&gt;&lt;authors&gt;&lt;author&gt;Wright, Richard J&lt;/author&gt;&lt;author&gt;Stringer, Jeffrey SA&lt;/author&gt;&lt;/authors&gt;&lt;/contributors&gt;&lt;titles&gt;&lt;title&gt;Rapid testing strategies for HIV-1 serodiagnosis in high-prevalence African settings&lt;/title&gt;&lt;secondary-title&gt;American journal of preventive medicine&lt;/secondary-title&gt;&lt;/titles&gt;&lt;periodical&gt;&lt;full-title&gt;American journal of preventive medicine&lt;/full-title&gt;&lt;/periodical&gt;&lt;pages&gt;42-48&lt;/pages&gt;&lt;volume&gt;27&lt;/volume&gt;&lt;number&gt;1&lt;/number&gt;&lt;dates&gt;&lt;year&gt;2004&lt;/year&gt;&lt;/dates&gt;&lt;isbn&gt;0749-3797&lt;/isbn&gt;&lt;urls&gt;&lt;related-urls&gt;&lt;url&gt;https://www.sciencedirect.com/science/article/pii/S0749379704000480&lt;/url&gt;&lt;/related-urls&gt;&lt;/urls&gt;&lt;/record&gt;&lt;/Cite&gt;&lt;/EndNote&gt;</w:instrText>
      </w:r>
      <w:r w:rsidR="00456334">
        <w:fldChar w:fldCharType="separate"/>
      </w:r>
      <w:r w:rsidR="00456334">
        <w:rPr>
          <w:noProof/>
        </w:rPr>
        <w:t>(Wright and Stringer 2004)</w:t>
      </w:r>
      <w:r w:rsidR="00456334">
        <w:fldChar w:fldCharType="end"/>
      </w:r>
      <w:r w:rsidR="00456334">
        <w:t xml:space="preserve"> </w:t>
      </w:r>
    </w:p>
    <w:p w14:paraId="6279EA22" w14:textId="77777777" w:rsidR="00116BEC" w:rsidRDefault="00116BEC" w:rsidP="00DD320B"/>
    <w:p w14:paraId="529C8BF0" w14:textId="77777777" w:rsidR="00116BEC" w:rsidRDefault="00116BEC" w:rsidP="00A24100">
      <w:pPr>
        <w:pStyle w:val="Subtitle"/>
        <w:spacing w:after="0"/>
        <w:rPr>
          <w:rStyle w:val="SubtleEmphasis"/>
        </w:rPr>
      </w:pPr>
      <w:r>
        <w:rPr>
          <w:rStyle w:val="SubtleEmphasis"/>
        </w:rPr>
        <w:t>Treatment for HIV</w:t>
      </w:r>
    </w:p>
    <w:p w14:paraId="23B84A7F" w14:textId="5D142D3C" w:rsidR="00D64612" w:rsidRDefault="00174830" w:rsidP="00A24100">
      <w:pPr>
        <w:spacing w:after="0"/>
      </w:pPr>
      <w:r>
        <w:t xml:space="preserve">Following a positive HIV test, a follow-up appointment for referral to ART is scheduled. </w:t>
      </w:r>
      <w:r w:rsidR="00D64612">
        <w:t xml:space="preserve">The decision to start ART is informed by a linear model which predicts the probability of starting ART after a positive HIV </w:t>
      </w:r>
      <w:r w:rsidR="00443129">
        <w:t xml:space="preserve">test </w:t>
      </w:r>
      <w:r w:rsidR="00D64612">
        <w:t>given the presence or absence of AIDS symptoms. The probability is currently set to 1, but this will be calibrated to match the overall number of new ART initiators.</w:t>
      </w:r>
      <w:r w:rsidR="0089417D" w:rsidRPr="0089417D">
        <w:t xml:space="preserve"> </w:t>
      </w:r>
      <w:r w:rsidR="0089417D">
        <w:t xml:space="preserve">First-line treatment for adults </w:t>
      </w:r>
      <w:r w:rsidR="00A7396B">
        <w:t>a</w:t>
      </w:r>
      <w:r w:rsidR="0089417D">
        <w:t xml:space="preserve">nd children also includes cotrimoxazole dispensation, both of which must be available for ART initiation to run in the model. </w:t>
      </w:r>
    </w:p>
    <w:p w14:paraId="3D9F7D3C" w14:textId="2A9441C3" w:rsidR="00B443F3" w:rsidRDefault="00B443F3" w:rsidP="00A24100">
      <w:pPr>
        <w:spacing w:after="0"/>
      </w:pPr>
    </w:p>
    <w:p w14:paraId="1367C491" w14:textId="6C0C3594" w:rsidR="00B443F3" w:rsidRDefault="00B443F3" w:rsidP="00A24100">
      <w:pPr>
        <w:spacing w:after="0"/>
      </w:pPr>
      <w:r>
        <w:t>The ART initiation event first checks whether the required drugs are available</w:t>
      </w:r>
      <w:r w:rsidR="0089417D">
        <w:t xml:space="preserve"> </w:t>
      </w:r>
      <w:r w:rsidR="0089417D" w:rsidRPr="00E86EC2">
        <w:t xml:space="preserve">(Figure </w:t>
      </w:r>
      <w:r w:rsidR="00E86EC2" w:rsidRPr="00E86EC2">
        <w:t>4</w:t>
      </w:r>
      <w:r w:rsidR="0089417D" w:rsidRPr="00E86EC2">
        <w:t>)</w:t>
      </w:r>
      <w:r w:rsidRPr="00E86EC2">
        <w:t>. If</w:t>
      </w:r>
      <w:r>
        <w:t xml:space="preserve"> available, the person will start ART and a decision is made on whether they will be virally suppressed using the probabilities of viral suppression by age </w:t>
      </w:r>
      <w:r>
        <w:lastRenderedPageBreak/>
        <w:t>and sex. If a person is virally suppressed, any</w:t>
      </w:r>
      <w:r w:rsidR="00443129">
        <w:t xml:space="preserve"> existing HIV-related</w:t>
      </w:r>
      <w:r>
        <w:t xml:space="preserve"> symptoms will be cleared and AIDS onset and death due to AIDS will not occur. Another event</w:t>
      </w:r>
      <w:r w:rsidR="00A24100">
        <w:t xml:space="preserve"> is</w:t>
      </w:r>
      <w:r>
        <w:t xml:space="preserve"> then</w:t>
      </w:r>
      <w:r w:rsidR="00A24100">
        <w:t xml:space="preserve"> scheduled in 6 months to decide whether to continue or interrupt </w:t>
      </w:r>
      <w:r w:rsidR="007C1FBC">
        <w:t xml:space="preserve">treatment. </w:t>
      </w:r>
    </w:p>
    <w:p w14:paraId="2782BEED" w14:textId="77777777" w:rsidR="00B443F3" w:rsidRDefault="00B443F3" w:rsidP="00A24100">
      <w:pPr>
        <w:spacing w:after="0"/>
      </w:pPr>
    </w:p>
    <w:p w14:paraId="3105FD50" w14:textId="1954435B" w:rsidR="0046301D" w:rsidRDefault="007C1FBC" w:rsidP="00A24100">
      <w:pPr>
        <w:spacing w:after="0"/>
      </w:pPr>
      <w:r>
        <w:t>If the required drugs</w:t>
      </w:r>
      <w:r w:rsidR="007210DB">
        <w:t xml:space="preserve"> or an appropriate appointment type</w:t>
      </w:r>
      <w:r>
        <w:t xml:space="preserve"> are not available at that time, the person can seek another appointment to pick up medication</w:t>
      </w:r>
      <w:r w:rsidR="00B443F3">
        <w:t xml:space="preserve"> and the consumables</w:t>
      </w:r>
      <w:r w:rsidR="00443129">
        <w:t>/appointment</w:t>
      </w:r>
      <w:r w:rsidR="00B443F3">
        <w:t xml:space="preserve"> check</w:t>
      </w:r>
      <w:r w:rsidR="00443129">
        <w:t>s</w:t>
      </w:r>
      <w:r w:rsidR="00B443F3">
        <w:t xml:space="preserve"> will run again</w:t>
      </w:r>
      <w:r>
        <w:t xml:space="preserve">. </w:t>
      </w:r>
    </w:p>
    <w:p w14:paraId="395FC4E4" w14:textId="77777777" w:rsidR="0089417D" w:rsidRDefault="0089417D" w:rsidP="00A24100">
      <w:pPr>
        <w:spacing w:after="0"/>
      </w:pPr>
    </w:p>
    <w:p w14:paraId="1EE9C6DA" w14:textId="1B0473C5" w:rsidR="0089417D" w:rsidRDefault="0089417D" w:rsidP="00A24100">
      <w:pPr>
        <w:spacing w:after="0"/>
      </w:pPr>
      <w:r>
        <w:t>At every 6-month continuation appointment, the decision to continue treatment is a random draw based on the probability of retention</w:t>
      </w:r>
      <w:r w:rsidR="007210DB">
        <w:t xml:space="preserve"> (assumed to be 98%)</w:t>
      </w:r>
      <w:r>
        <w:t xml:space="preserve">. If continued, viral load monitoring is scheduled along with ART dispensation. </w:t>
      </w:r>
    </w:p>
    <w:p w14:paraId="4E9B5C6B" w14:textId="77777777" w:rsidR="0046301D" w:rsidRDefault="0046301D" w:rsidP="00A24100">
      <w:pPr>
        <w:spacing w:after="0"/>
      </w:pPr>
    </w:p>
    <w:p w14:paraId="4DF9A3B3" w14:textId="77777777" w:rsidR="0046301D" w:rsidRDefault="0046301D" w:rsidP="00A24100">
      <w:pPr>
        <w:spacing w:after="0"/>
      </w:pPr>
    </w:p>
    <w:p w14:paraId="02F864FA" w14:textId="77777777" w:rsidR="0046301D" w:rsidRDefault="0046301D" w:rsidP="00A24100">
      <w:pPr>
        <w:spacing w:after="0"/>
      </w:pPr>
    </w:p>
    <w:p w14:paraId="3E659DF1" w14:textId="324BE256" w:rsidR="0046301D" w:rsidRDefault="0046301D" w:rsidP="00A24100">
      <w:pPr>
        <w:spacing w:after="0"/>
      </w:pPr>
      <w:r>
        <w:rPr>
          <w:noProof/>
        </w:rPr>
        <w:drawing>
          <wp:inline distT="0" distB="0" distL="0" distR="0" wp14:anchorId="2436C926" wp14:editId="150DE2DA">
            <wp:extent cx="2520696" cy="4696968"/>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4696968"/>
                    </a:xfrm>
                    <a:prstGeom prst="rect">
                      <a:avLst/>
                    </a:prstGeom>
                  </pic:spPr>
                </pic:pic>
              </a:graphicData>
            </a:graphic>
          </wp:inline>
        </w:drawing>
      </w:r>
    </w:p>
    <w:p w14:paraId="686B950A" w14:textId="7D2835F9" w:rsidR="0046301D" w:rsidRDefault="0046301D" w:rsidP="00A24100">
      <w:pPr>
        <w:spacing w:after="0"/>
      </w:pPr>
      <w:r w:rsidRPr="00E86EC2">
        <w:t xml:space="preserve">Figure </w:t>
      </w:r>
      <w:r w:rsidR="00E86EC2" w:rsidRPr="00E86EC2">
        <w:t>4</w:t>
      </w:r>
      <w:r w:rsidRPr="00E86EC2">
        <w:t>. Process</w:t>
      </w:r>
      <w:r>
        <w:t xml:space="preserve"> for new ART initiato</w:t>
      </w:r>
      <w:r w:rsidR="000B33EE">
        <w:t>rs</w:t>
      </w:r>
    </w:p>
    <w:p w14:paraId="267CD4B0" w14:textId="77777777" w:rsidR="0046301D" w:rsidRDefault="0046301D" w:rsidP="00A24100">
      <w:pPr>
        <w:spacing w:after="0"/>
      </w:pPr>
    </w:p>
    <w:p w14:paraId="56EB4987" w14:textId="77777777" w:rsidR="0046301D" w:rsidRDefault="0046301D" w:rsidP="00A24100">
      <w:pPr>
        <w:spacing w:after="0"/>
      </w:pPr>
    </w:p>
    <w:p w14:paraId="54A84E37" w14:textId="45D642B2" w:rsidR="00336707" w:rsidRDefault="00116BEC" w:rsidP="00336707">
      <w:pPr>
        <w:pStyle w:val="Heading3"/>
      </w:pPr>
      <w:r>
        <w:t>I</w:t>
      </w:r>
      <w:r w:rsidR="00336707">
        <w:t>nterventions</w:t>
      </w:r>
      <w:r>
        <w:t xml:space="preserve"> for HIV prevention</w:t>
      </w:r>
    </w:p>
    <w:p w14:paraId="4023E11F" w14:textId="67323141" w:rsidR="00116BEC" w:rsidRPr="00116BEC" w:rsidRDefault="001A3E2B" w:rsidP="00116BEC">
      <w:r>
        <w:t xml:space="preserve">If a person tests negative for HIV, they can be referred to behaviour change counselling, voluntary male medical </w:t>
      </w:r>
      <w:proofErr w:type="gramStart"/>
      <w:r>
        <w:t>circumcision</w:t>
      </w:r>
      <w:proofErr w:type="gramEnd"/>
      <w:r>
        <w:t xml:space="preserve"> or pre-exposure prophylaxis (</w:t>
      </w:r>
      <w:proofErr w:type="spellStart"/>
      <w:r>
        <w:t>PrEP</w:t>
      </w:r>
      <w:proofErr w:type="spellEnd"/>
      <w:r>
        <w:t xml:space="preserve">) as appropriate. Currently </w:t>
      </w:r>
      <w:proofErr w:type="spellStart"/>
      <w:r>
        <w:t>PrEP</w:t>
      </w:r>
      <w:proofErr w:type="spellEnd"/>
      <w:r>
        <w:t xml:space="preserve"> is only offered to female sex workers from 2018 onwards. </w:t>
      </w:r>
      <w:r w:rsidR="00DD5BD6">
        <w:t>Each of these interventions will reduce a person’s risk of acquiring HIV</w:t>
      </w:r>
      <w:r w:rsidR="00443129">
        <w:t xml:space="preserve"> (see Table 4)</w:t>
      </w:r>
      <w:r w:rsidR="00AE254B">
        <w:t>.</w:t>
      </w:r>
    </w:p>
    <w:p w14:paraId="69559FD3" w14:textId="77777777" w:rsidR="001432C4" w:rsidRDefault="001432C4" w:rsidP="005444F7">
      <w:pPr>
        <w:rPr>
          <w:rStyle w:val="SubtleEmphasis"/>
        </w:rPr>
      </w:pPr>
    </w:p>
    <w:p w14:paraId="08F457D0" w14:textId="62AE607D" w:rsidR="001432C4" w:rsidRDefault="001432C4" w:rsidP="005444F7">
      <w:pPr>
        <w:rPr>
          <w:rStyle w:val="SubtleEmphasis"/>
        </w:rPr>
      </w:pPr>
      <w:r>
        <w:rPr>
          <w:rStyle w:val="SubtleEmphasis"/>
        </w:rPr>
        <w:t>Voluntary medical male circumcision</w:t>
      </w:r>
    </w:p>
    <w:p w14:paraId="3E28EA85" w14:textId="77777777" w:rsidR="005444F7" w:rsidRDefault="005444F7" w:rsidP="005444F7">
      <w:r>
        <w:t xml:space="preserve">WHO/UNAIDS recommend that male circumcision be part of a comprehensive HIV prevention package which includes testing and counselling, treatment for STIs, promotion of safer sex practices and the provision of condoms. Male circumcision reduces the risk of HIV acquisition through heterosexual sex in males by 60%. Circumcision is often practiced for cultural reasons and prevalence varies widely by age, </w:t>
      </w:r>
      <w:proofErr w:type="gramStart"/>
      <w:r>
        <w:t>region</w:t>
      </w:r>
      <w:proofErr w:type="gramEnd"/>
      <w:r>
        <w:t xml:space="preserve"> and ethnicity. The age distribution at which circumcisions are performed along with the regional distribution and indications are below. Circumcisions for religious reasons are </w:t>
      </w:r>
      <w:r>
        <w:lastRenderedPageBreak/>
        <w:t xml:space="preserve">frequently performed outside health facilities and would therefore be undocumented. The propensity to seek a medical male circumcision will therefore be a function of age and region, as we </w:t>
      </w:r>
      <w:proofErr w:type="gramStart"/>
      <w:r>
        <w:t>don’t</w:t>
      </w:r>
      <w:proofErr w:type="gramEnd"/>
      <w:r>
        <w:t xml:space="preserve"> model religious practices in the model.</w:t>
      </w:r>
    </w:p>
    <w:p w14:paraId="42B9D0E6" w14:textId="7FAFEFE9" w:rsidR="005444F7" w:rsidRDefault="005444F7" w:rsidP="005444F7">
      <w:r>
        <w:t xml:space="preserve">The prevalence of circumcision at baseline prevalence in men aged </w:t>
      </w:r>
      <w:r>
        <w:rPr>
          <w:rFonts w:cstheme="minorHAnsi"/>
        </w:rPr>
        <w:t>≥</w:t>
      </w:r>
      <w:r>
        <w:t xml:space="preserve"> 15 years is 23%, derived from the Knowledge Attitude Behaviour and Practices Survey (KABP) documented in the Situation analysis of male circumcision in Malawi Report 2010.</w:t>
      </w:r>
      <w:r>
        <w:fldChar w:fldCharType="begin"/>
      </w:r>
      <w:r>
        <w:instrText xml:space="preserve"> ADDIN EN.CITE &lt;EndNote&gt;&lt;Cite&gt;&lt;Author&gt;Bengo&lt;/Author&gt;&lt;Year&gt;2010&lt;/Year&gt;&lt;RecNum&gt;16&lt;/RecNum&gt;&lt;DisplayText&gt;(Bengo, Chalulu et al. 2010)&lt;/DisplayText&gt;&lt;record&gt;&lt;rec-number&gt;16&lt;/rec-number&gt;&lt;foreign-keys&gt;&lt;key app="EN" db-id="fdxddfzvgd2s5def22lpt2vlxvrw59fw92zw" timestamp="1611831216"&gt;16&lt;/key&gt;&lt;/foreign-keys&gt;&lt;ref-type name="Report"&gt;27&lt;/ref-type&gt;&lt;contributors&gt;&lt;authors&gt;&lt;author&gt;J.M. Bengo&lt;/author&gt;&lt;author&gt;K. Chalulu&lt;/author&gt;&lt;author&gt;J. Chinkhumba&lt;/author&gt;&lt;author&gt;L. Kazembe&lt;/author&gt;&lt;author&gt;K. M. Maleta&lt;/author&gt;&lt;author&gt;F. Masiye&lt;/author&gt;&lt;author&gt;D. Mathanga&lt;/author&gt;&lt;/authors&gt;&lt;/contributors&gt;&lt;titles&gt;&lt;title&gt;Situation analysis of male circumcision in Malawi&lt;/title&gt;&lt;/titles&gt;&lt;dates&gt;&lt;year&gt;2010&lt;/year&gt;&lt;/dates&gt;&lt;pub-location&gt;Lilongwe, Malawi&lt;/pub-location&gt;&lt;publisher&gt;College of Medicine&lt;/publisher&gt;&lt;urls&gt;&lt;related-urls&gt;&lt;url&gt;https://www.malecircumcision.org/sites/default/files/document_library/Malawi_Male_Circumcision_Situation_Analysis_Report_2010-04-21.pdf&lt;/url&gt;&lt;/related-urls&gt;&lt;/urls&gt;&lt;/record&gt;&lt;/Cite&gt;&lt;/EndNote&gt;</w:instrText>
      </w:r>
      <w:r>
        <w:fldChar w:fldCharType="separate"/>
      </w:r>
      <w:r>
        <w:rPr>
          <w:noProof/>
        </w:rPr>
        <w:t>(Bengo, Chalulu et al. 2010)</w:t>
      </w:r>
      <w:r>
        <w:fldChar w:fldCharType="end"/>
      </w:r>
      <w:r>
        <w:t xml:space="preserve"> </w:t>
      </w:r>
      <w:r w:rsidR="001432C4">
        <w:t xml:space="preserve">This baseline prevalence (and the individual property) is managed by the lifestyle module. </w:t>
      </w:r>
    </w:p>
    <w:p w14:paraId="6D8FE690" w14:textId="0F3CA898" w:rsidR="005444F7" w:rsidRDefault="001432C4" w:rsidP="005444F7">
      <w:r>
        <w:t xml:space="preserve">The HIV module assigns voluntary medical male circumcision to men following a negative test with a probability calibrated to match the reported national coverage. </w:t>
      </w:r>
      <w:r w:rsidR="005444F7">
        <w:t>The National Voluntary Medical Male Circumcision (VMMC) program launched in 2011 and conducted a total of 150,000 male circumcisions by September 2014, approximately 37,500 procedures per year.</w:t>
      </w:r>
      <w:r w:rsidR="005444F7">
        <w:fldChar w:fldCharType="begin"/>
      </w:r>
      <w:r w:rsidR="005444F7">
        <w:instrText xml:space="preserve"> ADDIN EN.CITE &lt;EndNote&gt;&lt;Cite&gt;&lt;Author&gt;National AIDS Commission&lt;/Author&gt;&lt;Year&gt;2014&lt;/Year&gt;&lt;RecNum&gt;17&lt;/RecNum&gt;&lt;DisplayText&gt;(National AIDS Commission 2014)&lt;/DisplayText&gt;&lt;record&gt;&lt;rec-number&gt;17&lt;/rec-number&gt;&lt;foreign-keys&gt;&lt;key app="EN" db-id="fdxddfzvgd2s5def22lpt2vlxvrw59fw92zw" timestamp="1611831216"&gt;17&lt;/key&gt;&lt;/foreign-keys&gt;&lt;ref-type name="Report"&gt;27&lt;/ref-type&gt;&lt;contributors&gt;&lt;authors&gt;&lt;author&gt;National AIDS Commission,&lt;/author&gt;&lt;/authors&gt;&lt;/contributors&gt;&lt;titles&gt;&lt;title&gt;National Strategic Plan for HIV and AIDS&lt;/title&gt;&lt;/titles&gt;&lt;dates&gt;&lt;year&gt;2014&lt;/year&gt;&lt;/dates&gt;&lt;pub-location&gt;Lilongwe, Malawi&lt;/pub-location&gt;&lt;urls&gt;&lt;related-urls&gt;&lt;url&gt;https://hivstar.lshtm.ac.uk/files/2017/11/2015-2020-National-Stategic-Plan-for-HIV-MALAWI.pdf&lt;/url&gt;&lt;/related-urls&gt;&lt;/urls&gt;&lt;/record&gt;&lt;/Cite&gt;&lt;/EndNote&gt;</w:instrText>
      </w:r>
      <w:r w:rsidR="005444F7">
        <w:fldChar w:fldCharType="separate"/>
      </w:r>
      <w:r w:rsidR="005444F7">
        <w:rPr>
          <w:noProof/>
        </w:rPr>
        <w:t>(National AIDS Commission 2014)</w:t>
      </w:r>
      <w:r w:rsidR="005444F7">
        <w:fldChar w:fldCharType="end"/>
      </w:r>
      <w:r w:rsidR="005444F7">
        <w:t xml:space="preserve"> Target coverage levels are taken from the 2015-2020 National Strategic Plan for HIV Malawi which aims for 60% coverage of VMMC by 2020 (revised down from 80% given the slower than expected scale-up following the introduction of the programme) and would require 1,300,568 circumcisions to be conducted across the country.</w:t>
      </w:r>
      <w:r w:rsidR="005444F7">
        <w:fldChar w:fldCharType="begin"/>
      </w:r>
      <w:r w:rsidR="005444F7">
        <w:instrText xml:space="preserve"> ADDIN EN.CITE &lt;EndNote&gt;&lt;Cite&gt;&lt;Author&gt;National AIDS Commission&lt;/Author&gt;&lt;Year&gt;2014&lt;/Year&gt;&lt;RecNum&gt;17&lt;/RecNum&gt;&lt;DisplayText&gt;(National AIDS Commission 2014)&lt;/DisplayText&gt;&lt;record&gt;&lt;rec-number&gt;17&lt;/rec-number&gt;&lt;foreign-keys&gt;&lt;key app="EN" db-id="fdxddfzvgd2s5def22lpt2vlxvrw59fw92zw" timestamp="1611831216"&gt;17&lt;/key&gt;&lt;/foreign-keys&gt;&lt;ref-type name="Report"&gt;27&lt;/ref-type&gt;&lt;contributors&gt;&lt;authors&gt;&lt;author&gt;National AIDS Commission,&lt;/author&gt;&lt;/authors&gt;&lt;/contributors&gt;&lt;titles&gt;&lt;title&gt;National Strategic Plan for HIV and AIDS&lt;/title&gt;&lt;/titles&gt;&lt;dates&gt;&lt;year&gt;2014&lt;/year&gt;&lt;/dates&gt;&lt;pub-location&gt;Lilongwe, Malawi&lt;/pub-location&gt;&lt;urls&gt;&lt;related-urls&gt;&lt;url&gt;https://hivstar.lshtm.ac.uk/files/2017/11/2015-2020-National-Stategic-Plan-for-HIV-MALAWI.pdf&lt;/url&gt;&lt;/related-urls&gt;&lt;/urls&gt;&lt;/record&gt;&lt;/Cite&gt;&lt;/EndNote&gt;</w:instrText>
      </w:r>
      <w:r w:rsidR="005444F7">
        <w:fldChar w:fldCharType="separate"/>
      </w:r>
      <w:r w:rsidR="005444F7">
        <w:rPr>
          <w:noProof/>
        </w:rPr>
        <w:t>(National AIDS Commission 2014)</w:t>
      </w:r>
      <w:r w:rsidR="005444F7">
        <w:fldChar w:fldCharType="end"/>
      </w:r>
      <w:r w:rsidR="005444F7">
        <w:t xml:space="preserve"> The MDHS 2015-2016 report estimates that 27.9% of men had been circumcised at the time of the survey, far below the target level and so we calibrate the annual number of circumcisions in the model to match the 2013 National Strategic Plan and 2015 MDHS coverage estimates</w:t>
      </w:r>
      <w:r>
        <w:t>, allocating randomly across all eligible adult males</w:t>
      </w:r>
      <w:r w:rsidR="005444F7">
        <w:t>.</w:t>
      </w:r>
    </w:p>
    <w:p w14:paraId="383AA32B" w14:textId="1D8064D9" w:rsidR="00336707" w:rsidRDefault="00336707" w:rsidP="00336707"/>
    <w:p w14:paraId="4494950A" w14:textId="4D6D81C8" w:rsidR="001432C4" w:rsidRDefault="001432C4" w:rsidP="001432C4">
      <w:pPr>
        <w:rPr>
          <w:rStyle w:val="SubtleEmphasis"/>
        </w:rPr>
      </w:pPr>
      <w:r>
        <w:rPr>
          <w:rStyle w:val="SubtleEmphasis"/>
        </w:rPr>
        <w:t>Pre-exposure prophylaxis</w:t>
      </w:r>
    </w:p>
    <w:p w14:paraId="61A9A7BB" w14:textId="68FB95D6" w:rsidR="001432C4" w:rsidRPr="00336707" w:rsidRDefault="00676532" w:rsidP="00336707">
      <w:r>
        <w:t>Following a negative test, female sex workers (FSW) become eligible for pre-exposure prophylaxis (</w:t>
      </w:r>
      <w:proofErr w:type="spellStart"/>
      <w:r>
        <w:t>PrEP</w:t>
      </w:r>
      <w:proofErr w:type="spellEnd"/>
      <w:r>
        <w:t xml:space="preserve">). This is available from 2018 onwards and women classified as FSW, who are not currently on </w:t>
      </w:r>
      <w:proofErr w:type="spellStart"/>
      <w:r>
        <w:t>PrEP</w:t>
      </w:r>
      <w:proofErr w:type="spellEnd"/>
      <w:r>
        <w:t xml:space="preserve">, are randomly selected to start </w:t>
      </w:r>
      <w:proofErr w:type="spellStart"/>
      <w:r>
        <w:t>PrEP</w:t>
      </w:r>
      <w:proofErr w:type="spellEnd"/>
      <w:r>
        <w:t xml:space="preserve"> with a fixed probability. If </w:t>
      </w:r>
      <w:proofErr w:type="spellStart"/>
      <w:r>
        <w:t>PrEP</w:t>
      </w:r>
      <w:proofErr w:type="spellEnd"/>
      <w:r>
        <w:t xml:space="preserve"> is available, a three-month dispensation is </w:t>
      </w:r>
      <w:proofErr w:type="gramStart"/>
      <w:r>
        <w:t>given</w:t>
      </w:r>
      <w:proofErr w:type="gramEnd"/>
      <w:r>
        <w:t xml:space="preserve"> and the woman’s relative risk of HIV acquisition will change. After three months, another random draw will determine whether that woman will continue or default. If the woman has transitioned out of sex work, they are no longer eligible for </w:t>
      </w:r>
      <w:proofErr w:type="spellStart"/>
      <w:r>
        <w:t>PrEP</w:t>
      </w:r>
      <w:proofErr w:type="spellEnd"/>
      <w:r>
        <w:t xml:space="preserve"> and no further drugs will be prescribed. The probability of initiating </w:t>
      </w:r>
      <w:proofErr w:type="spellStart"/>
      <w:r>
        <w:t>PrEP</w:t>
      </w:r>
      <w:proofErr w:type="spellEnd"/>
      <w:r>
        <w:t xml:space="preserve"> and the probability of being retained on </w:t>
      </w:r>
      <w:proofErr w:type="spellStart"/>
      <w:r>
        <w:t>PrEP</w:t>
      </w:r>
      <w:proofErr w:type="spellEnd"/>
      <w:r>
        <w:t xml:space="preserve"> are calibrated to match the reported national coverage levels in FSW for each year. </w:t>
      </w:r>
    </w:p>
    <w:p w14:paraId="08500753" w14:textId="77777777" w:rsidR="00336707" w:rsidRPr="00336707" w:rsidRDefault="00336707" w:rsidP="00336707"/>
    <w:p w14:paraId="0FB73B89" w14:textId="25CCE37C" w:rsidR="00336707" w:rsidRDefault="00336707" w:rsidP="00336707">
      <w:pPr>
        <w:pStyle w:val="Heading2"/>
      </w:pPr>
      <w:r w:rsidRPr="000A1FF3">
        <w:t>Main Limitations</w:t>
      </w:r>
    </w:p>
    <w:p w14:paraId="403FD2EE" w14:textId="6B8BC7DB" w:rsidR="00336707" w:rsidRDefault="00336707" w:rsidP="00336707"/>
    <w:p w14:paraId="6C7EFCC4" w14:textId="69A67496" w:rsidR="00336707" w:rsidRDefault="00774E9D" w:rsidP="00336707">
      <w:r>
        <w:t>The l</w:t>
      </w:r>
      <w:r w:rsidR="00456334">
        <w:t xml:space="preserve">ikelihood that a person will test </w:t>
      </w:r>
      <w:r>
        <w:t>is</w:t>
      </w:r>
      <w:r w:rsidR="00456334">
        <w:t xml:space="preserve"> dependent on </w:t>
      </w:r>
      <w:r>
        <w:t>the severity</w:t>
      </w:r>
      <w:r w:rsidR="00456334">
        <w:t xml:space="preserve"> of symptoms, age, </w:t>
      </w:r>
      <w:proofErr w:type="gramStart"/>
      <w:r w:rsidR="00456334">
        <w:t>sex</w:t>
      </w:r>
      <w:proofErr w:type="gramEnd"/>
      <w:r w:rsidR="00456334">
        <w:t xml:space="preserve"> and previous testing history.</w:t>
      </w:r>
      <w:r>
        <w:t xml:space="preserve"> Currently we incorporate only AIDS symptoms as a strong predictor of whether a person will seek care and assume that an HIV test will be given if they attend a health facility.</w:t>
      </w:r>
    </w:p>
    <w:p w14:paraId="20FC5538" w14:textId="067C6979" w:rsidR="00456334" w:rsidRDefault="00456334" w:rsidP="00336707">
      <w:r>
        <w:t>The likelihood that an infant exposed to HIV will be tested for HIV is dependent on the location of birth (health facility, at home etc.).</w:t>
      </w:r>
      <w:r w:rsidR="00774E9D">
        <w:t xml:space="preserve"> This is currently not linked with the labour and delivery </w:t>
      </w:r>
      <w:proofErr w:type="gramStart"/>
      <w:r w:rsidR="00774E9D">
        <w:t>modules</w:t>
      </w:r>
      <w:proofErr w:type="gramEnd"/>
      <w:r w:rsidR="00774E9D">
        <w:t xml:space="preserve"> but this will be incorporated in future.</w:t>
      </w:r>
    </w:p>
    <w:p w14:paraId="1582E696" w14:textId="3D1B0A9A" w:rsidR="00E80EB1" w:rsidRDefault="00E80EB1" w:rsidP="00336707">
      <w:r>
        <w:t>People are determined as being adherent / non-adherent to treatment at ART initiation using the reported estimates of viral suppression in treated individuals. Transitions from adherent to non-adherent or vice versa are not included in the model are there are few data to inform th</w:t>
      </w:r>
      <w:r w:rsidR="00081B1F">
        <w:t>e frequency of these transitions</w:t>
      </w:r>
      <w:r>
        <w:t>. We include treatment interruptions which can occur in two ways; either a person fails to attend the six</w:t>
      </w:r>
      <w:r w:rsidR="00774E9D">
        <w:t>-</w:t>
      </w:r>
      <w:r>
        <w:t>month follow-up appointment or there are constraints on the availability of ARVs in that district at the time of the appointment. If treatment is recommenced</w:t>
      </w:r>
      <w:r w:rsidR="00774E9D">
        <w:t xml:space="preserve"> after an interruption</w:t>
      </w:r>
      <w:r>
        <w:t xml:space="preserve">, there will be another </w:t>
      </w:r>
      <w:r w:rsidR="00774E9D">
        <w:t xml:space="preserve">random </w:t>
      </w:r>
      <w:r>
        <w:t>draw to determine whether they will be adherent and virally suppressed</w:t>
      </w:r>
      <w:r w:rsidR="00774E9D">
        <w:t>,</w:t>
      </w:r>
      <w:r>
        <w:t xml:space="preserve"> which is independent of their treatment history. </w:t>
      </w:r>
    </w:p>
    <w:p w14:paraId="51727C4D" w14:textId="2D70C027" w:rsidR="00472E52" w:rsidRDefault="00472E52" w:rsidP="00336707">
      <w:r>
        <w:t xml:space="preserve">We assume that all HIV treatment is administered in the community or at-home, no inpatient stays are linked with HIV/AIDS </w:t>
      </w:r>
      <w:proofErr w:type="gramStart"/>
      <w:r>
        <w:t>as yet</w:t>
      </w:r>
      <w:proofErr w:type="gramEnd"/>
      <w:r>
        <w:t>. With further data on lengths of hospital admissions in Malawi and inpatient treatment guidelines for advanced disease, this could be a future refinement.</w:t>
      </w:r>
    </w:p>
    <w:p w14:paraId="544127FA" w14:textId="77777777" w:rsidR="00E80EB1" w:rsidRDefault="00E80EB1" w:rsidP="00336707"/>
    <w:p w14:paraId="650A497B" w14:textId="6FB29790" w:rsidR="00AE254B" w:rsidRDefault="00E86EC2" w:rsidP="00AE254B">
      <w:r>
        <w:t>Table 4. List of parameters used in the HIV module.</w:t>
      </w:r>
    </w:p>
    <w:tbl>
      <w:tblPr>
        <w:tblStyle w:val="TableGrid"/>
        <w:tblW w:w="5000" w:type="pct"/>
        <w:tblLook w:val="04A0" w:firstRow="1" w:lastRow="0" w:firstColumn="1" w:lastColumn="0" w:noHBand="0" w:noVBand="1"/>
      </w:tblPr>
      <w:tblGrid>
        <w:gridCol w:w="5365"/>
        <w:gridCol w:w="714"/>
        <w:gridCol w:w="4377"/>
      </w:tblGrid>
      <w:tr w:rsidR="00E00E61" w:rsidRPr="00AE254B" w14:paraId="577A9978" w14:textId="77777777" w:rsidTr="0056323D">
        <w:trPr>
          <w:trHeight w:val="310"/>
        </w:trPr>
        <w:tc>
          <w:tcPr>
            <w:tcW w:w="2629" w:type="pct"/>
          </w:tcPr>
          <w:p w14:paraId="7AA94C21" w14:textId="3FF1F3E9" w:rsidR="00E00E61" w:rsidRDefault="00E00E61">
            <w:pPr>
              <w:rPr>
                <w:b/>
              </w:rPr>
            </w:pPr>
            <w:r>
              <w:rPr>
                <w:b/>
              </w:rPr>
              <w:t>Parameter</w:t>
            </w:r>
          </w:p>
        </w:tc>
        <w:tc>
          <w:tcPr>
            <w:tcW w:w="341" w:type="pct"/>
            <w:noWrap/>
            <w:hideMark/>
          </w:tcPr>
          <w:p w14:paraId="1D150EE7" w14:textId="52DCC61E" w:rsidR="00E00E61" w:rsidRPr="00AE254B" w:rsidRDefault="00E00E61">
            <w:pPr>
              <w:rPr>
                <w:b/>
              </w:rPr>
            </w:pPr>
            <w:r>
              <w:rPr>
                <w:b/>
              </w:rPr>
              <w:t>V</w:t>
            </w:r>
            <w:r w:rsidRPr="00AE254B">
              <w:rPr>
                <w:b/>
              </w:rPr>
              <w:t>alue</w:t>
            </w:r>
          </w:p>
        </w:tc>
        <w:tc>
          <w:tcPr>
            <w:tcW w:w="2030" w:type="pct"/>
            <w:noWrap/>
            <w:hideMark/>
          </w:tcPr>
          <w:p w14:paraId="4BE97D59" w14:textId="77777777" w:rsidR="00E00E61" w:rsidRPr="00AE254B" w:rsidRDefault="00E00E61">
            <w:pPr>
              <w:rPr>
                <w:b/>
              </w:rPr>
            </w:pPr>
            <w:r w:rsidRPr="00AE254B">
              <w:rPr>
                <w:b/>
              </w:rPr>
              <w:t>Source</w:t>
            </w:r>
          </w:p>
        </w:tc>
      </w:tr>
      <w:tr w:rsidR="00E00E61" w:rsidRPr="00AE254B" w14:paraId="550F6D18" w14:textId="77777777" w:rsidTr="0056323D">
        <w:trPr>
          <w:trHeight w:val="310"/>
        </w:trPr>
        <w:tc>
          <w:tcPr>
            <w:tcW w:w="2629" w:type="pct"/>
          </w:tcPr>
          <w:p w14:paraId="19C7688C" w14:textId="5906A29E" w:rsidR="00E00E61" w:rsidRPr="00AE254B" w:rsidRDefault="00E00E61" w:rsidP="00AE254B">
            <w:pPr>
              <w:rPr>
                <w:bCs/>
                <w:sz w:val="20"/>
                <w:szCs w:val="20"/>
              </w:rPr>
            </w:pPr>
            <w:r w:rsidRPr="00AE254B">
              <w:rPr>
                <w:bCs/>
                <w:sz w:val="20"/>
                <w:szCs w:val="20"/>
              </w:rPr>
              <w:lastRenderedPageBreak/>
              <w:t>Fraction of population at baseline who are HIV+ with AIDS symptoms</w:t>
            </w:r>
          </w:p>
        </w:tc>
        <w:tc>
          <w:tcPr>
            <w:tcW w:w="341" w:type="pct"/>
            <w:noWrap/>
            <w:hideMark/>
          </w:tcPr>
          <w:p w14:paraId="6519F3FB" w14:textId="4BDA8905" w:rsidR="00E00E61" w:rsidRPr="00AE254B" w:rsidRDefault="00E00E61" w:rsidP="00AE254B">
            <w:pPr>
              <w:rPr>
                <w:bCs/>
                <w:sz w:val="20"/>
                <w:szCs w:val="20"/>
              </w:rPr>
            </w:pPr>
            <w:r w:rsidRPr="00AE254B">
              <w:rPr>
                <w:bCs/>
                <w:sz w:val="20"/>
                <w:szCs w:val="20"/>
              </w:rPr>
              <w:t>0.05</w:t>
            </w:r>
          </w:p>
        </w:tc>
        <w:tc>
          <w:tcPr>
            <w:tcW w:w="2030" w:type="pct"/>
            <w:noWrap/>
            <w:hideMark/>
          </w:tcPr>
          <w:p w14:paraId="2FB1DA46" w14:textId="77777777" w:rsidR="00E00E61" w:rsidRPr="00AE254B" w:rsidRDefault="00E00E61" w:rsidP="00AE254B">
            <w:pPr>
              <w:rPr>
                <w:bCs/>
                <w:sz w:val="20"/>
                <w:szCs w:val="20"/>
              </w:rPr>
            </w:pPr>
          </w:p>
        </w:tc>
      </w:tr>
      <w:tr w:rsidR="00E00E61" w:rsidRPr="00AE254B" w14:paraId="5921D049" w14:textId="77777777" w:rsidTr="0056323D">
        <w:trPr>
          <w:trHeight w:val="310"/>
        </w:trPr>
        <w:tc>
          <w:tcPr>
            <w:tcW w:w="2629" w:type="pct"/>
          </w:tcPr>
          <w:p w14:paraId="07E6805A" w14:textId="3E5ED887" w:rsidR="00E00E61" w:rsidRPr="00AE254B" w:rsidRDefault="00E00E61" w:rsidP="00AE254B">
            <w:pPr>
              <w:rPr>
                <w:bCs/>
                <w:sz w:val="20"/>
                <w:szCs w:val="20"/>
              </w:rPr>
            </w:pPr>
            <w:r>
              <w:rPr>
                <w:bCs/>
                <w:sz w:val="20"/>
                <w:szCs w:val="20"/>
              </w:rPr>
              <w:t>Proportion of the adult male population who have had an HIV test</w:t>
            </w:r>
          </w:p>
        </w:tc>
        <w:tc>
          <w:tcPr>
            <w:tcW w:w="341" w:type="pct"/>
            <w:noWrap/>
            <w:hideMark/>
          </w:tcPr>
          <w:p w14:paraId="636EBE29" w14:textId="120293A3" w:rsidR="00E00E61" w:rsidRPr="00AE254B" w:rsidRDefault="00E00E61" w:rsidP="00AE254B">
            <w:pPr>
              <w:rPr>
                <w:bCs/>
                <w:sz w:val="20"/>
                <w:szCs w:val="20"/>
              </w:rPr>
            </w:pPr>
            <w:r w:rsidRPr="00AE254B">
              <w:rPr>
                <w:bCs/>
                <w:sz w:val="20"/>
                <w:szCs w:val="20"/>
              </w:rPr>
              <w:t>0.509</w:t>
            </w:r>
          </w:p>
        </w:tc>
        <w:tc>
          <w:tcPr>
            <w:tcW w:w="2030" w:type="pct"/>
            <w:noWrap/>
            <w:hideMark/>
          </w:tcPr>
          <w:p w14:paraId="2A8205B6" w14:textId="47FE5B27" w:rsidR="00E00E61" w:rsidRPr="00AE254B" w:rsidRDefault="00E00E61">
            <w:pPr>
              <w:rPr>
                <w:bCs/>
                <w:sz w:val="20"/>
                <w:szCs w:val="20"/>
              </w:rPr>
            </w:pPr>
            <w:proofErr w:type="spellStart"/>
            <w:r w:rsidRPr="00AE254B">
              <w:rPr>
                <w:bCs/>
                <w:sz w:val="20"/>
                <w:szCs w:val="20"/>
              </w:rPr>
              <w:t>MoH</w:t>
            </w:r>
            <w:proofErr w:type="spellEnd"/>
            <w:r w:rsidRPr="00AE254B">
              <w:rPr>
                <w:bCs/>
                <w:sz w:val="20"/>
                <w:szCs w:val="20"/>
              </w:rPr>
              <w:t xml:space="preserve"> Quarterly Reports</w:t>
            </w:r>
          </w:p>
        </w:tc>
      </w:tr>
      <w:tr w:rsidR="00E00E61" w:rsidRPr="00AE254B" w14:paraId="542DD856" w14:textId="77777777" w:rsidTr="0056323D">
        <w:trPr>
          <w:trHeight w:val="310"/>
        </w:trPr>
        <w:tc>
          <w:tcPr>
            <w:tcW w:w="2629" w:type="pct"/>
          </w:tcPr>
          <w:p w14:paraId="371D3A90" w14:textId="789B2B42" w:rsidR="00E00E61" w:rsidRPr="00AE254B" w:rsidRDefault="00E00E61" w:rsidP="00AE254B">
            <w:pPr>
              <w:rPr>
                <w:bCs/>
                <w:sz w:val="20"/>
                <w:szCs w:val="20"/>
              </w:rPr>
            </w:pPr>
            <w:r>
              <w:rPr>
                <w:bCs/>
                <w:sz w:val="20"/>
                <w:szCs w:val="20"/>
              </w:rPr>
              <w:t>Proportion of the adult female population who have had an HIV test</w:t>
            </w:r>
          </w:p>
        </w:tc>
        <w:tc>
          <w:tcPr>
            <w:tcW w:w="341" w:type="pct"/>
            <w:noWrap/>
            <w:hideMark/>
          </w:tcPr>
          <w:p w14:paraId="203E45E9" w14:textId="30D6AFA6" w:rsidR="00E00E61" w:rsidRPr="00AE254B" w:rsidRDefault="00E00E61" w:rsidP="00AE254B">
            <w:pPr>
              <w:rPr>
                <w:bCs/>
                <w:sz w:val="20"/>
                <w:szCs w:val="20"/>
              </w:rPr>
            </w:pPr>
            <w:r w:rsidRPr="00AE254B">
              <w:rPr>
                <w:bCs/>
                <w:sz w:val="20"/>
                <w:szCs w:val="20"/>
              </w:rPr>
              <w:t>0.716</w:t>
            </w:r>
          </w:p>
        </w:tc>
        <w:tc>
          <w:tcPr>
            <w:tcW w:w="2030" w:type="pct"/>
            <w:noWrap/>
            <w:hideMark/>
          </w:tcPr>
          <w:p w14:paraId="100CBFFC" w14:textId="69A3CA5B" w:rsidR="00E00E61" w:rsidRPr="00AE254B" w:rsidRDefault="00E00E61">
            <w:pPr>
              <w:rPr>
                <w:bCs/>
                <w:sz w:val="20"/>
                <w:szCs w:val="20"/>
              </w:rPr>
            </w:pPr>
            <w:proofErr w:type="spellStart"/>
            <w:r w:rsidRPr="00AE254B">
              <w:rPr>
                <w:bCs/>
                <w:sz w:val="20"/>
                <w:szCs w:val="20"/>
              </w:rPr>
              <w:t>MoH</w:t>
            </w:r>
            <w:proofErr w:type="spellEnd"/>
            <w:r w:rsidRPr="00AE254B">
              <w:rPr>
                <w:bCs/>
                <w:sz w:val="20"/>
                <w:szCs w:val="20"/>
              </w:rPr>
              <w:t xml:space="preserve"> Quarterly Reports</w:t>
            </w:r>
          </w:p>
        </w:tc>
      </w:tr>
      <w:tr w:rsidR="00E00E61" w:rsidRPr="00AE254B" w14:paraId="53FB5497" w14:textId="77777777" w:rsidTr="0056323D">
        <w:trPr>
          <w:trHeight w:val="310"/>
        </w:trPr>
        <w:tc>
          <w:tcPr>
            <w:tcW w:w="2629" w:type="pct"/>
          </w:tcPr>
          <w:p w14:paraId="312EDB0B" w14:textId="047BC8A8" w:rsidR="00E00E61" w:rsidRPr="00AE254B" w:rsidRDefault="00E00E61" w:rsidP="00AE254B">
            <w:pPr>
              <w:rPr>
                <w:bCs/>
                <w:sz w:val="20"/>
                <w:szCs w:val="20"/>
              </w:rPr>
            </w:pPr>
            <w:r>
              <w:rPr>
                <w:bCs/>
                <w:sz w:val="20"/>
                <w:szCs w:val="20"/>
              </w:rPr>
              <w:t>HIV transmission rate</w:t>
            </w:r>
          </w:p>
        </w:tc>
        <w:tc>
          <w:tcPr>
            <w:tcW w:w="341" w:type="pct"/>
            <w:noWrap/>
            <w:hideMark/>
          </w:tcPr>
          <w:p w14:paraId="5F14DB01" w14:textId="775C762F" w:rsidR="00E00E61" w:rsidRPr="00AE254B" w:rsidRDefault="00E00E61" w:rsidP="00AE254B">
            <w:pPr>
              <w:rPr>
                <w:bCs/>
                <w:sz w:val="20"/>
                <w:szCs w:val="20"/>
              </w:rPr>
            </w:pPr>
            <w:r w:rsidRPr="00AE254B">
              <w:rPr>
                <w:bCs/>
                <w:sz w:val="20"/>
                <w:szCs w:val="20"/>
              </w:rPr>
              <w:t>0.045</w:t>
            </w:r>
          </w:p>
        </w:tc>
        <w:tc>
          <w:tcPr>
            <w:tcW w:w="2030" w:type="pct"/>
            <w:noWrap/>
            <w:hideMark/>
          </w:tcPr>
          <w:p w14:paraId="3E22B15F" w14:textId="7BEEE875" w:rsidR="00E00E61" w:rsidRPr="00AE254B" w:rsidRDefault="002B46F9">
            <w:pPr>
              <w:rPr>
                <w:bCs/>
                <w:sz w:val="20"/>
                <w:szCs w:val="20"/>
              </w:rPr>
            </w:pPr>
            <w:r w:rsidRPr="00AE254B">
              <w:rPr>
                <w:bCs/>
                <w:sz w:val="20"/>
                <w:szCs w:val="20"/>
              </w:rPr>
              <w:t>C</w:t>
            </w:r>
            <w:r w:rsidR="00E00E61" w:rsidRPr="00AE254B">
              <w:rPr>
                <w:bCs/>
                <w:sz w:val="20"/>
                <w:szCs w:val="20"/>
              </w:rPr>
              <w:t>alibrated</w:t>
            </w:r>
          </w:p>
        </w:tc>
      </w:tr>
      <w:tr w:rsidR="00E00E61" w:rsidRPr="00AE254B" w14:paraId="4403E57B" w14:textId="77777777" w:rsidTr="0056323D">
        <w:trPr>
          <w:trHeight w:val="310"/>
        </w:trPr>
        <w:tc>
          <w:tcPr>
            <w:tcW w:w="2629" w:type="pct"/>
          </w:tcPr>
          <w:p w14:paraId="2C9C6944" w14:textId="42997632" w:rsidR="00E00E61" w:rsidRPr="00AE254B" w:rsidRDefault="00E00E61" w:rsidP="00AE254B">
            <w:pPr>
              <w:rPr>
                <w:bCs/>
                <w:sz w:val="20"/>
                <w:szCs w:val="20"/>
              </w:rPr>
            </w:pPr>
            <w:r>
              <w:rPr>
                <w:bCs/>
                <w:sz w:val="20"/>
                <w:szCs w:val="20"/>
              </w:rPr>
              <w:t>Probability of mother-to-child transmission if mother is not treated</w:t>
            </w:r>
          </w:p>
        </w:tc>
        <w:tc>
          <w:tcPr>
            <w:tcW w:w="341" w:type="pct"/>
            <w:noWrap/>
            <w:hideMark/>
          </w:tcPr>
          <w:p w14:paraId="64858413" w14:textId="6D95F31C" w:rsidR="00E00E61" w:rsidRPr="00AE254B" w:rsidRDefault="00E00E61" w:rsidP="00AE254B">
            <w:pPr>
              <w:rPr>
                <w:bCs/>
                <w:sz w:val="20"/>
                <w:szCs w:val="20"/>
              </w:rPr>
            </w:pPr>
            <w:r w:rsidRPr="00AE254B">
              <w:rPr>
                <w:bCs/>
                <w:sz w:val="20"/>
                <w:szCs w:val="20"/>
              </w:rPr>
              <w:t>0.22</w:t>
            </w:r>
          </w:p>
        </w:tc>
        <w:tc>
          <w:tcPr>
            <w:tcW w:w="2030" w:type="pct"/>
            <w:noWrap/>
            <w:hideMark/>
          </w:tcPr>
          <w:p w14:paraId="7128C469" w14:textId="5D629901" w:rsidR="00E00E61" w:rsidRPr="00AE254B" w:rsidRDefault="000671F7">
            <w:pPr>
              <w:rPr>
                <w:bCs/>
                <w:sz w:val="20"/>
                <w:szCs w:val="20"/>
              </w:rPr>
            </w:pPr>
            <w:r>
              <w:rPr>
                <w:bCs/>
                <w:sz w:val="20"/>
                <w:szCs w:val="20"/>
              </w:rPr>
              <w:fldChar w:fldCharType="begin"/>
            </w:r>
            <w:r>
              <w:rPr>
                <w:bCs/>
                <w:sz w:val="20"/>
                <w:szCs w:val="20"/>
              </w:rPr>
              <w:instrText xml:space="preserve"> ADDIN EN.CITE &lt;EndNote&gt;&lt;Cite&gt;&lt;Author&gt;Rollins&lt;/Author&gt;&lt;Year&gt;2012&lt;/Year&gt;&lt;RecNum&gt;1&lt;/RecNum&gt;&lt;DisplayText&gt;(Rollins, Mahy et al. 2012)&lt;/DisplayText&gt;&lt;record&gt;&lt;rec-number&gt;1&lt;/rec-number&gt;&lt;foreign-keys&gt;&lt;key app="EN" db-id="fdxddfzvgd2s5def22lpt2vlxvrw59fw92zw" timestamp="1611831202"&gt;1&lt;/key&gt;&lt;/foreign-keys&gt;&lt;ref-type name="Journal Article"&gt;17&lt;/ref-type&gt;&lt;contributors&gt;&lt;authors&gt;&lt;author&gt;Rollins, Nigel&lt;/author&gt;&lt;author&gt;Mahy, Mary&lt;/author&gt;&lt;author&gt;Becquet, Renaud&lt;/author&gt;&lt;author&gt;Kuhn, Louise&lt;/author&gt;&lt;author&gt;Creek, Tracy&lt;/author&gt;&lt;author&gt;Mofenson, Lynne&lt;/author&gt;&lt;/authors&gt;&lt;/contributors&gt;&lt;titles&gt;&lt;title&gt;Estimates of peripartum and postnatal mother-to-child transmission probabilities of HIV for use in Spectrum and other population-based models&lt;/title&gt;&lt;secondary-title&gt;Sexually Transmitted Infections&lt;/secondary-title&gt;&lt;/titles&gt;&lt;periodical&gt;&lt;full-title&gt;Sexually Transmitted Infections&lt;/full-title&gt;&lt;/periodical&gt;&lt;pages&gt;i44-i51&lt;/pages&gt;&lt;volume&gt;88&lt;/volume&gt;&lt;number&gt;Suppl 2&lt;/number&gt;&lt;dates&gt;&lt;year&gt;2012&lt;/year&gt;&lt;/dates&gt;&lt;urls&gt;&lt;related-urls&gt;&lt;url&gt;https://sti.bmj.com/content/sextrans/88/Suppl_2/i44.full.pdf&lt;/url&gt;&lt;/related-urls&gt;&lt;/urls&gt;&lt;electronic-resource-num&gt;10.1136/sextrans-2012-050709&lt;/electronic-resource-num&gt;&lt;/record&gt;&lt;/Cite&gt;&lt;/EndNote&gt;</w:instrText>
            </w:r>
            <w:r>
              <w:rPr>
                <w:bCs/>
                <w:sz w:val="20"/>
                <w:szCs w:val="20"/>
              </w:rPr>
              <w:fldChar w:fldCharType="separate"/>
            </w:r>
            <w:r>
              <w:rPr>
                <w:bCs/>
                <w:noProof/>
                <w:sz w:val="20"/>
                <w:szCs w:val="20"/>
              </w:rPr>
              <w:t>(Rollins, Mahy et al. 2012)</w:t>
            </w:r>
            <w:r>
              <w:rPr>
                <w:bCs/>
                <w:sz w:val="20"/>
                <w:szCs w:val="20"/>
              </w:rPr>
              <w:fldChar w:fldCharType="end"/>
            </w:r>
          </w:p>
        </w:tc>
      </w:tr>
      <w:tr w:rsidR="00E00E61" w:rsidRPr="00AE254B" w14:paraId="125DFA43" w14:textId="77777777" w:rsidTr="0056323D">
        <w:trPr>
          <w:trHeight w:val="310"/>
        </w:trPr>
        <w:tc>
          <w:tcPr>
            <w:tcW w:w="2629" w:type="pct"/>
          </w:tcPr>
          <w:p w14:paraId="33C8CAC2" w14:textId="7664FE4D" w:rsidR="00E00E61" w:rsidRPr="00AE254B" w:rsidRDefault="00E00E61" w:rsidP="00AE254B">
            <w:pPr>
              <w:rPr>
                <w:bCs/>
                <w:sz w:val="20"/>
                <w:szCs w:val="20"/>
              </w:rPr>
            </w:pPr>
            <w:r>
              <w:rPr>
                <w:bCs/>
                <w:sz w:val="20"/>
                <w:szCs w:val="20"/>
              </w:rPr>
              <w:t>Probability of mother-to-child transmission if mother is treated</w:t>
            </w:r>
            <w:r w:rsidR="001F77EA">
              <w:rPr>
                <w:bCs/>
                <w:sz w:val="20"/>
                <w:szCs w:val="20"/>
              </w:rPr>
              <w:t xml:space="preserve"> and virally suppressed</w:t>
            </w:r>
          </w:p>
        </w:tc>
        <w:tc>
          <w:tcPr>
            <w:tcW w:w="341" w:type="pct"/>
            <w:noWrap/>
            <w:hideMark/>
          </w:tcPr>
          <w:p w14:paraId="3EE8BD59" w14:textId="077F255B" w:rsidR="00E00E61" w:rsidRPr="00AE254B" w:rsidRDefault="00E00E61" w:rsidP="00AE254B">
            <w:pPr>
              <w:rPr>
                <w:bCs/>
                <w:sz w:val="20"/>
                <w:szCs w:val="20"/>
              </w:rPr>
            </w:pPr>
            <w:r w:rsidRPr="00AE254B">
              <w:rPr>
                <w:bCs/>
                <w:sz w:val="20"/>
                <w:szCs w:val="20"/>
              </w:rPr>
              <w:t>0</w:t>
            </w:r>
          </w:p>
        </w:tc>
        <w:tc>
          <w:tcPr>
            <w:tcW w:w="2030" w:type="pct"/>
            <w:noWrap/>
          </w:tcPr>
          <w:p w14:paraId="01B4DBB9" w14:textId="54C6B400" w:rsidR="00E00E61" w:rsidRPr="00AE254B" w:rsidRDefault="000671F7">
            <w:pPr>
              <w:rPr>
                <w:bCs/>
                <w:sz w:val="20"/>
                <w:szCs w:val="20"/>
              </w:rPr>
            </w:pPr>
            <w:r>
              <w:rPr>
                <w:bCs/>
                <w:sz w:val="20"/>
                <w:szCs w:val="20"/>
              </w:rPr>
              <w:fldChar w:fldCharType="begin"/>
            </w:r>
            <w:r>
              <w:rPr>
                <w:bCs/>
                <w:sz w:val="20"/>
                <w:szCs w:val="20"/>
              </w:rPr>
              <w:instrText xml:space="preserve"> ADDIN EN.CITE &lt;EndNote&gt;&lt;Cite&gt;&lt;Author&gt;Rollins&lt;/Author&gt;&lt;Year&gt;2012&lt;/Year&gt;&lt;RecNum&gt;1&lt;/RecNum&gt;&lt;DisplayText&gt;(Rollins, Mahy et al. 2012)&lt;/DisplayText&gt;&lt;record&gt;&lt;rec-number&gt;1&lt;/rec-number&gt;&lt;foreign-keys&gt;&lt;key app="EN" db-id="fdxddfzvgd2s5def22lpt2vlxvrw59fw92zw" timestamp="1611831202"&gt;1&lt;/key&gt;&lt;/foreign-keys&gt;&lt;ref-type name="Journal Article"&gt;17&lt;/ref-type&gt;&lt;contributors&gt;&lt;authors&gt;&lt;author&gt;Rollins, Nigel&lt;/author&gt;&lt;author&gt;Mahy, Mary&lt;/author&gt;&lt;author&gt;Becquet, Renaud&lt;/author&gt;&lt;author&gt;Kuhn, Louise&lt;/author&gt;&lt;author&gt;Creek, Tracy&lt;/author&gt;&lt;author&gt;Mofenson, Lynne&lt;/author&gt;&lt;/authors&gt;&lt;/contributors&gt;&lt;titles&gt;&lt;title&gt;Estimates of peripartum and postnatal mother-to-child transmission probabilities of HIV for use in Spectrum and other population-based models&lt;/title&gt;&lt;secondary-title&gt;Sexually Transmitted Infections&lt;/secondary-title&gt;&lt;/titles&gt;&lt;periodical&gt;&lt;full-title&gt;Sexually Transmitted Infections&lt;/full-title&gt;&lt;/periodical&gt;&lt;pages&gt;i44-i51&lt;/pages&gt;&lt;volume&gt;88&lt;/volume&gt;&lt;number&gt;Suppl 2&lt;/number&gt;&lt;dates&gt;&lt;year&gt;2012&lt;/year&gt;&lt;/dates&gt;&lt;urls&gt;&lt;related-urls&gt;&lt;url&gt;https://sti.bmj.com/content/sextrans/88/Suppl_2/i44.full.pdf&lt;/url&gt;&lt;/related-urls&gt;&lt;/urls&gt;&lt;electronic-resource-num&gt;10.1136/sextrans-2012-050709&lt;/electronic-resource-num&gt;&lt;/record&gt;&lt;/Cite&gt;&lt;/EndNote&gt;</w:instrText>
            </w:r>
            <w:r>
              <w:rPr>
                <w:bCs/>
                <w:sz w:val="20"/>
                <w:szCs w:val="20"/>
              </w:rPr>
              <w:fldChar w:fldCharType="separate"/>
            </w:r>
            <w:r>
              <w:rPr>
                <w:bCs/>
                <w:noProof/>
                <w:sz w:val="20"/>
                <w:szCs w:val="20"/>
              </w:rPr>
              <w:t>(Rollins, Mahy et al. 2012)</w:t>
            </w:r>
            <w:r>
              <w:rPr>
                <w:bCs/>
                <w:sz w:val="20"/>
                <w:szCs w:val="20"/>
              </w:rPr>
              <w:fldChar w:fldCharType="end"/>
            </w:r>
          </w:p>
        </w:tc>
      </w:tr>
      <w:tr w:rsidR="00E00E61" w:rsidRPr="00AE254B" w14:paraId="653331FD" w14:textId="77777777" w:rsidTr="0056323D">
        <w:trPr>
          <w:trHeight w:val="310"/>
        </w:trPr>
        <w:tc>
          <w:tcPr>
            <w:tcW w:w="2629" w:type="pct"/>
          </w:tcPr>
          <w:p w14:paraId="4BD425BD" w14:textId="0FA833E9" w:rsidR="00E00E61" w:rsidRPr="00AE254B" w:rsidRDefault="00E00E61" w:rsidP="00AE254B">
            <w:pPr>
              <w:rPr>
                <w:bCs/>
                <w:sz w:val="20"/>
                <w:szCs w:val="20"/>
              </w:rPr>
            </w:pPr>
            <w:r>
              <w:rPr>
                <w:bCs/>
                <w:sz w:val="20"/>
                <w:szCs w:val="20"/>
              </w:rPr>
              <w:t>Probability of mother-to-child transmission if mother is infected during pregnancy</w:t>
            </w:r>
          </w:p>
        </w:tc>
        <w:tc>
          <w:tcPr>
            <w:tcW w:w="341" w:type="pct"/>
            <w:noWrap/>
            <w:hideMark/>
          </w:tcPr>
          <w:p w14:paraId="27C6975C" w14:textId="39173EE2" w:rsidR="00E00E61" w:rsidRPr="00AE254B" w:rsidRDefault="00E00E61" w:rsidP="00AE254B">
            <w:pPr>
              <w:rPr>
                <w:bCs/>
                <w:sz w:val="20"/>
                <w:szCs w:val="20"/>
              </w:rPr>
            </w:pPr>
            <w:r w:rsidRPr="00AE254B">
              <w:rPr>
                <w:bCs/>
                <w:sz w:val="20"/>
                <w:szCs w:val="20"/>
              </w:rPr>
              <w:t>0.3</w:t>
            </w:r>
          </w:p>
        </w:tc>
        <w:tc>
          <w:tcPr>
            <w:tcW w:w="2030" w:type="pct"/>
            <w:noWrap/>
          </w:tcPr>
          <w:p w14:paraId="08A96277" w14:textId="47D2E1AB" w:rsidR="00E00E61" w:rsidRPr="00AE254B" w:rsidRDefault="000671F7">
            <w:pPr>
              <w:rPr>
                <w:bCs/>
                <w:sz w:val="20"/>
                <w:szCs w:val="20"/>
              </w:rPr>
            </w:pPr>
            <w:r>
              <w:rPr>
                <w:bCs/>
                <w:sz w:val="20"/>
                <w:szCs w:val="20"/>
              </w:rPr>
              <w:fldChar w:fldCharType="begin"/>
            </w:r>
            <w:r>
              <w:rPr>
                <w:bCs/>
                <w:sz w:val="20"/>
                <w:szCs w:val="20"/>
              </w:rPr>
              <w:instrText xml:space="preserve"> ADDIN EN.CITE &lt;EndNote&gt;&lt;Cite&gt;&lt;Author&gt;Rollins&lt;/Author&gt;&lt;Year&gt;2012&lt;/Year&gt;&lt;RecNum&gt;1&lt;/RecNum&gt;&lt;DisplayText&gt;(Rollins, Mahy et al. 2012)&lt;/DisplayText&gt;&lt;record&gt;&lt;rec-number&gt;1&lt;/rec-number&gt;&lt;foreign-keys&gt;&lt;key app="EN" db-id="fdxddfzvgd2s5def22lpt2vlxvrw59fw92zw" timestamp="1611831202"&gt;1&lt;/key&gt;&lt;/foreign-keys&gt;&lt;ref-type name="Journal Article"&gt;17&lt;/ref-type&gt;&lt;contributors&gt;&lt;authors&gt;&lt;author&gt;Rollins, Nigel&lt;/author&gt;&lt;author&gt;Mahy, Mary&lt;/author&gt;&lt;author&gt;Becquet, Renaud&lt;/author&gt;&lt;author&gt;Kuhn, Louise&lt;/author&gt;&lt;author&gt;Creek, Tracy&lt;/author&gt;&lt;author&gt;Mofenson, Lynne&lt;/author&gt;&lt;/authors&gt;&lt;/contributors&gt;&lt;titles&gt;&lt;title&gt;Estimates of peripartum and postnatal mother-to-child transmission probabilities of HIV for use in Spectrum and other population-based models&lt;/title&gt;&lt;secondary-title&gt;Sexually Transmitted Infections&lt;/secondary-title&gt;&lt;/titles&gt;&lt;periodical&gt;&lt;full-title&gt;Sexually Transmitted Infections&lt;/full-title&gt;&lt;/periodical&gt;&lt;pages&gt;i44-i51&lt;/pages&gt;&lt;volume&gt;88&lt;/volume&gt;&lt;number&gt;Suppl 2&lt;/number&gt;&lt;dates&gt;&lt;year&gt;2012&lt;/year&gt;&lt;/dates&gt;&lt;urls&gt;&lt;related-urls&gt;&lt;url&gt;https://sti.bmj.com/content/sextrans/88/Suppl_2/i44.full.pdf&lt;/url&gt;&lt;/related-urls&gt;&lt;/urls&gt;&lt;electronic-resource-num&gt;10.1136/sextrans-2012-050709&lt;/electronic-resource-num&gt;&lt;/record&gt;&lt;/Cite&gt;&lt;/EndNote&gt;</w:instrText>
            </w:r>
            <w:r>
              <w:rPr>
                <w:bCs/>
                <w:sz w:val="20"/>
                <w:szCs w:val="20"/>
              </w:rPr>
              <w:fldChar w:fldCharType="separate"/>
            </w:r>
            <w:r>
              <w:rPr>
                <w:bCs/>
                <w:noProof/>
                <w:sz w:val="20"/>
                <w:szCs w:val="20"/>
              </w:rPr>
              <w:t>(Rollins, Mahy et al. 2012)</w:t>
            </w:r>
            <w:r>
              <w:rPr>
                <w:bCs/>
                <w:sz w:val="20"/>
                <w:szCs w:val="20"/>
              </w:rPr>
              <w:fldChar w:fldCharType="end"/>
            </w:r>
          </w:p>
        </w:tc>
      </w:tr>
      <w:tr w:rsidR="00E00E61" w:rsidRPr="00AE254B" w14:paraId="4358F69D" w14:textId="77777777" w:rsidTr="0056323D">
        <w:trPr>
          <w:trHeight w:val="310"/>
        </w:trPr>
        <w:tc>
          <w:tcPr>
            <w:tcW w:w="2629" w:type="pct"/>
          </w:tcPr>
          <w:p w14:paraId="5A2B8169" w14:textId="2E69FE94" w:rsidR="00E00E61" w:rsidRPr="00AE254B" w:rsidRDefault="00E00E61" w:rsidP="00AE254B">
            <w:pPr>
              <w:rPr>
                <w:bCs/>
                <w:sz w:val="20"/>
                <w:szCs w:val="20"/>
              </w:rPr>
            </w:pPr>
            <w:r>
              <w:rPr>
                <w:bCs/>
                <w:sz w:val="20"/>
                <w:szCs w:val="20"/>
              </w:rPr>
              <w:t>Probability of mother-to-child transmission during breastfeeding if mother is untreated</w:t>
            </w:r>
            <w:r w:rsidR="00606D5D">
              <w:rPr>
                <w:bCs/>
                <w:sz w:val="20"/>
                <w:szCs w:val="20"/>
              </w:rPr>
              <w:t xml:space="preserve"> per month</w:t>
            </w:r>
          </w:p>
        </w:tc>
        <w:tc>
          <w:tcPr>
            <w:tcW w:w="341" w:type="pct"/>
            <w:noWrap/>
            <w:hideMark/>
          </w:tcPr>
          <w:p w14:paraId="59C1CFAE" w14:textId="24B8A1FF" w:rsidR="00E00E61" w:rsidRPr="00AE254B" w:rsidRDefault="00E00E61" w:rsidP="00AE254B">
            <w:pPr>
              <w:rPr>
                <w:bCs/>
                <w:sz w:val="20"/>
                <w:szCs w:val="20"/>
              </w:rPr>
            </w:pPr>
            <w:r w:rsidRPr="00AE254B">
              <w:rPr>
                <w:bCs/>
                <w:sz w:val="20"/>
                <w:szCs w:val="20"/>
              </w:rPr>
              <w:t>0.01</w:t>
            </w:r>
          </w:p>
        </w:tc>
        <w:tc>
          <w:tcPr>
            <w:tcW w:w="2030" w:type="pct"/>
            <w:noWrap/>
          </w:tcPr>
          <w:p w14:paraId="7B493A92" w14:textId="70EC8585" w:rsidR="00E00E61" w:rsidRPr="00AE254B" w:rsidRDefault="000671F7">
            <w:pPr>
              <w:rPr>
                <w:bCs/>
                <w:sz w:val="20"/>
                <w:szCs w:val="20"/>
              </w:rPr>
            </w:pPr>
            <w:r>
              <w:rPr>
                <w:bCs/>
                <w:sz w:val="20"/>
                <w:szCs w:val="20"/>
              </w:rPr>
              <w:fldChar w:fldCharType="begin"/>
            </w:r>
            <w:r>
              <w:rPr>
                <w:bCs/>
                <w:sz w:val="20"/>
                <w:szCs w:val="20"/>
              </w:rPr>
              <w:instrText xml:space="preserve"> ADDIN EN.CITE &lt;EndNote&gt;&lt;Cite&gt;&lt;Author&gt;Rollins&lt;/Author&gt;&lt;Year&gt;2012&lt;/Year&gt;&lt;RecNum&gt;1&lt;/RecNum&gt;&lt;DisplayText&gt;(Rollins, Mahy et al. 2012)&lt;/DisplayText&gt;&lt;record&gt;&lt;rec-number&gt;1&lt;/rec-number&gt;&lt;foreign-keys&gt;&lt;key app="EN" db-id="fdxddfzvgd2s5def22lpt2vlxvrw59fw92zw" timestamp="1611831202"&gt;1&lt;/key&gt;&lt;/foreign-keys&gt;&lt;ref-type name="Journal Article"&gt;17&lt;/ref-type&gt;&lt;contributors&gt;&lt;authors&gt;&lt;author&gt;Rollins, Nigel&lt;/author&gt;&lt;author&gt;Mahy, Mary&lt;/author&gt;&lt;author&gt;Becquet, Renaud&lt;/author&gt;&lt;author&gt;Kuhn, Louise&lt;/author&gt;&lt;author&gt;Creek, Tracy&lt;/author&gt;&lt;author&gt;Mofenson, Lynne&lt;/author&gt;&lt;/authors&gt;&lt;/contributors&gt;&lt;titles&gt;&lt;title&gt;Estimates of peripartum and postnatal mother-to-child transmission probabilities of HIV for use in Spectrum and other population-based models&lt;/title&gt;&lt;secondary-title&gt;Sexually Transmitted Infections&lt;/secondary-title&gt;&lt;/titles&gt;&lt;periodical&gt;&lt;full-title&gt;Sexually Transmitted Infections&lt;/full-title&gt;&lt;/periodical&gt;&lt;pages&gt;i44-i51&lt;/pages&gt;&lt;volume&gt;88&lt;/volume&gt;&lt;number&gt;Suppl 2&lt;/number&gt;&lt;dates&gt;&lt;year&gt;2012&lt;/year&gt;&lt;/dates&gt;&lt;urls&gt;&lt;related-urls&gt;&lt;url&gt;https://sti.bmj.com/content/sextrans/88/Suppl_2/i44.full.pdf&lt;/url&gt;&lt;/related-urls&gt;&lt;/urls&gt;&lt;electronic-resource-num&gt;10.1136/sextrans-2012-050709&lt;/electronic-resource-num&gt;&lt;/record&gt;&lt;/Cite&gt;&lt;/EndNote&gt;</w:instrText>
            </w:r>
            <w:r>
              <w:rPr>
                <w:bCs/>
                <w:sz w:val="20"/>
                <w:szCs w:val="20"/>
              </w:rPr>
              <w:fldChar w:fldCharType="separate"/>
            </w:r>
            <w:r>
              <w:rPr>
                <w:bCs/>
                <w:noProof/>
                <w:sz w:val="20"/>
                <w:szCs w:val="20"/>
              </w:rPr>
              <w:t>(Rollins, Mahy et al. 2012)</w:t>
            </w:r>
            <w:r>
              <w:rPr>
                <w:bCs/>
                <w:sz w:val="20"/>
                <w:szCs w:val="20"/>
              </w:rPr>
              <w:fldChar w:fldCharType="end"/>
            </w:r>
          </w:p>
        </w:tc>
      </w:tr>
      <w:tr w:rsidR="00E00E61" w:rsidRPr="00AE254B" w14:paraId="66D6B1FE" w14:textId="77777777" w:rsidTr="0056323D">
        <w:trPr>
          <w:trHeight w:val="310"/>
        </w:trPr>
        <w:tc>
          <w:tcPr>
            <w:tcW w:w="2629" w:type="pct"/>
          </w:tcPr>
          <w:p w14:paraId="5F371B44" w14:textId="07580D1C" w:rsidR="00E00E61" w:rsidRPr="00AE254B" w:rsidRDefault="00E00E61" w:rsidP="00AE254B">
            <w:pPr>
              <w:rPr>
                <w:bCs/>
                <w:sz w:val="20"/>
                <w:szCs w:val="20"/>
              </w:rPr>
            </w:pPr>
            <w:r>
              <w:rPr>
                <w:bCs/>
                <w:sz w:val="20"/>
                <w:szCs w:val="20"/>
              </w:rPr>
              <w:t>Probability of mother-to-child transmission during breastfeeding if mother is treated</w:t>
            </w:r>
            <w:r w:rsidR="00606D5D">
              <w:rPr>
                <w:bCs/>
                <w:sz w:val="20"/>
                <w:szCs w:val="20"/>
              </w:rPr>
              <w:t xml:space="preserve"> per month</w:t>
            </w:r>
          </w:p>
        </w:tc>
        <w:tc>
          <w:tcPr>
            <w:tcW w:w="341" w:type="pct"/>
            <w:noWrap/>
            <w:hideMark/>
          </w:tcPr>
          <w:p w14:paraId="75E2EBA1" w14:textId="521087D0" w:rsidR="00E00E61" w:rsidRPr="00AE254B" w:rsidRDefault="00E00E61" w:rsidP="00AE254B">
            <w:pPr>
              <w:rPr>
                <w:bCs/>
                <w:sz w:val="20"/>
                <w:szCs w:val="20"/>
              </w:rPr>
            </w:pPr>
            <w:r w:rsidRPr="00AE254B">
              <w:rPr>
                <w:bCs/>
                <w:sz w:val="20"/>
                <w:szCs w:val="20"/>
              </w:rPr>
              <w:t>0</w:t>
            </w:r>
          </w:p>
        </w:tc>
        <w:tc>
          <w:tcPr>
            <w:tcW w:w="2030" w:type="pct"/>
            <w:noWrap/>
          </w:tcPr>
          <w:p w14:paraId="1D7684F0" w14:textId="750A8E8A" w:rsidR="00E00E61" w:rsidRPr="00AE254B" w:rsidRDefault="000671F7">
            <w:pPr>
              <w:rPr>
                <w:bCs/>
                <w:sz w:val="20"/>
                <w:szCs w:val="20"/>
              </w:rPr>
            </w:pPr>
            <w:r>
              <w:rPr>
                <w:bCs/>
                <w:sz w:val="20"/>
                <w:szCs w:val="20"/>
              </w:rPr>
              <w:fldChar w:fldCharType="begin"/>
            </w:r>
            <w:r>
              <w:rPr>
                <w:bCs/>
                <w:sz w:val="20"/>
                <w:szCs w:val="20"/>
              </w:rPr>
              <w:instrText xml:space="preserve"> ADDIN EN.CITE &lt;EndNote&gt;&lt;Cite&gt;&lt;Author&gt;Rollins&lt;/Author&gt;&lt;Year&gt;2012&lt;/Year&gt;&lt;RecNum&gt;1&lt;/RecNum&gt;&lt;DisplayText&gt;(Rollins, Mahy et al. 2012)&lt;/DisplayText&gt;&lt;record&gt;&lt;rec-number&gt;1&lt;/rec-number&gt;&lt;foreign-keys&gt;&lt;key app="EN" db-id="fdxddfzvgd2s5def22lpt2vlxvrw59fw92zw" timestamp="1611831202"&gt;1&lt;/key&gt;&lt;/foreign-keys&gt;&lt;ref-type name="Journal Article"&gt;17&lt;/ref-type&gt;&lt;contributors&gt;&lt;authors&gt;&lt;author&gt;Rollins, Nigel&lt;/author&gt;&lt;author&gt;Mahy, Mary&lt;/author&gt;&lt;author&gt;Becquet, Renaud&lt;/author&gt;&lt;author&gt;Kuhn, Louise&lt;/author&gt;&lt;author&gt;Creek, Tracy&lt;/author&gt;&lt;author&gt;Mofenson, Lynne&lt;/author&gt;&lt;/authors&gt;&lt;/contributors&gt;&lt;titles&gt;&lt;title&gt;Estimates of peripartum and postnatal mother-to-child transmission probabilities of HIV for use in Spectrum and other population-based models&lt;/title&gt;&lt;secondary-title&gt;Sexually Transmitted Infections&lt;/secondary-title&gt;&lt;/titles&gt;&lt;periodical&gt;&lt;full-title&gt;Sexually Transmitted Infections&lt;/full-title&gt;&lt;/periodical&gt;&lt;pages&gt;i44-i51&lt;/pages&gt;&lt;volume&gt;88&lt;/volume&gt;&lt;number&gt;Suppl 2&lt;/number&gt;&lt;dates&gt;&lt;year&gt;2012&lt;/year&gt;&lt;/dates&gt;&lt;urls&gt;&lt;related-urls&gt;&lt;url&gt;https://sti.bmj.com/content/sextrans/88/Suppl_2/i44.full.pdf&lt;/url&gt;&lt;/related-urls&gt;&lt;/urls&gt;&lt;electronic-resource-num&gt;10.1136/sextrans-2012-050709&lt;/electronic-resource-num&gt;&lt;/record&gt;&lt;/Cite&gt;&lt;/EndNote&gt;</w:instrText>
            </w:r>
            <w:r>
              <w:rPr>
                <w:bCs/>
                <w:sz w:val="20"/>
                <w:szCs w:val="20"/>
              </w:rPr>
              <w:fldChar w:fldCharType="separate"/>
            </w:r>
            <w:r>
              <w:rPr>
                <w:bCs/>
                <w:noProof/>
                <w:sz w:val="20"/>
                <w:szCs w:val="20"/>
              </w:rPr>
              <w:t>(Rollins, Mahy et al. 2012)</w:t>
            </w:r>
            <w:r>
              <w:rPr>
                <w:bCs/>
                <w:sz w:val="20"/>
                <w:szCs w:val="20"/>
              </w:rPr>
              <w:fldChar w:fldCharType="end"/>
            </w:r>
          </w:p>
        </w:tc>
      </w:tr>
      <w:tr w:rsidR="00E00E61" w:rsidRPr="00AE254B" w14:paraId="37BB4AB0" w14:textId="77777777" w:rsidTr="0056323D">
        <w:trPr>
          <w:trHeight w:val="310"/>
        </w:trPr>
        <w:tc>
          <w:tcPr>
            <w:tcW w:w="2629" w:type="pct"/>
          </w:tcPr>
          <w:p w14:paraId="74E772E3" w14:textId="68C77615" w:rsidR="00E00E61" w:rsidRPr="00AE254B" w:rsidRDefault="00E00E61" w:rsidP="00AE254B">
            <w:pPr>
              <w:rPr>
                <w:bCs/>
                <w:sz w:val="20"/>
                <w:szCs w:val="20"/>
              </w:rPr>
            </w:pPr>
            <w:r>
              <w:rPr>
                <w:bCs/>
                <w:sz w:val="20"/>
                <w:szCs w:val="20"/>
              </w:rPr>
              <w:t>Relative risk of HIV acquisition with female sex work</w:t>
            </w:r>
          </w:p>
        </w:tc>
        <w:tc>
          <w:tcPr>
            <w:tcW w:w="341" w:type="pct"/>
            <w:noWrap/>
            <w:hideMark/>
          </w:tcPr>
          <w:p w14:paraId="5D475A24" w14:textId="67280A7C" w:rsidR="00E00E61" w:rsidRPr="00AE254B" w:rsidRDefault="00A7396B" w:rsidP="00AE254B">
            <w:pPr>
              <w:rPr>
                <w:bCs/>
                <w:sz w:val="20"/>
                <w:szCs w:val="20"/>
              </w:rPr>
            </w:pPr>
            <w:r>
              <w:rPr>
                <w:bCs/>
                <w:sz w:val="20"/>
                <w:szCs w:val="20"/>
              </w:rPr>
              <w:t>20</w:t>
            </w:r>
          </w:p>
        </w:tc>
        <w:tc>
          <w:tcPr>
            <w:tcW w:w="2030" w:type="pct"/>
            <w:noWrap/>
            <w:hideMark/>
          </w:tcPr>
          <w:p w14:paraId="1559F93D" w14:textId="1B7E27C3" w:rsidR="00E00E61" w:rsidRPr="00AE254B" w:rsidRDefault="000671F7" w:rsidP="00AE254B">
            <w:pPr>
              <w:rPr>
                <w:bCs/>
                <w:sz w:val="20"/>
                <w:szCs w:val="20"/>
              </w:rPr>
            </w:pPr>
            <w:r>
              <w:rPr>
                <w:bCs/>
                <w:sz w:val="20"/>
                <w:szCs w:val="20"/>
              </w:rPr>
              <w:t>Assumption</w:t>
            </w:r>
          </w:p>
        </w:tc>
      </w:tr>
      <w:tr w:rsidR="00E00E61" w:rsidRPr="00AE254B" w14:paraId="7D9D952D" w14:textId="77777777" w:rsidTr="0056323D">
        <w:trPr>
          <w:trHeight w:val="310"/>
        </w:trPr>
        <w:tc>
          <w:tcPr>
            <w:tcW w:w="2629" w:type="pct"/>
          </w:tcPr>
          <w:p w14:paraId="2D5C205E" w14:textId="659C69CB" w:rsidR="00E00E61" w:rsidRPr="00AE254B" w:rsidRDefault="00E00E61" w:rsidP="00AE254B">
            <w:pPr>
              <w:rPr>
                <w:bCs/>
                <w:sz w:val="20"/>
                <w:szCs w:val="20"/>
              </w:rPr>
            </w:pPr>
            <w:r>
              <w:rPr>
                <w:bCs/>
                <w:sz w:val="20"/>
                <w:szCs w:val="20"/>
              </w:rPr>
              <w:t>Relative risk of HIV acquisition with circumcision compared with not circumcised</w:t>
            </w:r>
          </w:p>
        </w:tc>
        <w:tc>
          <w:tcPr>
            <w:tcW w:w="341" w:type="pct"/>
            <w:noWrap/>
            <w:hideMark/>
          </w:tcPr>
          <w:p w14:paraId="08EE4EB3" w14:textId="6E2F7303" w:rsidR="00E00E61" w:rsidRPr="00AE254B" w:rsidRDefault="00E00E61" w:rsidP="00AE254B">
            <w:pPr>
              <w:rPr>
                <w:bCs/>
                <w:sz w:val="20"/>
                <w:szCs w:val="20"/>
              </w:rPr>
            </w:pPr>
            <w:r w:rsidRPr="00AE254B">
              <w:rPr>
                <w:bCs/>
                <w:sz w:val="20"/>
                <w:szCs w:val="20"/>
              </w:rPr>
              <w:t>0.4</w:t>
            </w:r>
          </w:p>
        </w:tc>
        <w:tc>
          <w:tcPr>
            <w:tcW w:w="2030" w:type="pct"/>
            <w:noWrap/>
            <w:hideMark/>
          </w:tcPr>
          <w:p w14:paraId="394DED83" w14:textId="0831F117" w:rsidR="00E00E61" w:rsidRPr="00AE254B" w:rsidRDefault="000671F7">
            <w:pPr>
              <w:rPr>
                <w:bCs/>
                <w:sz w:val="20"/>
                <w:szCs w:val="20"/>
              </w:rPr>
            </w:pPr>
            <w:r>
              <w:rPr>
                <w:bCs/>
                <w:sz w:val="20"/>
                <w:szCs w:val="20"/>
              </w:rPr>
              <w:fldChar w:fldCharType="begin"/>
            </w:r>
            <w:r>
              <w:rPr>
                <w:bCs/>
                <w:sz w:val="20"/>
                <w:szCs w:val="20"/>
              </w:rPr>
              <w:instrText xml:space="preserve"> ADDIN EN.CITE &lt;EndNote&gt;&lt;Cite&gt;&lt;Author&gt;Hallett&lt;/Author&gt;&lt;Year&gt;2008&lt;/Year&gt;&lt;RecNum&gt;2&lt;/RecNum&gt;&lt;DisplayText&gt;(Hallett, Singh et al. 2008)&lt;/DisplayText&gt;&lt;record&gt;&lt;rec-number&gt;2&lt;/rec-number&gt;&lt;foreign-keys&gt;&lt;key app="EN" db-id="fdxddfzvgd2s5def22lpt2vlxvrw59fw92zw" timestamp="1611831215"&gt;2&lt;/key&gt;&lt;/foreign-keys&gt;&lt;ref-type name="Journal Article"&gt;17&lt;/ref-type&gt;&lt;contributors&gt;&lt;authors&gt;&lt;author&gt;Hallett, Timothy B&lt;/author&gt;&lt;author&gt;Singh, Kanwarjit&lt;/author&gt;&lt;author&gt;Smith, Jennifer A&lt;/author&gt;&lt;author&gt;White, Richard G&lt;/author&gt;&lt;author&gt;Abu-Raddad, Laith J&lt;/author&gt;&lt;author&gt;Garnett, Geoff P&lt;/author&gt;&lt;/authors&gt;&lt;/contributors&gt;&lt;titles&gt;&lt;title&gt;Understanding the impact of male circumcision interventions on the spread of HIV in southern Africa&lt;/title&gt;&lt;secondary-title&gt;PloS one&lt;/secondary-title&gt;&lt;/titles&gt;&lt;periodical&gt;&lt;full-title&gt;PloS one&lt;/full-title&gt;&lt;/periodical&gt;&lt;pages&gt;e2212&lt;/pages&gt;&lt;volume&gt;3&lt;/volume&gt;&lt;number&gt;5&lt;/number&gt;&lt;dates&gt;&lt;year&gt;2008&lt;/year&gt;&lt;/dates&gt;&lt;isbn&gt;1932-6203&lt;/isbn&gt;&lt;urls&gt;&lt;related-urls&gt;&lt;url&gt;https://journals.plos.org/plosone/article?id=10.1371/journal.pone.0002212&lt;/url&gt;&lt;/related-urls&gt;&lt;/urls&gt;&lt;/record&gt;&lt;/Cite&gt;&lt;/EndNote&gt;</w:instrText>
            </w:r>
            <w:r>
              <w:rPr>
                <w:bCs/>
                <w:sz w:val="20"/>
                <w:szCs w:val="20"/>
              </w:rPr>
              <w:fldChar w:fldCharType="separate"/>
            </w:r>
            <w:r>
              <w:rPr>
                <w:bCs/>
                <w:noProof/>
                <w:sz w:val="20"/>
                <w:szCs w:val="20"/>
              </w:rPr>
              <w:t>(Hallett, Singh et al. 2008)</w:t>
            </w:r>
            <w:r>
              <w:rPr>
                <w:bCs/>
                <w:sz w:val="20"/>
                <w:szCs w:val="20"/>
              </w:rPr>
              <w:fldChar w:fldCharType="end"/>
            </w:r>
          </w:p>
        </w:tc>
      </w:tr>
      <w:tr w:rsidR="00E00E61" w:rsidRPr="00AE254B" w14:paraId="6BBB2857" w14:textId="77777777" w:rsidTr="0056323D">
        <w:trPr>
          <w:trHeight w:val="310"/>
        </w:trPr>
        <w:tc>
          <w:tcPr>
            <w:tcW w:w="2629" w:type="pct"/>
          </w:tcPr>
          <w:p w14:paraId="74147275" w14:textId="56D3554B" w:rsidR="00E00E61" w:rsidRPr="00AE254B" w:rsidRDefault="00E00E61" w:rsidP="00AE254B">
            <w:pPr>
              <w:rPr>
                <w:bCs/>
                <w:sz w:val="20"/>
                <w:szCs w:val="20"/>
              </w:rPr>
            </w:pPr>
            <w:r>
              <w:rPr>
                <w:bCs/>
                <w:sz w:val="20"/>
                <w:szCs w:val="20"/>
              </w:rPr>
              <w:t>Relative risk of HIV acquisition in rural location compared with urban</w:t>
            </w:r>
          </w:p>
        </w:tc>
        <w:tc>
          <w:tcPr>
            <w:tcW w:w="341" w:type="pct"/>
            <w:noWrap/>
            <w:hideMark/>
          </w:tcPr>
          <w:p w14:paraId="7FF57025" w14:textId="42528DBD" w:rsidR="00E00E61" w:rsidRPr="00AE254B" w:rsidRDefault="00E00E61" w:rsidP="00AE254B">
            <w:pPr>
              <w:rPr>
                <w:bCs/>
                <w:sz w:val="20"/>
                <w:szCs w:val="20"/>
              </w:rPr>
            </w:pPr>
            <w:r w:rsidRPr="00AE254B">
              <w:rPr>
                <w:bCs/>
                <w:sz w:val="20"/>
                <w:szCs w:val="20"/>
              </w:rPr>
              <w:t>0.52</w:t>
            </w:r>
          </w:p>
        </w:tc>
        <w:tc>
          <w:tcPr>
            <w:tcW w:w="2030" w:type="pct"/>
            <w:noWrap/>
            <w:hideMark/>
          </w:tcPr>
          <w:p w14:paraId="05DC33C8"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2D0F6A1A" w14:textId="77777777" w:rsidTr="0056323D">
        <w:trPr>
          <w:trHeight w:val="310"/>
        </w:trPr>
        <w:tc>
          <w:tcPr>
            <w:tcW w:w="2629" w:type="pct"/>
          </w:tcPr>
          <w:p w14:paraId="48DD4D89" w14:textId="57425559" w:rsidR="00E00E61" w:rsidRPr="00AE254B" w:rsidRDefault="00E00E61" w:rsidP="00AE254B">
            <w:pPr>
              <w:rPr>
                <w:bCs/>
                <w:sz w:val="20"/>
                <w:szCs w:val="20"/>
              </w:rPr>
            </w:pPr>
            <w:r>
              <w:rPr>
                <w:bCs/>
                <w:sz w:val="20"/>
                <w:szCs w:val="20"/>
              </w:rPr>
              <w:t>Relative risk of HIV acquisition with wealth index poorer compared with poorest</w:t>
            </w:r>
          </w:p>
        </w:tc>
        <w:tc>
          <w:tcPr>
            <w:tcW w:w="341" w:type="pct"/>
            <w:noWrap/>
            <w:hideMark/>
          </w:tcPr>
          <w:p w14:paraId="69523C76" w14:textId="4F77FACC" w:rsidR="00E00E61" w:rsidRPr="00AE254B" w:rsidRDefault="00E00E61" w:rsidP="00AE254B">
            <w:pPr>
              <w:rPr>
                <w:bCs/>
                <w:sz w:val="20"/>
                <w:szCs w:val="20"/>
              </w:rPr>
            </w:pPr>
            <w:r w:rsidRPr="00AE254B">
              <w:rPr>
                <w:bCs/>
                <w:sz w:val="20"/>
                <w:szCs w:val="20"/>
              </w:rPr>
              <w:t>0.96</w:t>
            </w:r>
          </w:p>
        </w:tc>
        <w:tc>
          <w:tcPr>
            <w:tcW w:w="2030" w:type="pct"/>
            <w:noWrap/>
            <w:hideMark/>
          </w:tcPr>
          <w:p w14:paraId="12E66DCF"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48A4DA3A" w14:textId="77777777" w:rsidTr="0056323D">
        <w:trPr>
          <w:trHeight w:val="310"/>
        </w:trPr>
        <w:tc>
          <w:tcPr>
            <w:tcW w:w="2629" w:type="pct"/>
          </w:tcPr>
          <w:p w14:paraId="72C9A0EC" w14:textId="7532BE67" w:rsidR="00E00E61" w:rsidRPr="00AE254B" w:rsidRDefault="00E00E61" w:rsidP="00AE254B">
            <w:pPr>
              <w:rPr>
                <w:bCs/>
                <w:sz w:val="20"/>
                <w:szCs w:val="20"/>
              </w:rPr>
            </w:pPr>
            <w:r>
              <w:rPr>
                <w:bCs/>
                <w:sz w:val="20"/>
                <w:szCs w:val="20"/>
              </w:rPr>
              <w:t>Relative risk of HIV acquisition with wealth index middle compared with poorest</w:t>
            </w:r>
          </w:p>
        </w:tc>
        <w:tc>
          <w:tcPr>
            <w:tcW w:w="341" w:type="pct"/>
            <w:noWrap/>
            <w:hideMark/>
          </w:tcPr>
          <w:p w14:paraId="44E63F10" w14:textId="6CF44A0C" w:rsidR="00E00E61" w:rsidRPr="00AE254B" w:rsidRDefault="00E00E61" w:rsidP="00AE254B">
            <w:pPr>
              <w:rPr>
                <w:bCs/>
                <w:sz w:val="20"/>
                <w:szCs w:val="20"/>
              </w:rPr>
            </w:pPr>
            <w:r w:rsidRPr="00AE254B">
              <w:rPr>
                <w:bCs/>
                <w:sz w:val="20"/>
                <w:szCs w:val="20"/>
              </w:rPr>
              <w:t>1.18</w:t>
            </w:r>
          </w:p>
        </w:tc>
        <w:tc>
          <w:tcPr>
            <w:tcW w:w="2030" w:type="pct"/>
            <w:noWrap/>
            <w:hideMark/>
          </w:tcPr>
          <w:p w14:paraId="500E1E15"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100B9C31" w14:textId="77777777" w:rsidTr="0056323D">
        <w:trPr>
          <w:trHeight w:val="310"/>
        </w:trPr>
        <w:tc>
          <w:tcPr>
            <w:tcW w:w="2629" w:type="pct"/>
          </w:tcPr>
          <w:p w14:paraId="037283C9" w14:textId="19C7C3DE" w:rsidR="00E00E61" w:rsidRPr="00AE254B" w:rsidRDefault="00E00E61" w:rsidP="00AE254B">
            <w:pPr>
              <w:rPr>
                <w:bCs/>
                <w:sz w:val="20"/>
                <w:szCs w:val="20"/>
              </w:rPr>
            </w:pPr>
            <w:r>
              <w:rPr>
                <w:bCs/>
                <w:sz w:val="20"/>
                <w:szCs w:val="20"/>
              </w:rPr>
              <w:t>Relative risk of HIV acquisition with wealth index richer compared with poorest</w:t>
            </w:r>
          </w:p>
        </w:tc>
        <w:tc>
          <w:tcPr>
            <w:tcW w:w="341" w:type="pct"/>
            <w:noWrap/>
            <w:hideMark/>
          </w:tcPr>
          <w:p w14:paraId="0BFC447F" w14:textId="3C2F7399" w:rsidR="00E00E61" w:rsidRPr="00AE254B" w:rsidRDefault="00E00E61" w:rsidP="00AE254B">
            <w:pPr>
              <w:rPr>
                <w:bCs/>
                <w:sz w:val="20"/>
                <w:szCs w:val="20"/>
              </w:rPr>
            </w:pPr>
            <w:r w:rsidRPr="00AE254B">
              <w:rPr>
                <w:bCs/>
                <w:sz w:val="20"/>
                <w:szCs w:val="20"/>
              </w:rPr>
              <w:t>1.19</w:t>
            </w:r>
          </w:p>
        </w:tc>
        <w:tc>
          <w:tcPr>
            <w:tcW w:w="2030" w:type="pct"/>
            <w:noWrap/>
            <w:hideMark/>
          </w:tcPr>
          <w:p w14:paraId="67DC789A"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100BF234" w14:textId="77777777" w:rsidTr="0056323D">
        <w:trPr>
          <w:trHeight w:val="310"/>
        </w:trPr>
        <w:tc>
          <w:tcPr>
            <w:tcW w:w="2629" w:type="pct"/>
          </w:tcPr>
          <w:p w14:paraId="51715F32" w14:textId="7007490B" w:rsidR="00E00E61" w:rsidRPr="00AE254B" w:rsidRDefault="00E00E61" w:rsidP="00AE254B">
            <w:pPr>
              <w:rPr>
                <w:bCs/>
                <w:sz w:val="20"/>
                <w:szCs w:val="20"/>
              </w:rPr>
            </w:pPr>
            <w:r>
              <w:rPr>
                <w:bCs/>
                <w:sz w:val="20"/>
                <w:szCs w:val="20"/>
              </w:rPr>
              <w:t>Relative risk of HIV acquisition with wealth index richest compared with poorest</w:t>
            </w:r>
          </w:p>
        </w:tc>
        <w:tc>
          <w:tcPr>
            <w:tcW w:w="341" w:type="pct"/>
            <w:noWrap/>
            <w:hideMark/>
          </w:tcPr>
          <w:p w14:paraId="7ADAA9FF" w14:textId="5B366945" w:rsidR="00E00E61" w:rsidRPr="00AE254B" w:rsidRDefault="00E00E61" w:rsidP="00AE254B">
            <w:pPr>
              <w:rPr>
                <w:bCs/>
                <w:sz w:val="20"/>
                <w:szCs w:val="20"/>
              </w:rPr>
            </w:pPr>
            <w:r w:rsidRPr="00AE254B">
              <w:rPr>
                <w:bCs/>
                <w:sz w:val="20"/>
                <w:szCs w:val="20"/>
              </w:rPr>
              <w:t>1.56</w:t>
            </w:r>
          </w:p>
        </w:tc>
        <w:tc>
          <w:tcPr>
            <w:tcW w:w="2030" w:type="pct"/>
            <w:noWrap/>
            <w:hideMark/>
          </w:tcPr>
          <w:p w14:paraId="31B88D27"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132DBCC2" w14:textId="77777777" w:rsidTr="0056323D">
        <w:trPr>
          <w:trHeight w:val="310"/>
        </w:trPr>
        <w:tc>
          <w:tcPr>
            <w:tcW w:w="2629" w:type="pct"/>
          </w:tcPr>
          <w:p w14:paraId="7E709278" w14:textId="5217BD18" w:rsidR="00E00E61" w:rsidRPr="00AE254B" w:rsidRDefault="00E00E61" w:rsidP="00AE254B">
            <w:pPr>
              <w:rPr>
                <w:bCs/>
                <w:sz w:val="20"/>
                <w:szCs w:val="20"/>
              </w:rPr>
            </w:pPr>
            <w:r>
              <w:rPr>
                <w:bCs/>
                <w:sz w:val="20"/>
                <w:szCs w:val="20"/>
              </w:rPr>
              <w:t>Relative risk of HIV acquisition for females compared with males</w:t>
            </w:r>
          </w:p>
        </w:tc>
        <w:tc>
          <w:tcPr>
            <w:tcW w:w="341" w:type="pct"/>
            <w:noWrap/>
            <w:hideMark/>
          </w:tcPr>
          <w:p w14:paraId="769640F2" w14:textId="055DE6EC" w:rsidR="00E00E61" w:rsidRPr="00AE254B" w:rsidRDefault="00E00E61" w:rsidP="00AE254B">
            <w:pPr>
              <w:rPr>
                <w:bCs/>
                <w:sz w:val="20"/>
                <w:szCs w:val="20"/>
              </w:rPr>
            </w:pPr>
            <w:r w:rsidRPr="00AE254B">
              <w:rPr>
                <w:bCs/>
                <w:sz w:val="20"/>
                <w:szCs w:val="20"/>
              </w:rPr>
              <w:t>1.43</w:t>
            </w:r>
          </w:p>
        </w:tc>
        <w:tc>
          <w:tcPr>
            <w:tcW w:w="2030" w:type="pct"/>
            <w:noWrap/>
            <w:hideMark/>
          </w:tcPr>
          <w:p w14:paraId="7D46761A"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2BA7BD7A" w14:textId="77777777" w:rsidTr="0056323D">
        <w:trPr>
          <w:trHeight w:val="310"/>
        </w:trPr>
        <w:tc>
          <w:tcPr>
            <w:tcW w:w="2629" w:type="pct"/>
          </w:tcPr>
          <w:p w14:paraId="5E541ADC" w14:textId="34085FCB" w:rsidR="00E00E61" w:rsidRPr="00AE254B" w:rsidRDefault="00E00E61" w:rsidP="00AE254B">
            <w:pPr>
              <w:rPr>
                <w:bCs/>
                <w:sz w:val="20"/>
                <w:szCs w:val="20"/>
              </w:rPr>
            </w:pPr>
            <w:r>
              <w:rPr>
                <w:bCs/>
                <w:sz w:val="20"/>
                <w:szCs w:val="20"/>
              </w:rPr>
              <w:t>Relative risk of HIV acquisition for ages 20-24 compared with 15-19</w:t>
            </w:r>
          </w:p>
        </w:tc>
        <w:tc>
          <w:tcPr>
            <w:tcW w:w="341" w:type="pct"/>
            <w:noWrap/>
            <w:hideMark/>
          </w:tcPr>
          <w:p w14:paraId="43C38A24" w14:textId="3FB00246" w:rsidR="00E00E61" w:rsidRPr="00AE254B" w:rsidRDefault="00E00E61" w:rsidP="00AE254B">
            <w:pPr>
              <w:rPr>
                <w:bCs/>
                <w:sz w:val="20"/>
                <w:szCs w:val="20"/>
              </w:rPr>
            </w:pPr>
            <w:r w:rsidRPr="00AE254B">
              <w:rPr>
                <w:bCs/>
                <w:sz w:val="20"/>
                <w:szCs w:val="20"/>
              </w:rPr>
              <w:t>2.15</w:t>
            </w:r>
          </w:p>
        </w:tc>
        <w:tc>
          <w:tcPr>
            <w:tcW w:w="2030" w:type="pct"/>
            <w:noWrap/>
            <w:hideMark/>
          </w:tcPr>
          <w:p w14:paraId="3F975514"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4349F759" w14:textId="77777777" w:rsidTr="0056323D">
        <w:trPr>
          <w:trHeight w:val="310"/>
        </w:trPr>
        <w:tc>
          <w:tcPr>
            <w:tcW w:w="2629" w:type="pct"/>
          </w:tcPr>
          <w:p w14:paraId="5545FF0E" w14:textId="71CCF801" w:rsidR="00E00E61" w:rsidRPr="00AE254B" w:rsidRDefault="00E00E61" w:rsidP="00AE254B">
            <w:pPr>
              <w:rPr>
                <w:bCs/>
                <w:sz w:val="20"/>
                <w:szCs w:val="20"/>
              </w:rPr>
            </w:pPr>
            <w:r>
              <w:rPr>
                <w:bCs/>
                <w:sz w:val="20"/>
                <w:szCs w:val="20"/>
              </w:rPr>
              <w:t>Relative risk of HIV acquisition for ages 25-29 compared with 15-19</w:t>
            </w:r>
          </w:p>
        </w:tc>
        <w:tc>
          <w:tcPr>
            <w:tcW w:w="341" w:type="pct"/>
            <w:noWrap/>
            <w:hideMark/>
          </w:tcPr>
          <w:p w14:paraId="34713827" w14:textId="5B97452F" w:rsidR="00E00E61" w:rsidRPr="00AE254B" w:rsidRDefault="00E00E61" w:rsidP="00AE254B">
            <w:pPr>
              <w:rPr>
                <w:bCs/>
                <w:sz w:val="20"/>
                <w:szCs w:val="20"/>
              </w:rPr>
            </w:pPr>
            <w:r w:rsidRPr="00AE254B">
              <w:rPr>
                <w:bCs/>
                <w:sz w:val="20"/>
                <w:szCs w:val="20"/>
              </w:rPr>
              <w:t>3.75</w:t>
            </w:r>
          </w:p>
        </w:tc>
        <w:tc>
          <w:tcPr>
            <w:tcW w:w="2030" w:type="pct"/>
            <w:noWrap/>
            <w:hideMark/>
          </w:tcPr>
          <w:p w14:paraId="76840F40"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2844FC4F" w14:textId="77777777" w:rsidTr="0056323D">
        <w:trPr>
          <w:trHeight w:val="310"/>
        </w:trPr>
        <w:tc>
          <w:tcPr>
            <w:tcW w:w="2629" w:type="pct"/>
          </w:tcPr>
          <w:p w14:paraId="0974DA44" w14:textId="37218975" w:rsidR="00E00E61" w:rsidRPr="00AE254B" w:rsidRDefault="00E00E61" w:rsidP="00AE254B">
            <w:pPr>
              <w:rPr>
                <w:bCs/>
                <w:sz w:val="20"/>
                <w:szCs w:val="20"/>
              </w:rPr>
            </w:pPr>
            <w:r>
              <w:rPr>
                <w:bCs/>
                <w:sz w:val="20"/>
                <w:szCs w:val="20"/>
              </w:rPr>
              <w:t>Relative risk of HIV acquisition for ages 30-34 compared with 15-19</w:t>
            </w:r>
          </w:p>
        </w:tc>
        <w:tc>
          <w:tcPr>
            <w:tcW w:w="341" w:type="pct"/>
            <w:noWrap/>
            <w:hideMark/>
          </w:tcPr>
          <w:p w14:paraId="0D16EBD6" w14:textId="795693E6" w:rsidR="00E00E61" w:rsidRPr="00AE254B" w:rsidRDefault="00E00E61" w:rsidP="00AE254B">
            <w:pPr>
              <w:rPr>
                <w:bCs/>
                <w:sz w:val="20"/>
                <w:szCs w:val="20"/>
              </w:rPr>
            </w:pPr>
            <w:r w:rsidRPr="00AE254B">
              <w:rPr>
                <w:bCs/>
                <w:sz w:val="20"/>
                <w:szCs w:val="20"/>
              </w:rPr>
              <w:t>5.88</w:t>
            </w:r>
          </w:p>
        </w:tc>
        <w:tc>
          <w:tcPr>
            <w:tcW w:w="2030" w:type="pct"/>
            <w:noWrap/>
            <w:hideMark/>
          </w:tcPr>
          <w:p w14:paraId="43622C29"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223E10AD" w14:textId="77777777" w:rsidTr="0056323D">
        <w:trPr>
          <w:trHeight w:val="310"/>
        </w:trPr>
        <w:tc>
          <w:tcPr>
            <w:tcW w:w="2629" w:type="pct"/>
          </w:tcPr>
          <w:p w14:paraId="2F4CBBA0" w14:textId="071D3529" w:rsidR="00E00E61" w:rsidRPr="00AE254B" w:rsidRDefault="00E00E61" w:rsidP="00AE254B">
            <w:pPr>
              <w:rPr>
                <w:bCs/>
                <w:sz w:val="20"/>
                <w:szCs w:val="20"/>
              </w:rPr>
            </w:pPr>
            <w:r>
              <w:rPr>
                <w:bCs/>
                <w:sz w:val="20"/>
                <w:szCs w:val="20"/>
              </w:rPr>
              <w:t>Relative risk of HIV acquisition for ages 35-39 compared with 15-19</w:t>
            </w:r>
          </w:p>
        </w:tc>
        <w:tc>
          <w:tcPr>
            <w:tcW w:w="341" w:type="pct"/>
            <w:noWrap/>
            <w:hideMark/>
          </w:tcPr>
          <w:p w14:paraId="2B24E630" w14:textId="62E611FB" w:rsidR="00E00E61" w:rsidRPr="00AE254B" w:rsidRDefault="00E00E61" w:rsidP="00AE254B">
            <w:pPr>
              <w:rPr>
                <w:bCs/>
                <w:sz w:val="20"/>
                <w:szCs w:val="20"/>
              </w:rPr>
            </w:pPr>
            <w:r w:rsidRPr="00AE254B">
              <w:rPr>
                <w:bCs/>
                <w:sz w:val="20"/>
                <w:szCs w:val="20"/>
              </w:rPr>
              <w:t>7.57</w:t>
            </w:r>
          </w:p>
        </w:tc>
        <w:tc>
          <w:tcPr>
            <w:tcW w:w="2030" w:type="pct"/>
            <w:noWrap/>
            <w:hideMark/>
          </w:tcPr>
          <w:p w14:paraId="419F95AE"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74C27439" w14:textId="77777777" w:rsidTr="0056323D">
        <w:trPr>
          <w:trHeight w:val="310"/>
        </w:trPr>
        <w:tc>
          <w:tcPr>
            <w:tcW w:w="2629" w:type="pct"/>
          </w:tcPr>
          <w:p w14:paraId="3D380F25" w14:textId="2F1A0E6F" w:rsidR="00E00E61" w:rsidRPr="00AE254B" w:rsidRDefault="00E00E61" w:rsidP="00AE254B">
            <w:pPr>
              <w:rPr>
                <w:bCs/>
                <w:sz w:val="20"/>
                <w:szCs w:val="20"/>
              </w:rPr>
            </w:pPr>
            <w:r>
              <w:rPr>
                <w:bCs/>
                <w:sz w:val="20"/>
                <w:szCs w:val="20"/>
              </w:rPr>
              <w:t>Relative risk of HIV acquisition for ages 40-44 compared with 15-19</w:t>
            </w:r>
          </w:p>
        </w:tc>
        <w:tc>
          <w:tcPr>
            <w:tcW w:w="341" w:type="pct"/>
            <w:noWrap/>
            <w:hideMark/>
          </w:tcPr>
          <w:p w14:paraId="5940A841" w14:textId="2DC6C31E" w:rsidR="00E00E61" w:rsidRPr="00AE254B" w:rsidRDefault="00E00E61" w:rsidP="00AE254B">
            <w:pPr>
              <w:rPr>
                <w:bCs/>
                <w:sz w:val="20"/>
                <w:szCs w:val="20"/>
              </w:rPr>
            </w:pPr>
            <w:r w:rsidRPr="00AE254B">
              <w:rPr>
                <w:bCs/>
                <w:sz w:val="20"/>
                <w:szCs w:val="20"/>
              </w:rPr>
              <w:t>7.93</w:t>
            </w:r>
          </w:p>
        </w:tc>
        <w:tc>
          <w:tcPr>
            <w:tcW w:w="2030" w:type="pct"/>
            <w:noWrap/>
            <w:hideMark/>
          </w:tcPr>
          <w:p w14:paraId="2083A0F4"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0B6B676B" w14:textId="77777777" w:rsidTr="0056323D">
        <w:trPr>
          <w:trHeight w:val="310"/>
        </w:trPr>
        <w:tc>
          <w:tcPr>
            <w:tcW w:w="2629" w:type="pct"/>
          </w:tcPr>
          <w:p w14:paraId="4F8DA2D4" w14:textId="4876A859" w:rsidR="00E00E61" w:rsidRPr="00AE254B" w:rsidRDefault="00E00E61" w:rsidP="00AE254B">
            <w:pPr>
              <w:rPr>
                <w:bCs/>
                <w:sz w:val="20"/>
                <w:szCs w:val="20"/>
              </w:rPr>
            </w:pPr>
            <w:r>
              <w:rPr>
                <w:bCs/>
                <w:sz w:val="20"/>
                <w:szCs w:val="20"/>
              </w:rPr>
              <w:t>Relative risk of HIV acquisition for ages 45-49 compared with 15-19</w:t>
            </w:r>
          </w:p>
        </w:tc>
        <w:tc>
          <w:tcPr>
            <w:tcW w:w="341" w:type="pct"/>
            <w:noWrap/>
            <w:hideMark/>
          </w:tcPr>
          <w:p w14:paraId="6BE43CFE" w14:textId="2AA9CF97" w:rsidR="00E00E61" w:rsidRPr="00AE254B" w:rsidRDefault="00E00E61" w:rsidP="00AE254B">
            <w:pPr>
              <w:rPr>
                <w:bCs/>
                <w:sz w:val="20"/>
                <w:szCs w:val="20"/>
              </w:rPr>
            </w:pPr>
            <w:r w:rsidRPr="00AE254B">
              <w:rPr>
                <w:bCs/>
                <w:sz w:val="20"/>
                <w:szCs w:val="20"/>
              </w:rPr>
              <w:t>6.72</w:t>
            </w:r>
          </w:p>
        </w:tc>
        <w:tc>
          <w:tcPr>
            <w:tcW w:w="2030" w:type="pct"/>
            <w:noWrap/>
            <w:hideMark/>
          </w:tcPr>
          <w:p w14:paraId="2E04DBA7"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424CC9FB" w14:textId="77777777" w:rsidTr="0056323D">
        <w:trPr>
          <w:trHeight w:val="310"/>
        </w:trPr>
        <w:tc>
          <w:tcPr>
            <w:tcW w:w="2629" w:type="pct"/>
          </w:tcPr>
          <w:p w14:paraId="013A5D7D" w14:textId="331AA063" w:rsidR="00E00E61" w:rsidRPr="00AE254B" w:rsidRDefault="00E00E61" w:rsidP="00AE254B">
            <w:pPr>
              <w:rPr>
                <w:bCs/>
                <w:sz w:val="20"/>
                <w:szCs w:val="20"/>
              </w:rPr>
            </w:pPr>
            <w:r>
              <w:rPr>
                <w:bCs/>
                <w:sz w:val="20"/>
                <w:szCs w:val="20"/>
              </w:rPr>
              <w:lastRenderedPageBreak/>
              <w:t>Relative risk of HIV acquisition for ages 50+ compared with 15-19</w:t>
            </w:r>
          </w:p>
        </w:tc>
        <w:tc>
          <w:tcPr>
            <w:tcW w:w="341" w:type="pct"/>
            <w:noWrap/>
            <w:hideMark/>
          </w:tcPr>
          <w:p w14:paraId="54CB67C0" w14:textId="07AC8A18" w:rsidR="00E00E61" w:rsidRPr="00AE254B" w:rsidRDefault="00E00E61" w:rsidP="00AE254B">
            <w:pPr>
              <w:rPr>
                <w:bCs/>
                <w:sz w:val="20"/>
                <w:szCs w:val="20"/>
              </w:rPr>
            </w:pPr>
            <w:r w:rsidRPr="00AE254B">
              <w:rPr>
                <w:bCs/>
                <w:sz w:val="20"/>
                <w:szCs w:val="20"/>
              </w:rPr>
              <w:t>7.9</w:t>
            </w:r>
          </w:p>
        </w:tc>
        <w:tc>
          <w:tcPr>
            <w:tcW w:w="2030" w:type="pct"/>
            <w:noWrap/>
            <w:hideMark/>
          </w:tcPr>
          <w:p w14:paraId="1A58233E"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7DB2A303" w14:textId="77777777" w:rsidTr="0056323D">
        <w:trPr>
          <w:trHeight w:val="310"/>
        </w:trPr>
        <w:tc>
          <w:tcPr>
            <w:tcW w:w="2629" w:type="pct"/>
          </w:tcPr>
          <w:p w14:paraId="1207BE85" w14:textId="7FD1E3C3" w:rsidR="00E00E61" w:rsidRPr="00AE254B" w:rsidRDefault="00E00E61" w:rsidP="00AE254B">
            <w:pPr>
              <w:rPr>
                <w:bCs/>
                <w:sz w:val="20"/>
                <w:szCs w:val="20"/>
              </w:rPr>
            </w:pPr>
            <w:r>
              <w:rPr>
                <w:bCs/>
                <w:sz w:val="20"/>
                <w:szCs w:val="20"/>
              </w:rPr>
              <w:t>Relative risk of HIV acquisition with primary education compared with none</w:t>
            </w:r>
          </w:p>
        </w:tc>
        <w:tc>
          <w:tcPr>
            <w:tcW w:w="341" w:type="pct"/>
            <w:noWrap/>
            <w:hideMark/>
          </w:tcPr>
          <w:p w14:paraId="2DB37B43" w14:textId="372142AD" w:rsidR="00E00E61" w:rsidRPr="00AE254B" w:rsidRDefault="00E00E61" w:rsidP="00AE254B">
            <w:pPr>
              <w:rPr>
                <w:bCs/>
                <w:sz w:val="20"/>
                <w:szCs w:val="20"/>
              </w:rPr>
            </w:pPr>
            <w:r w:rsidRPr="00AE254B">
              <w:rPr>
                <w:bCs/>
                <w:sz w:val="20"/>
                <w:szCs w:val="20"/>
              </w:rPr>
              <w:t>1.18</w:t>
            </w:r>
          </w:p>
        </w:tc>
        <w:tc>
          <w:tcPr>
            <w:tcW w:w="2030" w:type="pct"/>
            <w:noWrap/>
            <w:hideMark/>
          </w:tcPr>
          <w:p w14:paraId="598C7D60"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4828C499" w14:textId="77777777" w:rsidTr="0056323D">
        <w:trPr>
          <w:trHeight w:val="310"/>
        </w:trPr>
        <w:tc>
          <w:tcPr>
            <w:tcW w:w="2629" w:type="pct"/>
          </w:tcPr>
          <w:p w14:paraId="6E3A9471" w14:textId="7FA04E54" w:rsidR="00E00E61" w:rsidRPr="00AE254B" w:rsidRDefault="00E00E61" w:rsidP="00AE254B">
            <w:pPr>
              <w:rPr>
                <w:bCs/>
                <w:sz w:val="20"/>
                <w:szCs w:val="20"/>
              </w:rPr>
            </w:pPr>
            <w:r>
              <w:rPr>
                <w:bCs/>
                <w:sz w:val="20"/>
                <w:szCs w:val="20"/>
              </w:rPr>
              <w:t>Relative risk of HIV acquisition with secondary education compared with none</w:t>
            </w:r>
          </w:p>
        </w:tc>
        <w:tc>
          <w:tcPr>
            <w:tcW w:w="341" w:type="pct"/>
            <w:noWrap/>
            <w:hideMark/>
          </w:tcPr>
          <w:p w14:paraId="2012E0A5" w14:textId="4E24A0D3" w:rsidR="00E00E61" w:rsidRPr="00AE254B" w:rsidRDefault="00E00E61" w:rsidP="00AE254B">
            <w:pPr>
              <w:rPr>
                <w:bCs/>
                <w:sz w:val="20"/>
                <w:szCs w:val="20"/>
              </w:rPr>
            </w:pPr>
            <w:r w:rsidRPr="00AE254B">
              <w:rPr>
                <w:bCs/>
                <w:sz w:val="20"/>
                <w:szCs w:val="20"/>
              </w:rPr>
              <w:t>1.15</w:t>
            </w:r>
          </w:p>
        </w:tc>
        <w:tc>
          <w:tcPr>
            <w:tcW w:w="2030" w:type="pct"/>
            <w:noWrap/>
            <w:hideMark/>
          </w:tcPr>
          <w:p w14:paraId="0F40E89F"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E00E61" w:rsidRPr="00AE254B" w14:paraId="05EF941B" w14:textId="77777777" w:rsidTr="0056323D">
        <w:trPr>
          <w:trHeight w:val="310"/>
        </w:trPr>
        <w:tc>
          <w:tcPr>
            <w:tcW w:w="2629" w:type="pct"/>
          </w:tcPr>
          <w:p w14:paraId="1D92F7B6" w14:textId="18E4C685" w:rsidR="00E00E61" w:rsidRPr="00AE254B" w:rsidRDefault="00E00E61" w:rsidP="00AE254B">
            <w:pPr>
              <w:rPr>
                <w:bCs/>
                <w:sz w:val="20"/>
                <w:szCs w:val="20"/>
              </w:rPr>
            </w:pPr>
            <w:r>
              <w:rPr>
                <w:bCs/>
                <w:sz w:val="20"/>
                <w:szCs w:val="20"/>
              </w:rPr>
              <w:t>Relative risk of HIV acquisition with higher education compared with none</w:t>
            </w:r>
          </w:p>
        </w:tc>
        <w:tc>
          <w:tcPr>
            <w:tcW w:w="341" w:type="pct"/>
            <w:noWrap/>
            <w:hideMark/>
          </w:tcPr>
          <w:p w14:paraId="4353904B" w14:textId="585DB26D" w:rsidR="00E00E61" w:rsidRPr="00AE254B" w:rsidRDefault="00E00E61" w:rsidP="00AE254B">
            <w:pPr>
              <w:rPr>
                <w:bCs/>
                <w:sz w:val="20"/>
                <w:szCs w:val="20"/>
              </w:rPr>
            </w:pPr>
            <w:r w:rsidRPr="00AE254B">
              <w:rPr>
                <w:bCs/>
                <w:sz w:val="20"/>
                <w:szCs w:val="20"/>
              </w:rPr>
              <w:t>1</w:t>
            </w:r>
          </w:p>
        </w:tc>
        <w:tc>
          <w:tcPr>
            <w:tcW w:w="2030" w:type="pct"/>
            <w:noWrap/>
            <w:hideMark/>
          </w:tcPr>
          <w:p w14:paraId="77D372FF" w14:textId="77777777" w:rsidR="00E00E61" w:rsidRPr="00AE254B" w:rsidRDefault="00E00E61">
            <w:pPr>
              <w:rPr>
                <w:bCs/>
                <w:sz w:val="20"/>
                <w:szCs w:val="20"/>
              </w:rPr>
            </w:pPr>
            <w:proofErr w:type="spellStart"/>
            <w:r w:rsidRPr="00AE254B">
              <w:rPr>
                <w:bCs/>
                <w:sz w:val="20"/>
                <w:szCs w:val="20"/>
              </w:rPr>
              <w:t>wingston_dhs_analysis</w:t>
            </w:r>
            <w:proofErr w:type="spellEnd"/>
          </w:p>
        </w:tc>
      </w:tr>
      <w:tr w:rsidR="0056323D" w:rsidRPr="00AE254B" w14:paraId="2D8A6AB3" w14:textId="77777777" w:rsidTr="0056323D">
        <w:trPr>
          <w:trHeight w:val="310"/>
        </w:trPr>
        <w:tc>
          <w:tcPr>
            <w:tcW w:w="2629" w:type="pct"/>
          </w:tcPr>
          <w:p w14:paraId="6A5811A3" w14:textId="54D333DA" w:rsidR="0056323D" w:rsidRPr="00AE254B" w:rsidRDefault="0056323D" w:rsidP="0056323D">
            <w:pPr>
              <w:rPr>
                <w:bCs/>
                <w:sz w:val="20"/>
                <w:szCs w:val="20"/>
              </w:rPr>
            </w:pPr>
            <w:r>
              <w:rPr>
                <w:bCs/>
                <w:sz w:val="20"/>
                <w:szCs w:val="20"/>
              </w:rPr>
              <w:t>Relative risk of HIV acquisition with exposure to behaviour change counselling</w:t>
            </w:r>
          </w:p>
        </w:tc>
        <w:tc>
          <w:tcPr>
            <w:tcW w:w="341" w:type="pct"/>
            <w:noWrap/>
            <w:hideMark/>
          </w:tcPr>
          <w:p w14:paraId="61621F23" w14:textId="2A35BB1D" w:rsidR="0056323D" w:rsidRPr="00AE254B" w:rsidRDefault="0056323D" w:rsidP="0056323D">
            <w:pPr>
              <w:rPr>
                <w:bCs/>
                <w:sz w:val="20"/>
                <w:szCs w:val="20"/>
              </w:rPr>
            </w:pPr>
            <w:r w:rsidRPr="00AE254B">
              <w:rPr>
                <w:bCs/>
                <w:sz w:val="20"/>
                <w:szCs w:val="20"/>
              </w:rPr>
              <w:t>0.75</w:t>
            </w:r>
          </w:p>
        </w:tc>
        <w:tc>
          <w:tcPr>
            <w:tcW w:w="2030" w:type="pct"/>
            <w:noWrap/>
            <w:hideMark/>
          </w:tcPr>
          <w:p w14:paraId="0C517F39" w14:textId="4E29E266" w:rsidR="0056323D" w:rsidRPr="00AE254B" w:rsidRDefault="0056323D" w:rsidP="0056323D">
            <w:pPr>
              <w:rPr>
                <w:bCs/>
                <w:sz w:val="20"/>
                <w:szCs w:val="20"/>
              </w:rPr>
            </w:pPr>
            <w:r w:rsidRPr="00AE254B">
              <w:rPr>
                <w:bCs/>
                <w:sz w:val="20"/>
                <w:szCs w:val="20"/>
              </w:rPr>
              <w:t>Assumption</w:t>
            </w:r>
          </w:p>
        </w:tc>
      </w:tr>
      <w:tr w:rsidR="0056323D" w:rsidRPr="00AE254B" w14:paraId="6A9266EE" w14:textId="77777777" w:rsidTr="0056323D">
        <w:trPr>
          <w:trHeight w:val="310"/>
        </w:trPr>
        <w:tc>
          <w:tcPr>
            <w:tcW w:w="2629" w:type="pct"/>
          </w:tcPr>
          <w:p w14:paraId="3687C436" w14:textId="2563C6F2" w:rsidR="0056323D" w:rsidRPr="00AE254B" w:rsidRDefault="00FD7930" w:rsidP="0056323D">
            <w:pPr>
              <w:rPr>
                <w:bCs/>
                <w:sz w:val="20"/>
                <w:szCs w:val="20"/>
              </w:rPr>
            </w:pPr>
            <w:r>
              <w:rPr>
                <w:bCs/>
                <w:sz w:val="20"/>
                <w:szCs w:val="20"/>
              </w:rPr>
              <w:t>Reduction in</w:t>
            </w:r>
            <w:r w:rsidR="0056323D">
              <w:rPr>
                <w:bCs/>
                <w:sz w:val="20"/>
                <w:szCs w:val="20"/>
              </w:rPr>
              <w:t xml:space="preserve"> risk of HIV acquisition for those on pre-exposure prophylaxis</w:t>
            </w:r>
          </w:p>
        </w:tc>
        <w:tc>
          <w:tcPr>
            <w:tcW w:w="341" w:type="pct"/>
            <w:noWrap/>
            <w:hideMark/>
          </w:tcPr>
          <w:p w14:paraId="633A15E3" w14:textId="4FA98CB4" w:rsidR="0056323D" w:rsidRPr="00AE254B" w:rsidRDefault="0056323D" w:rsidP="0056323D">
            <w:pPr>
              <w:rPr>
                <w:bCs/>
                <w:sz w:val="20"/>
                <w:szCs w:val="20"/>
              </w:rPr>
            </w:pPr>
            <w:r w:rsidRPr="00AE254B">
              <w:rPr>
                <w:bCs/>
                <w:sz w:val="20"/>
                <w:szCs w:val="20"/>
              </w:rPr>
              <w:t>0.9</w:t>
            </w:r>
          </w:p>
        </w:tc>
        <w:tc>
          <w:tcPr>
            <w:tcW w:w="2030" w:type="pct"/>
            <w:noWrap/>
            <w:hideMark/>
          </w:tcPr>
          <w:p w14:paraId="4666A345" w14:textId="332734D2" w:rsidR="0056323D" w:rsidRPr="00AE254B" w:rsidRDefault="0056323D" w:rsidP="0056323D">
            <w:pPr>
              <w:rPr>
                <w:bCs/>
                <w:sz w:val="20"/>
                <w:szCs w:val="20"/>
              </w:rPr>
            </w:pPr>
            <w:r w:rsidRPr="00AE254B">
              <w:rPr>
                <w:bCs/>
                <w:sz w:val="20"/>
                <w:szCs w:val="20"/>
              </w:rPr>
              <w:t>Assumption</w:t>
            </w:r>
            <w:r w:rsidR="00FD7930">
              <w:rPr>
                <w:bCs/>
                <w:sz w:val="20"/>
                <w:szCs w:val="20"/>
              </w:rPr>
              <w:t xml:space="preserve">, equates to 90% efficacy when on </w:t>
            </w:r>
            <w:proofErr w:type="spellStart"/>
            <w:r w:rsidR="00FD7930">
              <w:rPr>
                <w:bCs/>
                <w:sz w:val="20"/>
                <w:szCs w:val="20"/>
              </w:rPr>
              <w:t>PrEP</w:t>
            </w:r>
            <w:proofErr w:type="spellEnd"/>
          </w:p>
        </w:tc>
      </w:tr>
      <w:tr w:rsidR="0056323D" w:rsidRPr="00AE254B" w14:paraId="647E8B4E" w14:textId="77777777" w:rsidTr="0056323D">
        <w:trPr>
          <w:trHeight w:val="310"/>
        </w:trPr>
        <w:tc>
          <w:tcPr>
            <w:tcW w:w="2629" w:type="pct"/>
          </w:tcPr>
          <w:p w14:paraId="53C48295" w14:textId="4FBB5C4C" w:rsidR="0056323D" w:rsidRPr="00AE254B" w:rsidRDefault="0056323D" w:rsidP="0056323D">
            <w:pPr>
              <w:rPr>
                <w:bCs/>
                <w:sz w:val="20"/>
                <w:szCs w:val="20"/>
              </w:rPr>
            </w:pPr>
            <w:r>
              <w:rPr>
                <w:bCs/>
                <w:sz w:val="20"/>
                <w:szCs w:val="20"/>
              </w:rPr>
              <w:t>Mean months between AIDS onset and death</w:t>
            </w:r>
          </w:p>
        </w:tc>
        <w:tc>
          <w:tcPr>
            <w:tcW w:w="341" w:type="pct"/>
            <w:noWrap/>
            <w:hideMark/>
          </w:tcPr>
          <w:p w14:paraId="0E030974" w14:textId="117F17E6" w:rsidR="0056323D" w:rsidRPr="00AE254B" w:rsidRDefault="0056323D" w:rsidP="0056323D">
            <w:pPr>
              <w:rPr>
                <w:bCs/>
                <w:sz w:val="20"/>
                <w:szCs w:val="20"/>
              </w:rPr>
            </w:pPr>
            <w:r w:rsidRPr="00AE254B">
              <w:rPr>
                <w:bCs/>
                <w:sz w:val="20"/>
                <w:szCs w:val="20"/>
              </w:rPr>
              <w:t>18</w:t>
            </w:r>
          </w:p>
        </w:tc>
        <w:tc>
          <w:tcPr>
            <w:tcW w:w="2030" w:type="pct"/>
            <w:noWrap/>
            <w:hideMark/>
          </w:tcPr>
          <w:p w14:paraId="258E707F" w14:textId="77777777" w:rsidR="0056323D" w:rsidRPr="00AE254B" w:rsidRDefault="0056323D" w:rsidP="0056323D">
            <w:pPr>
              <w:rPr>
                <w:bCs/>
                <w:sz w:val="20"/>
                <w:szCs w:val="20"/>
              </w:rPr>
            </w:pPr>
            <w:r w:rsidRPr="00AE254B">
              <w:rPr>
                <w:bCs/>
                <w:sz w:val="20"/>
                <w:szCs w:val="20"/>
              </w:rPr>
              <w:t>Assumption</w:t>
            </w:r>
          </w:p>
        </w:tc>
      </w:tr>
      <w:tr w:rsidR="0056323D" w:rsidRPr="00AE254B" w14:paraId="6F87EFF7" w14:textId="77777777" w:rsidTr="0056323D">
        <w:trPr>
          <w:trHeight w:val="310"/>
        </w:trPr>
        <w:tc>
          <w:tcPr>
            <w:tcW w:w="2629" w:type="pct"/>
          </w:tcPr>
          <w:p w14:paraId="0D38C558" w14:textId="7571B1B7" w:rsidR="0056323D" w:rsidRDefault="0056323D" w:rsidP="0056323D">
            <w:pPr>
              <w:rPr>
                <w:bCs/>
                <w:sz w:val="20"/>
                <w:szCs w:val="20"/>
              </w:rPr>
            </w:pPr>
            <w:r>
              <w:rPr>
                <w:bCs/>
                <w:sz w:val="20"/>
                <w:szCs w:val="20"/>
              </w:rPr>
              <w:t>Weibull distribution describing time from infection to death in adults</w:t>
            </w:r>
          </w:p>
        </w:tc>
        <w:tc>
          <w:tcPr>
            <w:tcW w:w="341" w:type="pct"/>
            <w:noWrap/>
          </w:tcPr>
          <w:p w14:paraId="55F783CE" w14:textId="77777777" w:rsidR="0056323D" w:rsidRPr="00AE254B" w:rsidRDefault="0056323D" w:rsidP="0056323D">
            <w:pPr>
              <w:rPr>
                <w:bCs/>
                <w:sz w:val="20"/>
                <w:szCs w:val="20"/>
              </w:rPr>
            </w:pPr>
          </w:p>
        </w:tc>
        <w:tc>
          <w:tcPr>
            <w:tcW w:w="2030" w:type="pct"/>
            <w:noWrap/>
          </w:tcPr>
          <w:p w14:paraId="13885094" w14:textId="77777777" w:rsidR="0056323D" w:rsidRPr="00AE254B" w:rsidRDefault="0056323D" w:rsidP="0056323D">
            <w:pPr>
              <w:rPr>
                <w:bCs/>
                <w:sz w:val="20"/>
                <w:szCs w:val="20"/>
              </w:rPr>
            </w:pPr>
          </w:p>
        </w:tc>
      </w:tr>
      <w:tr w:rsidR="0056323D" w:rsidRPr="00AE254B" w14:paraId="76BA31F5" w14:textId="77777777" w:rsidTr="0056323D">
        <w:trPr>
          <w:trHeight w:val="310"/>
        </w:trPr>
        <w:tc>
          <w:tcPr>
            <w:tcW w:w="2629" w:type="pct"/>
          </w:tcPr>
          <w:p w14:paraId="0966AA30" w14:textId="453ABEBF" w:rsidR="0056323D" w:rsidRPr="00AE254B" w:rsidRDefault="0056323D" w:rsidP="0056323D">
            <w:pPr>
              <w:ind w:left="720"/>
              <w:rPr>
                <w:bCs/>
                <w:sz w:val="20"/>
                <w:szCs w:val="20"/>
              </w:rPr>
            </w:pPr>
            <w:r>
              <w:rPr>
                <w:bCs/>
                <w:sz w:val="20"/>
                <w:szCs w:val="20"/>
              </w:rPr>
              <w:t>Shape parameter for ages 15-19</w:t>
            </w:r>
          </w:p>
        </w:tc>
        <w:tc>
          <w:tcPr>
            <w:tcW w:w="341" w:type="pct"/>
            <w:noWrap/>
            <w:hideMark/>
          </w:tcPr>
          <w:p w14:paraId="2405EBE5" w14:textId="34D27887" w:rsidR="0056323D" w:rsidRPr="00AE254B" w:rsidRDefault="0056323D" w:rsidP="0056323D">
            <w:pPr>
              <w:rPr>
                <w:bCs/>
                <w:sz w:val="20"/>
                <w:szCs w:val="20"/>
              </w:rPr>
            </w:pPr>
            <w:r w:rsidRPr="00AE254B">
              <w:rPr>
                <w:bCs/>
                <w:sz w:val="20"/>
                <w:szCs w:val="20"/>
              </w:rPr>
              <w:t>2</w:t>
            </w:r>
          </w:p>
        </w:tc>
        <w:tc>
          <w:tcPr>
            <w:tcW w:w="2030" w:type="pct"/>
            <w:noWrap/>
            <w:hideMark/>
          </w:tcPr>
          <w:p w14:paraId="12378371" w14:textId="4858D8E0"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68B40888" w14:textId="77777777" w:rsidTr="0056323D">
        <w:trPr>
          <w:trHeight w:val="310"/>
        </w:trPr>
        <w:tc>
          <w:tcPr>
            <w:tcW w:w="2629" w:type="pct"/>
          </w:tcPr>
          <w:p w14:paraId="69CC4041" w14:textId="6FAABC40" w:rsidR="0056323D" w:rsidRPr="00AE254B" w:rsidRDefault="0056323D" w:rsidP="0056323D">
            <w:pPr>
              <w:ind w:left="720"/>
              <w:rPr>
                <w:bCs/>
                <w:sz w:val="20"/>
                <w:szCs w:val="20"/>
              </w:rPr>
            </w:pPr>
            <w:r>
              <w:rPr>
                <w:bCs/>
                <w:sz w:val="20"/>
                <w:szCs w:val="20"/>
              </w:rPr>
              <w:t>Shape parameter for ages 20-24</w:t>
            </w:r>
          </w:p>
        </w:tc>
        <w:tc>
          <w:tcPr>
            <w:tcW w:w="341" w:type="pct"/>
            <w:noWrap/>
            <w:hideMark/>
          </w:tcPr>
          <w:p w14:paraId="17759BFE" w14:textId="429BB06E" w:rsidR="0056323D" w:rsidRPr="00AE254B" w:rsidRDefault="0056323D" w:rsidP="0056323D">
            <w:pPr>
              <w:rPr>
                <w:bCs/>
                <w:sz w:val="20"/>
                <w:szCs w:val="20"/>
              </w:rPr>
            </w:pPr>
            <w:r w:rsidRPr="00AE254B">
              <w:rPr>
                <w:bCs/>
                <w:sz w:val="20"/>
                <w:szCs w:val="20"/>
              </w:rPr>
              <w:t>2</w:t>
            </w:r>
          </w:p>
        </w:tc>
        <w:tc>
          <w:tcPr>
            <w:tcW w:w="2030" w:type="pct"/>
            <w:noWrap/>
            <w:hideMark/>
          </w:tcPr>
          <w:p w14:paraId="15EE0EA2" w14:textId="027837BF"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710FF0E6" w14:textId="77777777" w:rsidTr="0056323D">
        <w:trPr>
          <w:trHeight w:val="310"/>
        </w:trPr>
        <w:tc>
          <w:tcPr>
            <w:tcW w:w="2629" w:type="pct"/>
          </w:tcPr>
          <w:p w14:paraId="6B5817EB" w14:textId="3656DD9F" w:rsidR="0056323D" w:rsidRPr="00AE254B" w:rsidRDefault="0056323D" w:rsidP="0056323D">
            <w:pPr>
              <w:ind w:left="720"/>
              <w:rPr>
                <w:bCs/>
                <w:sz w:val="20"/>
                <w:szCs w:val="20"/>
              </w:rPr>
            </w:pPr>
            <w:r>
              <w:rPr>
                <w:bCs/>
                <w:sz w:val="20"/>
                <w:szCs w:val="20"/>
              </w:rPr>
              <w:t>Shape parameter for ages 25-29</w:t>
            </w:r>
          </w:p>
        </w:tc>
        <w:tc>
          <w:tcPr>
            <w:tcW w:w="341" w:type="pct"/>
            <w:noWrap/>
            <w:hideMark/>
          </w:tcPr>
          <w:p w14:paraId="01545E34" w14:textId="5BC9E4B7" w:rsidR="0056323D" w:rsidRPr="00AE254B" w:rsidRDefault="0056323D" w:rsidP="0056323D">
            <w:pPr>
              <w:rPr>
                <w:bCs/>
                <w:sz w:val="20"/>
                <w:szCs w:val="20"/>
              </w:rPr>
            </w:pPr>
            <w:r w:rsidRPr="00AE254B">
              <w:rPr>
                <w:bCs/>
                <w:sz w:val="20"/>
                <w:szCs w:val="20"/>
              </w:rPr>
              <w:t>2</w:t>
            </w:r>
          </w:p>
        </w:tc>
        <w:tc>
          <w:tcPr>
            <w:tcW w:w="2030" w:type="pct"/>
            <w:noWrap/>
            <w:hideMark/>
          </w:tcPr>
          <w:p w14:paraId="1CAE9828" w14:textId="5FAE67C6"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19EBDA5A" w14:textId="77777777" w:rsidTr="0056323D">
        <w:trPr>
          <w:trHeight w:val="310"/>
        </w:trPr>
        <w:tc>
          <w:tcPr>
            <w:tcW w:w="2629" w:type="pct"/>
          </w:tcPr>
          <w:p w14:paraId="1DD084E8" w14:textId="5DEB98D9" w:rsidR="0056323D" w:rsidRPr="00AE254B" w:rsidRDefault="0056323D" w:rsidP="0056323D">
            <w:pPr>
              <w:ind w:left="720"/>
              <w:rPr>
                <w:bCs/>
                <w:sz w:val="20"/>
                <w:szCs w:val="20"/>
              </w:rPr>
            </w:pPr>
            <w:r>
              <w:rPr>
                <w:bCs/>
                <w:sz w:val="20"/>
                <w:szCs w:val="20"/>
              </w:rPr>
              <w:t>Shape parameter for ages 30-34</w:t>
            </w:r>
          </w:p>
        </w:tc>
        <w:tc>
          <w:tcPr>
            <w:tcW w:w="341" w:type="pct"/>
            <w:noWrap/>
            <w:hideMark/>
          </w:tcPr>
          <w:p w14:paraId="1F9C0C93" w14:textId="2D9A919A" w:rsidR="0056323D" w:rsidRPr="00AE254B" w:rsidRDefault="0056323D" w:rsidP="0056323D">
            <w:pPr>
              <w:rPr>
                <w:bCs/>
                <w:sz w:val="20"/>
                <w:szCs w:val="20"/>
              </w:rPr>
            </w:pPr>
            <w:r w:rsidRPr="00AE254B">
              <w:rPr>
                <w:bCs/>
                <w:sz w:val="20"/>
                <w:szCs w:val="20"/>
              </w:rPr>
              <w:t>2</w:t>
            </w:r>
          </w:p>
        </w:tc>
        <w:tc>
          <w:tcPr>
            <w:tcW w:w="2030" w:type="pct"/>
            <w:noWrap/>
            <w:hideMark/>
          </w:tcPr>
          <w:p w14:paraId="409B1E72" w14:textId="5B47CF85"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5003C4DB" w14:textId="77777777" w:rsidTr="0056323D">
        <w:trPr>
          <w:trHeight w:val="310"/>
        </w:trPr>
        <w:tc>
          <w:tcPr>
            <w:tcW w:w="2629" w:type="pct"/>
          </w:tcPr>
          <w:p w14:paraId="618AB19D" w14:textId="6F96932F" w:rsidR="0056323D" w:rsidRPr="00AE254B" w:rsidRDefault="0056323D" w:rsidP="0056323D">
            <w:pPr>
              <w:ind w:left="720"/>
              <w:rPr>
                <w:bCs/>
                <w:sz w:val="20"/>
                <w:szCs w:val="20"/>
              </w:rPr>
            </w:pPr>
            <w:r>
              <w:rPr>
                <w:bCs/>
                <w:sz w:val="20"/>
                <w:szCs w:val="20"/>
              </w:rPr>
              <w:t>Shape parameter for ages 35-39</w:t>
            </w:r>
          </w:p>
        </w:tc>
        <w:tc>
          <w:tcPr>
            <w:tcW w:w="341" w:type="pct"/>
            <w:noWrap/>
            <w:hideMark/>
          </w:tcPr>
          <w:p w14:paraId="77A31A79" w14:textId="63878874" w:rsidR="0056323D" w:rsidRPr="00AE254B" w:rsidRDefault="0056323D" w:rsidP="0056323D">
            <w:pPr>
              <w:rPr>
                <w:bCs/>
                <w:sz w:val="20"/>
                <w:szCs w:val="20"/>
              </w:rPr>
            </w:pPr>
            <w:r w:rsidRPr="00AE254B">
              <w:rPr>
                <w:bCs/>
                <w:sz w:val="20"/>
                <w:szCs w:val="20"/>
              </w:rPr>
              <w:t>2</w:t>
            </w:r>
          </w:p>
        </w:tc>
        <w:tc>
          <w:tcPr>
            <w:tcW w:w="2030" w:type="pct"/>
            <w:noWrap/>
            <w:hideMark/>
          </w:tcPr>
          <w:p w14:paraId="473B7BA8" w14:textId="0E9C09CB"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3290C48F" w14:textId="77777777" w:rsidTr="0056323D">
        <w:trPr>
          <w:trHeight w:val="310"/>
        </w:trPr>
        <w:tc>
          <w:tcPr>
            <w:tcW w:w="2629" w:type="pct"/>
          </w:tcPr>
          <w:p w14:paraId="6C13E40C" w14:textId="066DC52E" w:rsidR="0056323D" w:rsidRPr="00AE254B" w:rsidRDefault="0056323D" w:rsidP="0056323D">
            <w:pPr>
              <w:ind w:left="720"/>
              <w:rPr>
                <w:bCs/>
                <w:sz w:val="20"/>
                <w:szCs w:val="20"/>
              </w:rPr>
            </w:pPr>
            <w:r>
              <w:rPr>
                <w:bCs/>
                <w:sz w:val="20"/>
                <w:szCs w:val="20"/>
              </w:rPr>
              <w:t>Shape parameter for ages 40-44</w:t>
            </w:r>
          </w:p>
        </w:tc>
        <w:tc>
          <w:tcPr>
            <w:tcW w:w="341" w:type="pct"/>
            <w:noWrap/>
            <w:hideMark/>
          </w:tcPr>
          <w:p w14:paraId="1967B619" w14:textId="20CCCE52" w:rsidR="0056323D" w:rsidRPr="00AE254B" w:rsidRDefault="0056323D" w:rsidP="0056323D">
            <w:pPr>
              <w:rPr>
                <w:bCs/>
                <w:sz w:val="20"/>
                <w:szCs w:val="20"/>
              </w:rPr>
            </w:pPr>
            <w:r w:rsidRPr="00AE254B">
              <w:rPr>
                <w:bCs/>
                <w:sz w:val="20"/>
                <w:szCs w:val="20"/>
              </w:rPr>
              <w:t>2</w:t>
            </w:r>
          </w:p>
        </w:tc>
        <w:tc>
          <w:tcPr>
            <w:tcW w:w="2030" w:type="pct"/>
            <w:noWrap/>
            <w:hideMark/>
          </w:tcPr>
          <w:p w14:paraId="3AC1A982" w14:textId="163D0EAA"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25F1B51C" w14:textId="77777777" w:rsidTr="0056323D">
        <w:trPr>
          <w:trHeight w:val="310"/>
        </w:trPr>
        <w:tc>
          <w:tcPr>
            <w:tcW w:w="2629" w:type="pct"/>
          </w:tcPr>
          <w:p w14:paraId="45B748EC" w14:textId="4D6154B3" w:rsidR="0056323D" w:rsidRPr="00AE254B" w:rsidRDefault="0056323D" w:rsidP="0056323D">
            <w:pPr>
              <w:ind w:left="720"/>
              <w:rPr>
                <w:bCs/>
                <w:sz w:val="20"/>
                <w:szCs w:val="20"/>
              </w:rPr>
            </w:pPr>
            <w:r>
              <w:rPr>
                <w:bCs/>
                <w:sz w:val="20"/>
                <w:szCs w:val="20"/>
              </w:rPr>
              <w:t>Shape parameter for ages 45-49</w:t>
            </w:r>
          </w:p>
        </w:tc>
        <w:tc>
          <w:tcPr>
            <w:tcW w:w="341" w:type="pct"/>
            <w:noWrap/>
            <w:hideMark/>
          </w:tcPr>
          <w:p w14:paraId="590619EA" w14:textId="52208C68" w:rsidR="0056323D" w:rsidRPr="00AE254B" w:rsidRDefault="0056323D" w:rsidP="0056323D">
            <w:pPr>
              <w:rPr>
                <w:bCs/>
                <w:sz w:val="20"/>
                <w:szCs w:val="20"/>
              </w:rPr>
            </w:pPr>
            <w:r w:rsidRPr="00AE254B">
              <w:rPr>
                <w:bCs/>
                <w:sz w:val="20"/>
                <w:szCs w:val="20"/>
              </w:rPr>
              <w:t>2</w:t>
            </w:r>
          </w:p>
        </w:tc>
        <w:tc>
          <w:tcPr>
            <w:tcW w:w="2030" w:type="pct"/>
            <w:noWrap/>
            <w:hideMark/>
          </w:tcPr>
          <w:p w14:paraId="5A1D0265" w14:textId="173B5FAB"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322B0FB8" w14:textId="77777777" w:rsidTr="0056323D">
        <w:trPr>
          <w:trHeight w:val="310"/>
        </w:trPr>
        <w:tc>
          <w:tcPr>
            <w:tcW w:w="2629" w:type="pct"/>
          </w:tcPr>
          <w:p w14:paraId="6A4D6BA6" w14:textId="6B7B4F78" w:rsidR="0056323D" w:rsidRPr="00AE254B" w:rsidRDefault="0056323D" w:rsidP="0056323D">
            <w:pPr>
              <w:ind w:left="720"/>
              <w:rPr>
                <w:bCs/>
                <w:sz w:val="20"/>
                <w:szCs w:val="20"/>
              </w:rPr>
            </w:pPr>
            <w:r>
              <w:rPr>
                <w:bCs/>
                <w:sz w:val="20"/>
                <w:szCs w:val="20"/>
              </w:rPr>
              <w:t>Scale parameter for ages 15-19</w:t>
            </w:r>
          </w:p>
        </w:tc>
        <w:tc>
          <w:tcPr>
            <w:tcW w:w="341" w:type="pct"/>
            <w:noWrap/>
            <w:hideMark/>
          </w:tcPr>
          <w:p w14:paraId="3C9D69BC" w14:textId="23756917" w:rsidR="0056323D" w:rsidRPr="00AE254B" w:rsidRDefault="0056323D" w:rsidP="0056323D">
            <w:pPr>
              <w:rPr>
                <w:bCs/>
                <w:sz w:val="20"/>
                <w:szCs w:val="20"/>
              </w:rPr>
            </w:pPr>
            <w:r w:rsidRPr="00AE254B">
              <w:rPr>
                <w:bCs/>
                <w:sz w:val="20"/>
                <w:szCs w:val="20"/>
              </w:rPr>
              <w:t>16</w:t>
            </w:r>
          </w:p>
        </w:tc>
        <w:tc>
          <w:tcPr>
            <w:tcW w:w="2030" w:type="pct"/>
            <w:noWrap/>
            <w:hideMark/>
          </w:tcPr>
          <w:p w14:paraId="7DEE1866" w14:textId="5BD1F278"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5B7441CC" w14:textId="77777777" w:rsidTr="0056323D">
        <w:trPr>
          <w:trHeight w:val="310"/>
        </w:trPr>
        <w:tc>
          <w:tcPr>
            <w:tcW w:w="2629" w:type="pct"/>
          </w:tcPr>
          <w:p w14:paraId="0727BB3A" w14:textId="4276ACCB" w:rsidR="0056323D" w:rsidRPr="00AE254B" w:rsidRDefault="0056323D" w:rsidP="0056323D">
            <w:pPr>
              <w:ind w:left="720"/>
              <w:rPr>
                <w:bCs/>
                <w:sz w:val="20"/>
                <w:szCs w:val="20"/>
              </w:rPr>
            </w:pPr>
            <w:r>
              <w:rPr>
                <w:bCs/>
                <w:sz w:val="20"/>
                <w:szCs w:val="20"/>
              </w:rPr>
              <w:t>Scale parameter for ages 20-24</w:t>
            </w:r>
          </w:p>
        </w:tc>
        <w:tc>
          <w:tcPr>
            <w:tcW w:w="341" w:type="pct"/>
            <w:noWrap/>
            <w:hideMark/>
          </w:tcPr>
          <w:p w14:paraId="56DA1897" w14:textId="3727A668" w:rsidR="0056323D" w:rsidRPr="00AE254B" w:rsidRDefault="0056323D" w:rsidP="0056323D">
            <w:pPr>
              <w:rPr>
                <w:bCs/>
                <w:sz w:val="20"/>
                <w:szCs w:val="20"/>
              </w:rPr>
            </w:pPr>
            <w:r w:rsidRPr="00AE254B">
              <w:rPr>
                <w:bCs/>
                <w:sz w:val="20"/>
                <w:szCs w:val="20"/>
              </w:rPr>
              <w:t>15.4</w:t>
            </w:r>
          </w:p>
        </w:tc>
        <w:tc>
          <w:tcPr>
            <w:tcW w:w="2030" w:type="pct"/>
            <w:noWrap/>
            <w:hideMark/>
          </w:tcPr>
          <w:p w14:paraId="07EE4907" w14:textId="6EE46784"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10217DEB" w14:textId="77777777" w:rsidTr="0056323D">
        <w:trPr>
          <w:trHeight w:val="310"/>
        </w:trPr>
        <w:tc>
          <w:tcPr>
            <w:tcW w:w="2629" w:type="pct"/>
          </w:tcPr>
          <w:p w14:paraId="16DA9537" w14:textId="5E35BD61" w:rsidR="0056323D" w:rsidRPr="00AE254B" w:rsidRDefault="0056323D" w:rsidP="0056323D">
            <w:pPr>
              <w:ind w:left="720"/>
              <w:rPr>
                <w:bCs/>
                <w:sz w:val="20"/>
                <w:szCs w:val="20"/>
              </w:rPr>
            </w:pPr>
            <w:r>
              <w:rPr>
                <w:bCs/>
                <w:sz w:val="20"/>
                <w:szCs w:val="20"/>
              </w:rPr>
              <w:t>Scale parameter for ages 25-29</w:t>
            </w:r>
          </w:p>
        </w:tc>
        <w:tc>
          <w:tcPr>
            <w:tcW w:w="341" w:type="pct"/>
            <w:noWrap/>
            <w:hideMark/>
          </w:tcPr>
          <w:p w14:paraId="0CFAA581" w14:textId="1A465293" w:rsidR="0056323D" w:rsidRPr="00AE254B" w:rsidRDefault="0056323D" w:rsidP="0056323D">
            <w:pPr>
              <w:rPr>
                <w:bCs/>
                <w:sz w:val="20"/>
                <w:szCs w:val="20"/>
              </w:rPr>
            </w:pPr>
            <w:r w:rsidRPr="00AE254B">
              <w:rPr>
                <w:bCs/>
                <w:sz w:val="20"/>
                <w:szCs w:val="20"/>
              </w:rPr>
              <w:t>14.1</w:t>
            </w:r>
          </w:p>
        </w:tc>
        <w:tc>
          <w:tcPr>
            <w:tcW w:w="2030" w:type="pct"/>
            <w:noWrap/>
            <w:hideMark/>
          </w:tcPr>
          <w:p w14:paraId="06AC03FC" w14:textId="409BA43C"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0E8E8B02" w14:textId="77777777" w:rsidTr="0056323D">
        <w:trPr>
          <w:trHeight w:val="310"/>
        </w:trPr>
        <w:tc>
          <w:tcPr>
            <w:tcW w:w="2629" w:type="pct"/>
          </w:tcPr>
          <w:p w14:paraId="0C562AB4" w14:textId="03FBC827" w:rsidR="0056323D" w:rsidRPr="00AE254B" w:rsidRDefault="0056323D" w:rsidP="0056323D">
            <w:pPr>
              <w:ind w:left="720"/>
              <w:rPr>
                <w:bCs/>
                <w:sz w:val="20"/>
                <w:szCs w:val="20"/>
              </w:rPr>
            </w:pPr>
            <w:r>
              <w:rPr>
                <w:bCs/>
                <w:sz w:val="20"/>
                <w:szCs w:val="20"/>
              </w:rPr>
              <w:t>Scale parameter for ages 30-34</w:t>
            </w:r>
          </w:p>
        </w:tc>
        <w:tc>
          <w:tcPr>
            <w:tcW w:w="341" w:type="pct"/>
            <w:noWrap/>
            <w:hideMark/>
          </w:tcPr>
          <w:p w14:paraId="3D5E8F18" w14:textId="5A9B2137" w:rsidR="0056323D" w:rsidRPr="00AE254B" w:rsidRDefault="0056323D" w:rsidP="0056323D">
            <w:pPr>
              <w:rPr>
                <w:bCs/>
                <w:sz w:val="20"/>
                <w:szCs w:val="20"/>
              </w:rPr>
            </w:pPr>
            <w:r w:rsidRPr="00AE254B">
              <w:rPr>
                <w:bCs/>
                <w:sz w:val="20"/>
                <w:szCs w:val="20"/>
              </w:rPr>
              <w:t>12.1</w:t>
            </w:r>
          </w:p>
        </w:tc>
        <w:tc>
          <w:tcPr>
            <w:tcW w:w="2030" w:type="pct"/>
            <w:noWrap/>
            <w:hideMark/>
          </w:tcPr>
          <w:p w14:paraId="6FA45645" w14:textId="36232A33"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1E704DE3" w14:textId="77777777" w:rsidTr="0056323D">
        <w:trPr>
          <w:trHeight w:val="310"/>
        </w:trPr>
        <w:tc>
          <w:tcPr>
            <w:tcW w:w="2629" w:type="pct"/>
          </w:tcPr>
          <w:p w14:paraId="7DC8B7D4" w14:textId="19BEE7E2" w:rsidR="0056323D" w:rsidRPr="00AE254B" w:rsidRDefault="0056323D" w:rsidP="0056323D">
            <w:pPr>
              <w:ind w:left="720"/>
              <w:rPr>
                <w:bCs/>
                <w:sz w:val="20"/>
                <w:szCs w:val="20"/>
              </w:rPr>
            </w:pPr>
            <w:r>
              <w:rPr>
                <w:bCs/>
                <w:sz w:val="20"/>
                <w:szCs w:val="20"/>
              </w:rPr>
              <w:t>Scale parameter for ages 35-39</w:t>
            </w:r>
          </w:p>
        </w:tc>
        <w:tc>
          <w:tcPr>
            <w:tcW w:w="341" w:type="pct"/>
            <w:noWrap/>
            <w:hideMark/>
          </w:tcPr>
          <w:p w14:paraId="3BCDC5C5" w14:textId="60B0E832" w:rsidR="0056323D" w:rsidRPr="00AE254B" w:rsidRDefault="0056323D" w:rsidP="0056323D">
            <w:pPr>
              <w:rPr>
                <w:bCs/>
                <w:sz w:val="20"/>
                <w:szCs w:val="20"/>
              </w:rPr>
            </w:pPr>
            <w:r w:rsidRPr="00AE254B">
              <w:rPr>
                <w:bCs/>
                <w:sz w:val="20"/>
                <w:szCs w:val="20"/>
              </w:rPr>
              <w:t>11</w:t>
            </w:r>
          </w:p>
        </w:tc>
        <w:tc>
          <w:tcPr>
            <w:tcW w:w="2030" w:type="pct"/>
            <w:noWrap/>
            <w:hideMark/>
          </w:tcPr>
          <w:p w14:paraId="6028F5F3" w14:textId="51A81521"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300E3C5D" w14:textId="77777777" w:rsidTr="0056323D">
        <w:trPr>
          <w:trHeight w:val="310"/>
        </w:trPr>
        <w:tc>
          <w:tcPr>
            <w:tcW w:w="2629" w:type="pct"/>
          </w:tcPr>
          <w:p w14:paraId="17B173E5" w14:textId="0A8D6FA6" w:rsidR="0056323D" w:rsidRPr="00AE254B" w:rsidRDefault="0056323D" w:rsidP="0056323D">
            <w:pPr>
              <w:ind w:left="720"/>
              <w:rPr>
                <w:bCs/>
                <w:sz w:val="20"/>
                <w:szCs w:val="20"/>
              </w:rPr>
            </w:pPr>
            <w:r>
              <w:rPr>
                <w:bCs/>
                <w:sz w:val="20"/>
                <w:szCs w:val="20"/>
              </w:rPr>
              <w:t>Scale parameter for ages 40-44</w:t>
            </w:r>
          </w:p>
        </w:tc>
        <w:tc>
          <w:tcPr>
            <w:tcW w:w="341" w:type="pct"/>
            <w:noWrap/>
            <w:hideMark/>
          </w:tcPr>
          <w:p w14:paraId="2C925CA3" w14:textId="18412EEA" w:rsidR="0056323D" w:rsidRPr="00AE254B" w:rsidRDefault="0056323D" w:rsidP="0056323D">
            <w:pPr>
              <w:rPr>
                <w:bCs/>
                <w:sz w:val="20"/>
                <w:szCs w:val="20"/>
              </w:rPr>
            </w:pPr>
            <w:r w:rsidRPr="00AE254B">
              <w:rPr>
                <w:bCs/>
                <w:sz w:val="20"/>
                <w:szCs w:val="20"/>
              </w:rPr>
              <w:t>10.01</w:t>
            </w:r>
          </w:p>
        </w:tc>
        <w:tc>
          <w:tcPr>
            <w:tcW w:w="2030" w:type="pct"/>
            <w:noWrap/>
            <w:hideMark/>
          </w:tcPr>
          <w:p w14:paraId="05F8ACEA" w14:textId="11474C2C"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18DA92B7" w14:textId="77777777" w:rsidTr="0056323D">
        <w:trPr>
          <w:trHeight w:val="310"/>
        </w:trPr>
        <w:tc>
          <w:tcPr>
            <w:tcW w:w="2629" w:type="pct"/>
          </w:tcPr>
          <w:p w14:paraId="5DEADDDA" w14:textId="157993B0" w:rsidR="0056323D" w:rsidRPr="00AE254B" w:rsidRDefault="0056323D" w:rsidP="0056323D">
            <w:pPr>
              <w:ind w:left="720"/>
              <w:rPr>
                <w:bCs/>
                <w:sz w:val="20"/>
                <w:szCs w:val="20"/>
              </w:rPr>
            </w:pPr>
            <w:r>
              <w:rPr>
                <w:bCs/>
                <w:sz w:val="20"/>
                <w:szCs w:val="20"/>
              </w:rPr>
              <w:t>Scale parameter for ages 45-49</w:t>
            </w:r>
          </w:p>
        </w:tc>
        <w:tc>
          <w:tcPr>
            <w:tcW w:w="341" w:type="pct"/>
            <w:noWrap/>
            <w:hideMark/>
          </w:tcPr>
          <w:p w14:paraId="6E03FA3F" w14:textId="0DB7C41A" w:rsidR="0056323D" w:rsidRPr="00AE254B" w:rsidRDefault="0056323D" w:rsidP="0056323D">
            <w:pPr>
              <w:rPr>
                <w:bCs/>
                <w:sz w:val="20"/>
                <w:szCs w:val="20"/>
              </w:rPr>
            </w:pPr>
            <w:r w:rsidRPr="00AE254B">
              <w:rPr>
                <w:bCs/>
                <w:sz w:val="20"/>
                <w:szCs w:val="20"/>
              </w:rPr>
              <w:t>7.9</w:t>
            </w:r>
          </w:p>
        </w:tc>
        <w:tc>
          <w:tcPr>
            <w:tcW w:w="2030" w:type="pct"/>
            <w:noWrap/>
            <w:hideMark/>
          </w:tcPr>
          <w:p w14:paraId="29A422DF" w14:textId="3449FAA0" w:rsidR="0056323D" w:rsidRPr="00AE254B" w:rsidRDefault="0056323D" w:rsidP="0056323D">
            <w:pPr>
              <w:rPr>
                <w:bCs/>
                <w:sz w:val="20"/>
                <w:szCs w:val="20"/>
              </w:rPr>
            </w:pP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 </w:instrText>
            </w:r>
            <w:r>
              <w:rPr>
                <w:bCs/>
                <w:sz w:val="20"/>
                <w:szCs w:val="20"/>
              </w:rPr>
              <w:fldChar w:fldCharType="begin">
                <w:fldData xml:space="preserve">PEVuZE5vdGU+PENpdGU+PEF1dGhvcj5Ub2RkPC9BdXRob3I+PFllYXI+MjAwNzwvWWVhcj48UmVj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</w:fldData>
              </w:fldChar>
            </w:r>
            <w:r>
              <w:rPr>
                <w:bCs/>
                <w:sz w:val="20"/>
                <w:szCs w:val="20"/>
              </w:rPr>
              <w:instrText xml:space="preserve"> ADDIN EN.CITE.DATA </w:instrText>
            </w:r>
            <w:r>
              <w:rPr>
                <w:bCs/>
                <w:sz w:val="20"/>
                <w:szCs w:val="20"/>
              </w:rPr>
            </w:r>
            <w:r>
              <w:rPr>
                <w:bCs/>
                <w:sz w:val="20"/>
                <w:szCs w:val="20"/>
              </w:rPr>
              <w:fldChar w:fldCharType="end"/>
            </w:r>
            <w:r>
              <w:rPr>
                <w:bCs/>
                <w:sz w:val="20"/>
                <w:szCs w:val="20"/>
              </w:rPr>
            </w:r>
            <w:r>
              <w:rPr>
                <w:bCs/>
                <w:sz w:val="20"/>
                <w:szCs w:val="20"/>
              </w:rPr>
              <w:fldChar w:fldCharType="separate"/>
            </w:r>
            <w:r>
              <w:rPr>
                <w:bCs/>
                <w:noProof/>
                <w:sz w:val="20"/>
                <w:szCs w:val="20"/>
              </w:rPr>
              <w:t>(Todd, Glynn et al. 2007, Hallett, Zaba et al. 2008)</w:t>
            </w:r>
            <w:r>
              <w:rPr>
                <w:bCs/>
                <w:sz w:val="20"/>
                <w:szCs w:val="20"/>
              </w:rPr>
              <w:fldChar w:fldCharType="end"/>
            </w:r>
          </w:p>
        </w:tc>
      </w:tr>
      <w:tr w:rsidR="0056323D" w:rsidRPr="00AE254B" w14:paraId="67316AE5" w14:textId="77777777" w:rsidTr="0056323D">
        <w:trPr>
          <w:trHeight w:val="310"/>
        </w:trPr>
        <w:tc>
          <w:tcPr>
            <w:tcW w:w="2629" w:type="pct"/>
          </w:tcPr>
          <w:p w14:paraId="46B72976" w14:textId="15C3308C" w:rsidR="0056323D" w:rsidRPr="00AE254B" w:rsidRDefault="0056323D" w:rsidP="0056323D">
            <w:pPr>
              <w:rPr>
                <w:bCs/>
                <w:sz w:val="20"/>
                <w:szCs w:val="20"/>
              </w:rPr>
            </w:pPr>
            <w:r w:rsidRPr="0058169A">
              <w:rPr>
                <w:bCs/>
                <w:sz w:val="20"/>
                <w:szCs w:val="20"/>
              </w:rPr>
              <w:t>Mean years between when a person stops being on treatment to when AIDS is onset</w:t>
            </w:r>
            <w:r>
              <w:rPr>
                <w:bCs/>
                <w:sz w:val="20"/>
                <w:szCs w:val="20"/>
              </w:rPr>
              <w:t xml:space="preserve"> in</w:t>
            </w:r>
            <w:r w:rsidRPr="0058169A">
              <w:rPr>
                <w:bCs/>
                <w:sz w:val="20"/>
                <w:szCs w:val="20"/>
              </w:rPr>
              <w:t xml:space="preserve"> the absence of resuming treatment</w:t>
            </w:r>
          </w:p>
        </w:tc>
        <w:tc>
          <w:tcPr>
            <w:tcW w:w="341" w:type="pct"/>
            <w:noWrap/>
            <w:hideMark/>
          </w:tcPr>
          <w:p w14:paraId="3ED935C0" w14:textId="164DEE2E" w:rsidR="0056323D" w:rsidRPr="00AE254B" w:rsidRDefault="0056323D" w:rsidP="0056323D">
            <w:pPr>
              <w:rPr>
                <w:bCs/>
                <w:sz w:val="20"/>
                <w:szCs w:val="20"/>
              </w:rPr>
            </w:pPr>
            <w:r w:rsidRPr="00AE254B">
              <w:rPr>
                <w:bCs/>
                <w:sz w:val="20"/>
                <w:szCs w:val="20"/>
              </w:rPr>
              <w:t>5</w:t>
            </w:r>
          </w:p>
        </w:tc>
        <w:tc>
          <w:tcPr>
            <w:tcW w:w="2030" w:type="pct"/>
            <w:noWrap/>
            <w:hideMark/>
          </w:tcPr>
          <w:p w14:paraId="2DEFE503" w14:textId="77777777" w:rsidR="0056323D" w:rsidRPr="00AE254B" w:rsidRDefault="0056323D" w:rsidP="0056323D">
            <w:pPr>
              <w:rPr>
                <w:bCs/>
                <w:sz w:val="20"/>
                <w:szCs w:val="20"/>
              </w:rPr>
            </w:pPr>
          </w:p>
        </w:tc>
      </w:tr>
      <w:tr w:rsidR="0056323D" w:rsidRPr="00AE254B" w14:paraId="3A941026" w14:textId="77777777" w:rsidTr="0056323D">
        <w:trPr>
          <w:trHeight w:val="310"/>
        </w:trPr>
        <w:tc>
          <w:tcPr>
            <w:tcW w:w="2629" w:type="pct"/>
          </w:tcPr>
          <w:p w14:paraId="52F6B0C3" w14:textId="15BC5170" w:rsidR="0056323D" w:rsidRPr="00AE254B" w:rsidRDefault="0056323D" w:rsidP="0056323D">
            <w:pPr>
              <w:rPr>
                <w:bCs/>
                <w:sz w:val="20"/>
                <w:szCs w:val="20"/>
              </w:rPr>
            </w:pPr>
            <w:r>
              <w:rPr>
                <w:bCs/>
                <w:sz w:val="20"/>
                <w:szCs w:val="20"/>
              </w:rPr>
              <w:t>Mean survival time (years) for infants infected prior to birth</w:t>
            </w:r>
          </w:p>
        </w:tc>
        <w:tc>
          <w:tcPr>
            <w:tcW w:w="341" w:type="pct"/>
            <w:noWrap/>
            <w:hideMark/>
          </w:tcPr>
          <w:p w14:paraId="165E1284" w14:textId="7BBE6A08" w:rsidR="0056323D" w:rsidRPr="00AE254B" w:rsidRDefault="0056323D" w:rsidP="0056323D">
            <w:pPr>
              <w:rPr>
                <w:bCs/>
                <w:sz w:val="20"/>
                <w:szCs w:val="20"/>
              </w:rPr>
            </w:pPr>
            <w:r w:rsidRPr="00AE254B">
              <w:rPr>
                <w:bCs/>
                <w:sz w:val="20"/>
                <w:szCs w:val="20"/>
              </w:rPr>
              <w:t>1.08</w:t>
            </w:r>
          </w:p>
        </w:tc>
        <w:tc>
          <w:tcPr>
            <w:tcW w:w="2030" w:type="pct"/>
            <w:noWrap/>
            <w:hideMark/>
          </w:tcPr>
          <w:p w14:paraId="31F90DD2" w14:textId="0A4F0B64" w:rsidR="0056323D" w:rsidRPr="00AE254B" w:rsidRDefault="0056323D" w:rsidP="0056323D">
            <w:pPr>
              <w:rPr>
                <w:bCs/>
                <w:sz w:val="20"/>
                <w:szCs w:val="20"/>
              </w:rPr>
            </w:pPr>
            <w:r>
              <w:rPr>
                <w:bCs/>
                <w:sz w:val="20"/>
                <w:szCs w:val="20"/>
              </w:rPr>
              <w:fldChar w:fldCharType="begin"/>
            </w:r>
            <w:r>
              <w:rPr>
                <w:bCs/>
                <w:sz w:val="20"/>
                <w:szCs w:val="20"/>
              </w:rPr>
              <w:instrText xml:space="preserve"> ADDIN EN.CITE &lt;EndNote&gt;&lt;Cite&gt;&lt;Author&gt;Ferrand&lt;/Author&gt;&lt;Year&gt;2009&lt;/Year&gt;&lt;RecNum&gt;9&lt;/RecNum&gt;&lt;DisplayText&gt;(Ferrand, Corbett et al. 2009)&lt;/DisplayText&gt;&lt;record&gt;&lt;rec-number&gt;9&lt;/rec-number&gt;&lt;foreign-keys&gt;&lt;key app="EN" db-id="fdxddfzvgd2s5def22lpt2vlxvrw59fw92zw" timestamp="1611831216"&gt;9&lt;/key&gt;&lt;/foreign-keys&gt;&lt;ref-type name="Journal Article"&gt;17&lt;/ref-type&gt;&lt;contributors&gt;&lt;authors&gt;&lt;author&gt;Ferrand, Rashida A&lt;/author&gt;&lt;author&gt;Corbett, Elizabeth L&lt;/author&gt;&lt;author&gt;Wood, Robin&lt;/author&gt;&lt;author&gt;Hargrove, John&lt;/author&gt;&lt;author&gt;Ndhlovu, Chiratidzo E&lt;/author&gt;&lt;author&gt;Cowan, Frances M&lt;/author&gt;&lt;author&gt;Gouws, Eleanor&lt;/author&gt;&lt;author&gt;Williams, Brian G&lt;/author&gt;&lt;/authors&gt;&lt;/contributors&gt;&lt;titles&gt;&lt;title&gt;AIDS among older children and adolescents in Southern Africa: projecting the time course and magnitude of the epidemic&lt;/title&gt;&lt;secondary-title&gt;AIDS (London, England)&lt;/secondary-title&gt;&lt;/titles&gt;&lt;periodical&gt;&lt;full-title&gt;AIDS (London, England)&lt;/full-title&gt;&lt;/periodical&gt;&lt;pages&gt;2039&lt;/pages&gt;&lt;volume&gt;23&lt;/volume&gt;&lt;number&gt;15&lt;/number&gt;&lt;dates&gt;&lt;year&gt;2009&lt;/year&gt;&lt;/dates&gt;&lt;urls&gt;&lt;related-urls&gt;&lt;url&gt;https://www.ncbi.nlm.nih.gov/pmc/articles/PMC3408596/&lt;/url&gt;&lt;/related-urls&gt;&lt;/urls&gt;&lt;/record&gt;&lt;/Cite&gt;&lt;/EndNote&gt;</w:instrText>
            </w:r>
            <w:r>
              <w:rPr>
                <w:bCs/>
                <w:sz w:val="20"/>
                <w:szCs w:val="20"/>
              </w:rPr>
              <w:fldChar w:fldCharType="separate"/>
            </w:r>
            <w:r>
              <w:rPr>
                <w:bCs/>
                <w:noProof/>
                <w:sz w:val="20"/>
                <w:szCs w:val="20"/>
              </w:rPr>
              <w:t>(Ferrand, Corbett et al. 2009)</w:t>
            </w:r>
            <w:r>
              <w:rPr>
                <w:bCs/>
                <w:sz w:val="20"/>
                <w:szCs w:val="20"/>
              </w:rPr>
              <w:fldChar w:fldCharType="end"/>
            </w:r>
          </w:p>
        </w:tc>
      </w:tr>
      <w:tr w:rsidR="0056323D" w:rsidRPr="00AE254B" w14:paraId="35EB6AC6" w14:textId="77777777" w:rsidTr="0056323D">
        <w:trPr>
          <w:trHeight w:val="310"/>
        </w:trPr>
        <w:tc>
          <w:tcPr>
            <w:tcW w:w="2629" w:type="pct"/>
          </w:tcPr>
          <w:p w14:paraId="014028A0" w14:textId="7C839AA2" w:rsidR="0056323D" w:rsidRPr="00AE254B" w:rsidRDefault="0056323D" w:rsidP="0056323D">
            <w:pPr>
              <w:rPr>
                <w:bCs/>
                <w:sz w:val="20"/>
                <w:szCs w:val="20"/>
              </w:rPr>
            </w:pPr>
            <w:r>
              <w:rPr>
                <w:bCs/>
                <w:sz w:val="20"/>
                <w:szCs w:val="20"/>
              </w:rPr>
              <w:t>Weibull distribution describing time from infection to death for infants infected after birth</w:t>
            </w:r>
          </w:p>
        </w:tc>
        <w:tc>
          <w:tcPr>
            <w:tcW w:w="341" w:type="pct"/>
            <w:noWrap/>
          </w:tcPr>
          <w:p w14:paraId="15633288" w14:textId="77777777" w:rsidR="0056323D" w:rsidRPr="00AE254B" w:rsidRDefault="0056323D" w:rsidP="0056323D">
            <w:pPr>
              <w:rPr>
                <w:bCs/>
                <w:sz w:val="20"/>
                <w:szCs w:val="20"/>
              </w:rPr>
            </w:pPr>
          </w:p>
        </w:tc>
        <w:tc>
          <w:tcPr>
            <w:tcW w:w="2030" w:type="pct"/>
            <w:noWrap/>
          </w:tcPr>
          <w:p w14:paraId="19964BEC" w14:textId="77777777" w:rsidR="0056323D" w:rsidRPr="00AE254B" w:rsidRDefault="0056323D" w:rsidP="0056323D">
            <w:pPr>
              <w:rPr>
                <w:bCs/>
                <w:sz w:val="20"/>
                <w:szCs w:val="20"/>
              </w:rPr>
            </w:pPr>
          </w:p>
        </w:tc>
      </w:tr>
      <w:tr w:rsidR="0056323D" w:rsidRPr="00AE254B" w14:paraId="4C640970" w14:textId="77777777" w:rsidTr="0056323D">
        <w:trPr>
          <w:trHeight w:val="310"/>
        </w:trPr>
        <w:tc>
          <w:tcPr>
            <w:tcW w:w="2629" w:type="pct"/>
          </w:tcPr>
          <w:p w14:paraId="4D314E12" w14:textId="0F19D457" w:rsidR="0056323D" w:rsidRPr="00AE254B" w:rsidRDefault="0056323D" w:rsidP="0056323D">
            <w:pPr>
              <w:ind w:left="720"/>
              <w:rPr>
                <w:bCs/>
                <w:sz w:val="20"/>
                <w:szCs w:val="20"/>
              </w:rPr>
            </w:pPr>
            <w:r>
              <w:rPr>
                <w:bCs/>
                <w:sz w:val="20"/>
                <w:szCs w:val="20"/>
              </w:rPr>
              <w:t xml:space="preserve">Shape parameter </w:t>
            </w:r>
          </w:p>
        </w:tc>
        <w:tc>
          <w:tcPr>
            <w:tcW w:w="341" w:type="pct"/>
            <w:noWrap/>
            <w:hideMark/>
          </w:tcPr>
          <w:p w14:paraId="6F555D75" w14:textId="5CE80C6B" w:rsidR="0056323D" w:rsidRPr="00AE254B" w:rsidRDefault="0056323D" w:rsidP="0056323D">
            <w:pPr>
              <w:rPr>
                <w:bCs/>
                <w:sz w:val="20"/>
                <w:szCs w:val="20"/>
              </w:rPr>
            </w:pPr>
            <w:r w:rsidRPr="00AE254B">
              <w:rPr>
                <w:bCs/>
                <w:sz w:val="20"/>
                <w:szCs w:val="20"/>
              </w:rPr>
              <w:t>16</w:t>
            </w:r>
          </w:p>
        </w:tc>
        <w:tc>
          <w:tcPr>
            <w:tcW w:w="2030" w:type="pct"/>
            <w:noWrap/>
            <w:hideMark/>
          </w:tcPr>
          <w:p w14:paraId="38EF38D5" w14:textId="75C750BB" w:rsidR="0056323D" w:rsidRPr="00AE254B" w:rsidRDefault="0056323D" w:rsidP="0056323D">
            <w:pPr>
              <w:rPr>
                <w:bCs/>
                <w:sz w:val="20"/>
                <w:szCs w:val="20"/>
              </w:rPr>
            </w:pPr>
            <w:r>
              <w:rPr>
                <w:bCs/>
                <w:sz w:val="20"/>
                <w:szCs w:val="20"/>
              </w:rPr>
              <w:fldChar w:fldCharType="begin"/>
            </w:r>
            <w:r>
              <w:rPr>
                <w:bCs/>
                <w:sz w:val="20"/>
                <w:szCs w:val="20"/>
              </w:rPr>
              <w:instrText xml:space="preserve"> ADDIN EN.CITE &lt;EndNote&gt;&lt;Cite&gt;&lt;Author&gt;Ferrand&lt;/Author&gt;&lt;Year&gt;2009&lt;/Year&gt;&lt;RecNum&gt;9&lt;/RecNum&gt;&lt;DisplayText&gt;(Ferrand, Corbett et al. 2009)&lt;/DisplayText&gt;&lt;record&gt;&lt;rec-number&gt;9&lt;/rec-number&gt;&lt;foreign-keys&gt;&lt;key app="EN" db-id="fdxddfzvgd2s5def22lpt2vlxvrw59fw92zw" timestamp="1611831216"&gt;9&lt;/key&gt;&lt;/foreign-keys&gt;&lt;ref-type name="Journal Article"&gt;17&lt;/ref-type&gt;&lt;contributors&gt;&lt;authors&gt;&lt;author&gt;Ferrand, Rashida A&lt;/author&gt;&lt;author&gt;Corbett, Elizabeth L&lt;/author&gt;&lt;author&gt;Wood, Robin&lt;/author&gt;&lt;author&gt;Hargrove, John&lt;/author&gt;&lt;author&gt;Ndhlovu, Chiratidzo E&lt;/author&gt;&lt;author&gt;Cowan, Frances M&lt;/author&gt;&lt;author&gt;Gouws, Eleanor&lt;/author&gt;&lt;author&gt;Williams, Brian G&lt;/author&gt;&lt;/authors&gt;&lt;/contributors&gt;&lt;titles&gt;&lt;title&gt;AIDS among older children and adolescents in Southern Africa: projecting the time course and magnitude of the epidemic&lt;/title&gt;&lt;secondary-title&gt;AIDS (London, England)&lt;/secondary-title&gt;&lt;/titles&gt;&lt;periodical&gt;&lt;full-title&gt;AIDS (London, England)&lt;/full-title&gt;&lt;/periodical&gt;&lt;pages&gt;2039&lt;/pages&gt;&lt;volume&gt;23&lt;/volume&gt;&lt;number&gt;15&lt;/number&gt;&lt;dates&gt;&lt;year&gt;2009&lt;/year&gt;&lt;/dates&gt;&lt;urls&gt;&lt;related-urls&gt;&lt;url&gt;https://www.ncbi.nlm.nih.gov/pmc/articles/PMC3408596/&lt;/url&gt;&lt;/related-urls&gt;&lt;/urls&gt;&lt;/record&gt;&lt;/Cite&gt;&lt;/EndNote&gt;</w:instrText>
            </w:r>
            <w:r>
              <w:rPr>
                <w:bCs/>
                <w:sz w:val="20"/>
                <w:szCs w:val="20"/>
              </w:rPr>
              <w:fldChar w:fldCharType="separate"/>
            </w:r>
            <w:r>
              <w:rPr>
                <w:bCs/>
                <w:noProof/>
                <w:sz w:val="20"/>
                <w:szCs w:val="20"/>
              </w:rPr>
              <w:t>(Ferrand, Corbett et al. 2009)</w:t>
            </w:r>
            <w:r>
              <w:rPr>
                <w:bCs/>
                <w:sz w:val="20"/>
                <w:szCs w:val="20"/>
              </w:rPr>
              <w:fldChar w:fldCharType="end"/>
            </w:r>
          </w:p>
        </w:tc>
      </w:tr>
      <w:tr w:rsidR="0056323D" w:rsidRPr="00AE254B" w14:paraId="72F39800" w14:textId="77777777" w:rsidTr="0056323D">
        <w:trPr>
          <w:trHeight w:val="310"/>
        </w:trPr>
        <w:tc>
          <w:tcPr>
            <w:tcW w:w="2629" w:type="pct"/>
          </w:tcPr>
          <w:p w14:paraId="72F7F35B" w14:textId="6CF3CA25" w:rsidR="0056323D" w:rsidRPr="00AE254B" w:rsidRDefault="0056323D" w:rsidP="0056323D">
            <w:pPr>
              <w:ind w:left="720"/>
              <w:rPr>
                <w:bCs/>
                <w:sz w:val="20"/>
                <w:szCs w:val="20"/>
              </w:rPr>
            </w:pPr>
            <w:r>
              <w:rPr>
                <w:bCs/>
                <w:sz w:val="20"/>
                <w:szCs w:val="20"/>
              </w:rPr>
              <w:t xml:space="preserve">Scale parameter </w:t>
            </w:r>
          </w:p>
        </w:tc>
        <w:tc>
          <w:tcPr>
            <w:tcW w:w="341" w:type="pct"/>
            <w:noWrap/>
            <w:hideMark/>
          </w:tcPr>
          <w:p w14:paraId="662CA2B5" w14:textId="778CE346" w:rsidR="0056323D" w:rsidRPr="00AE254B" w:rsidRDefault="0056323D" w:rsidP="0056323D">
            <w:pPr>
              <w:rPr>
                <w:bCs/>
                <w:sz w:val="20"/>
                <w:szCs w:val="20"/>
              </w:rPr>
            </w:pPr>
            <w:r w:rsidRPr="00AE254B">
              <w:rPr>
                <w:bCs/>
                <w:sz w:val="20"/>
                <w:szCs w:val="20"/>
              </w:rPr>
              <w:t>2.7</w:t>
            </w:r>
          </w:p>
        </w:tc>
        <w:tc>
          <w:tcPr>
            <w:tcW w:w="2030" w:type="pct"/>
            <w:noWrap/>
            <w:hideMark/>
          </w:tcPr>
          <w:p w14:paraId="596AD82A" w14:textId="45F5111C" w:rsidR="0056323D" w:rsidRPr="00AE254B" w:rsidRDefault="0056323D" w:rsidP="0056323D">
            <w:pPr>
              <w:rPr>
                <w:bCs/>
                <w:sz w:val="20"/>
                <w:szCs w:val="20"/>
              </w:rPr>
            </w:pPr>
            <w:r>
              <w:rPr>
                <w:bCs/>
                <w:sz w:val="20"/>
                <w:szCs w:val="20"/>
              </w:rPr>
              <w:fldChar w:fldCharType="begin"/>
            </w:r>
            <w:r>
              <w:rPr>
                <w:bCs/>
                <w:sz w:val="20"/>
                <w:szCs w:val="20"/>
              </w:rPr>
              <w:instrText xml:space="preserve"> ADDIN EN.CITE &lt;EndNote&gt;&lt;Cite&gt;&lt;Author&gt;Ferrand&lt;/Author&gt;&lt;Year&gt;2009&lt;/Year&gt;&lt;RecNum&gt;9&lt;/RecNum&gt;&lt;DisplayText&gt;(Ferrand, Corbett et al. 2009)&lt;/DisplayText&gt;&lt;record&gt;&lt;rec-number&gt;9&lt;/rec-number&gt;&lt;foreign-keys&gt;&lt;key app="EN" db-id="fdxddfzvgd2s5def22lpt2vlxvrw59fw92zw" timestamp="1611831216"&gt;9&lt;/key&gt;&lt;/foreign-keys&gt;&lt;ref-type name="Journal Article"&gt;17&lt;/ref-type&gt;&lt;contributors&gt;&lt;authors&gt;&lt;author&gt;Ferrand, Rashida A&lt;/author&gt;&lt;author&gt;Corbett, Elizabeth L&lt;/author&gt;&lt;author&gt;Wood, Robin&lt;/author&gt;&lt;author&gt;Hargrove, John&lt;/author&gt;&lt;author&gt;Ndhlovu, Chiratidzo E&lt;/author&gt;&lt;author&gt;Cowan, Frances M&lt;/author&gt;&lt;author&gt;Gouws, Eleanor&lt;/author&gt;&lt;author&gt;Williams, Brian G&lt;/author&gt;&lt;/authors&gt;&lt;/contributors&gt;&lt;titles&gt;&lt;title&gt;AIDS among older children and adolescents in Southern Africa: projecting the time course and magnitude of the epidemic&lt;/title&gt;&lt;secondary-title&gt;AIDS (London, England)&lt;/secondary-title&gt;&lt;/titles&gt;&lt;periodical&gt;&lt;full-title&gt;AIDS (London, England)&lt;/full-title&gt;&lt;/periodical&gt;&lt;pages&gt;2039&lt;/pages&gt;&lt;volume&gt;23&lt;/volume&gt;&lt;number&gt;15&lt;/number&gt;&lt;dates&gt;&lt;year&gt;2009&lt;/year&gt;&lt;/dates&gt;&lt;urls&gt;&lt;related-urls&gt;&lt;url&gt;https://www.ncbi.nlm.nih.gov/pmc/articles/PMC3408596/&lt;/url&gt;&lt;/related-urls&gt;&lt;/urls&gt;&lt;/record&gt;&lt;/Cite&gt;&lt;/EndNote&gt;</w:instrText>
            </w:r>
            <w:r>
              <w:rPr>
                <w:bCs/>
                <w:sz w:val="20"/>
                <w:szCs w:val="20"/>
              </w:rPr>
              <w:fldChar w:fldCharType="separate"/>
            </w:r>
            <w:r>
              <w:rPr>
                <w:bCs/>
                <w:noProof/>
                <w:sz w:val="20"/>
                <w:szCs w:val="20"/>
              </w:rPr>
              <w:t>(Ferrand, Corbett et al. 2009)</w:t>
            </w:r>
            <w:r>
              <w:rPr>
                <w:bCs/>
                <w:sz w:val="20"/>
                <w:szCs w:val="20"/>
              </w:rPr>
              <w:fldChar w:fldCharType="end"/>
            </w:r>
          </w:p>
        </w:tc>
      </w:tr>
      <w:tr w:rsidR="0056323D" w:rsidRPr="00AE254B" w14:paraId="1EE03DCD" w14:textId="77777777" w:rsidTr="0056323D">
        <w:trPr>
          <w:trHeight w:val="310"/>
        </w:trPr>
        <w:tc>
          <w:tcPr>
            <w:tcW w:w="2629" w:type="pct"/>
          </w:tcPr>
          <w:p w14:paraId="0655F1BF" w14:textId="3B43D0ED" w:rsidR="0056323D" w:rsidRPr="00AE254B" w:rsidRDefault="0056323D" w:rsidP="0056323D">
            <w:pPr>
              <w:rPr>
                <w:bCs/>
                <w:sz w:val="20"/>
                <w:szCs w:val="20"/>
              </w:rPr>
            </w:pPr>
            <w:r>
              <w:rPr>
                <w:bCs/>
                <w:sz w:val="20"/>
                <w:szCs w:val="20"/>
              </w:rPr>
              <w:t>Probability that a person will seek an HIV test per 12-month period</w:t>
            </w:r>
          </w:p>
        </w:tc>
        <w:tc>
          <w:tcPr>
            <w:tcW w:w="341" w:type="pct"/>
            <w:noWrap/>
            <w:hideMark/>
          </w:tcPr>
          <w:p w14:paraId="5A093A16" w14:textId="2D3FDEE0" w:rsidR="0056323D" w:rsidRPr="00AE254B" w:rsidRDefault="0056323D" w:rsidP="0056323D">
            <w:pPr>
              <w:rPr>
                <w:bCs/>
                <w:sz w:val="20"/>
                <w:szCs w:val="20"/>
              </w:rPr>
            </w:pPr>
            <w:r w:rsidRPr="00AE254B">
              <w:rPr>
                <w:bCs/>
                <w:sz w:val="20"/>
                <w:szCs w:val="20"/>
              </w:rPr>
              <w:t>0.2</w:t>
            </w:r>
          </w:p>
        </w:tc>
        <w:tc>
          <w:tcPr>
            <w:tcW w:w="2030" w:type="pct"/>
            <w:noWrap/>
            <w:hideMark/>
          </w:tcPr>
          <w:p w14:paraId="2F06470B" w14:textId="77777777" w:rsidR="0056323D" w:rsidRPr="00AE254B" w:rsidRDefault="0056323D" w:rsidP="0056323D">
            <w:pPr>
              <w:rPr>
                <w:bCs/>
                <w:sz w:val="20"/>
                <w:szCs w:val="20"/>
              </w:rPr>
            </w:pPr>
          </w:p>
        </w:tc>
      </w:tr>
      <w:tr w:rsidR="0056323D" w:rsidRPr="00AE254B" w14:paraId="67FB1F34" w14:textId="77777777" w:rsidTr="0056323D">
        <w:trPr>
          <w:trHeight w:val="310"/>
        </w:trPr>
        <w:tc>
          <w:tcPr>
            <w:tcW w:w="2629" w:type="pct"/>
          </w:tcPr>
          <w:p w14:paraId="59A0F1FA" w14:textId="2F4A2D39" w:rsidR="0056323D" w:rsidRPr="00AE254B" w:rsidRDefault="0056323D" w:rsidP="0056323D">
            <w:pPr>
              <w:rPr>
                <w:bCs/>
                <w:sz w:val="20"/>
                <w:szCs w:val="20"/>
              </w:rPr>
            </w:pPr>
            <w:r>
              <w:rPr>
                <w:bCs/>
                <w:sz w:val="20"/>
                <w:szCs w:val="20"/>
              </w:rPr>
              <w:t>P</w:t>
            </w:r>
            <w:r w:rsidRPr="005E47B6">
              <w:rPr>
                <w:bCs/>
                <w:sz w:val="20"/>
                <w:szCs w:val="20"/>
              </w:rPr>
              <w:t>robability that a person will start treatment, if HIV-positive, following testing</w:t>
            </w:r>
          </w:p>
        </w:tc>
        <w:tc>
          <w:tcPr>
            <w:tcW w:w="341" w:type="pct"/>
            <w:noWrap/>
            <w:hideMark/>
          </w:tcPr>
          <w:p w14:paraId="3AFD53EC" w14:textId="2A27F2F9" w:rsidR="0056323D" w:rsidRPr="00AE254B" w:rsidRDefault="0056323D" w:rsidP="0056323D">
            <w:pPr>
              <w:rPr>
                <w:bCs/>
                <w:sz w:val="20"/>
                <w:szCs w:val="20"/>
              </w:rPr>
            </w:pPr>
            <w:r w:rsidRPr="00AE254B">
              <w:rPr>
                <w:bCs/>
                <w:sz w:val="20"/>
                <w:szCs w:val="20"/>
              </w:rPr>
              <w:t>0.9</w:t>
            </w:r>
          </w:p>
        </w:tc>
        <w:tc>
          <w:tcPr>
            <w:tcW w:w="2030" w:type="pct"/>
            <w:noWrap/>
            <w:hideMark/>
          </w:tcPr>
          <w:p w14:paraId="23895E80" w14:textId="77777777" w:rsidR="0056323D" w:rsidRPr="00AE254B" w:rsidRDefault="0056323D" w:rsidP="0056323D">
            <w:pPr>
              <w:rPr>
                <w:bCs/>
                <w:sz w:val="20"/>
                <w:szCs w:val="20"/>
              </w:rPr>
            </w:pPr>
          </w:p>
        </w:tc>
      </w:tr>
      <w:tr w:rsidR="0056323D" w:rsidRPr="00AE254B" w14:paraId="7780342F" w14:textId="77777777" w:rsidTr="0056323D">
        <w:trPr>
          <w:trHeight w:val="310"/>
        </w:trPr>
        <w:tc>
          <w:tcPr>
            <w:tcW w:w="2629" w:type="pct"/>
          </w:tcPr>
          <w:p w14:paraId="7804269E" w14:textId="15D3B9EE" w:rsidR="0056323D" w:rsidRPr="00AE254B" w:rsidRDefault="0056323D" w:rsidP="0056323D">
            <w:pPr>
              <w:rPr>
                <w:bCs/>
                <w:sz w:val="20"/>
                <w:szCs w:val="20"/>
              </w:rPr>
            </w:pPr>
            <w:r>
              <w:rPr>
                <w:bCs/>
                <w:sz w:val="20"/>
                <w:szCs w:val="20"/>
              </w:rPr>
              <w:t>R</w:t>
            </w:r>
            <w:r w:rsidRPr="005E47B6">
              <w:rPr>
                <w:bCs/>
                <w:sz w:val="20"/>
                <w:szCs w:val="20"/>
              </w:rPr>
              <w:t xml:space="preserve">elative probability of a person starting treatment if they have </w:t>
            </w:r>
            <w:r>
              <w:rPr>
                <w:bCs/>
                <w:sz w:val="20"/>
                <w:szCs w:val="20"/>
              </w:rPr>
              <w:t>AIDS s</w:t>
            </w:r>
            <w:r w:rsidRPr="005E47B6">
              <w:rPr>
                <w:bCs/>
                <w:sz w:val="20"/>
                <w:szCs w:val="20"/>
              </w:rPr>
              <w:t>ymptoms compared to if</w:t>
            </w:r>
            <w:r>
              <w:rPr>
                <w:bCs/>
                <w:sz w:val="20"/>
                <w:szCs w:val="20"/>
              </w:rPr>
              <w:t xml:space="preserve"> </w:t>
            </w:r>
            <w:r w:rsidRPr="005E47B6">
              <w:rPr>
                <w:bCs/>
                <w:sz w:val="20"/>
                <w:szCs w:val="20"/>
              </w:rPr>
              <w:t>they do not</w:t>
            </w:r>
          </w:p>
        </w:tc>
        <w:tc>
          <w:tcPr>
            <w:tcW w:w="341" w:type="pct"/>
            <w:noWrap/>
            <w:hideMark/>
          </w:tcPr>
          <w:p w14:paraId="2D9B9C45" w14:textId="0E6FF484" w:rsidR="0056323D" w:rsidRPr="00AE254B" w:rsidRDefault="0056323D" w:rsidP="0056323D">
            <w:pPr>
              <w:rPr>
                <w:bCs/>
                <w:sz w:val="20"/>
                <w:szCs w:val="20"/>
              </w:rPr>
            </w:pPr>
            <w:r w:rsidRPr="00AE254B">
              <w:rPr>
                <w:bCs/>
                <w:sz w:val="20"/>
                <w:szCs w:val="20"/>
              </w:rPr>
              <w:t>1</w:t>
            </w:r>
          </w:p>
        </w:tc>
        <w:tc>
          <w:tcPr>
            <w:tcW w:w="2030" w:type="pct"/>
            <w:noWrap/>
            <w:hideMark/>
          </w:tcPr>
          <w:p w14:paraId="45C6D257" w14:textId="77777777" w:rsidR="0056323D" w:rsidRPr="00AE254B" w:rsidRDefault="0056323D" w:rsidP="0056323D">
            <w:pPr>
              <w:rPr>
                <w:bCs/>
                <w:sz w:val="20"/>
                <w:szCs w:val="20"/>
              </w:rPr>
            </w:pPr>
          </w:p>
        </w:tc>
      </w:tr>
      <w:tr w:rsidR="0056323D" w:rsidRPr="00AE254B" w14:paraId="2E0DFDFB" w14:textId="77777777" w:rsidTr="0056323D">
        <w:trPr>
          <w:trHeight w:val="310"/>
        </w:trPr>
        <w:tc>
          <w:tcPr>
            <w:tcW w:w="2629" w:type="pct"/>
          </w:tcPr>
          <w:p w14:paraId="0FBF25E6" w14:textId="2710A871" w:rsidR="0056323D" w:rsidRPr="00AE254B" w:rsidRDefault="0056323D" w:rsidP="0056323D">
            <w:pPr>
              <w:rPr>
                <w:bCs/>
                <w:sz w:val="20"/>
                <w:szCs w:val="20"/>
              </w:rPr>
            </w:pPr>
            <w:r>
              <w:rPr>
                <w:bCs/>
                <w:sz w:val="20"/>
                <w:szCs w:val="20"/>
              </w:rPr>
              <w:lastRenderedPageBreak/>
              <w:t>P</w:t>
            </w:r>
            <w:r w:rsidRPr="00EC4FFF">
              <w:rPr>
                <w:bCs/>
                <w:sz w:val="20"/>
                <w:szCs w:val="20"/>
              </w:rPr>
              <w:t>robability that a person will change risk behaviours, if HIV-negative, following testing</w:t>
            </w:r>
          </w:p>
        </w:tc>
        <w:tc>
          <w:tcPr>
            <w:tcW w:w="341" w:type="pct"/>
            <w:noWrap/>
            <w:hideMark/>
          </w:tcPr>
          <w:p w14:paraId="31D49F8B" w14:textId="524A8437" w:rsidR="0056323D" w:rsidRPr="00AE254B" w:rsidRDefault="0056323D" w:rsidP="0056323D">
            <w:pPr>
              <w:rPr>
                <w:bCs/>
                <w:sz w:val="20"/>
                <w:szCs w:val="20"/>
              </w:rPr>
            </w:pPr>
            <w:r w:rsidRPr="00AE254B">
              <w:rPr>
                <w:bCs/>
                <w:sz w:val="20"/>
                <w:szCs w:val="20"/>
              </w:rPr>
              <w:t>0.5</w:t>
            </w:r>
          </w:p>
        </w:tc>
        <w:tc>
          <w:tcPr>
            <w:tcW w:w="2030" w:type="pct"/>
            <w:noWrap/>
            <w:hideMark/>
          </w:tcPr>
          <w:p w14:paraId="44F96113" w14:textId="77777777" w:rsidR="0056323D" w:rsidRPr="00AE254B" w:rsidRDefault="0056323D" w:rsidP="0056323D">
            <w:pPr>
              <w:rPr>
                <w:bCs/>
                <w:sz w:val="20"/>
                <w:szCs w:val="20"/>
              </w:rPr>
            </w:pPr>
          </w:p>
        </w:tc>
      </w:tr>
      <w:tr w:rsidR="0056323D" w:rsidRPr="00AE254B" w14:paraId="674A52EC" w14:textId="77777777" w:rsidTr="0056323D">
        <w:trPr>
          <w:trHeight w:val="310"/>
        </w:trPr>
        <w:tc>
          <w:tcPr>
            <w:tcW w:w="2629" w:type="pct"/>
          </w:tcPr>
          <w:p w14:paraId="11F4D0B6" w14:textId="2F681C8A" w:rsidR="0056323D" w:rsidRPr="00AE254B" w:rsidRDefault="0056323D" w:rsidP="0056323D">
            <w:pPr>
              <w:rPr>
                <w:bCs/>
                <w:sz w:val="20"/>
                <w:szCs w:val="20"/>
              </w:rPr>
            </w:pPr>
            <w:r>
              <w:rPr>
                <w:bCs/>
                <w:sz w:val="20"/>
                <w:szCs w:val="20"/>
              </w:rPr>
              <w:t>P</w:t>
            </w:r>
            <w:r w:rsidRPr="00EC4FFF">
              <w:rPr>
                <w:bCs/>
                <w:sz w:val="20"/>
                <w:szCs w:val="20"/>
              </w:rPr>
              <w:t xml:space="preserve">robability that a FSW will start </w:t>
            </w:r>
            <w:proofErr w:type="spellStart"/>
            <w:r w:rsidRPr="00EC4FFF">
              <w:rPr>
                <w:bCs/>
                <w:sz w:val="20"/>
                <w:szCs w:val="20"/>
              </w:rPr>
              <w:t>PrEP</w:t>
            </w:r>
            <w:proofErr w:type="spellEnd"/>
            <w:r w:rsidRPr="00EC4FFF">
              <w:rPr>
                <w:bCs/>
                <w:sz w:val="20"/>
                <w:szCs w:val="20"/>
              </w:rPr>
              <w:t>, if HIV-negative, following testing</w:t>
            </w:r>
          </w:p>
        </w:tc>
        <w:tc>
          <w:tcPr>
            <w:tcW w:w="341" w:type="pct"/>
            <w:noWrap/>
            <w:hideMark/>
          </w:tcPr>
          <w:p w14:paraId="35C9A648" w14:textId="331D9BF5" w:rsidR="0056323D" w:rsidRPr="00AE254B" w:rsidRDefault="0056323D" w:rsidP="0056323D">
            <w:pPr>
              <w:rPr>
                <w:bCs/>
                <w:sz w:val="20"/>
                <w:szCs w:val="20"/>
              </w:rPr>
            </w:pPr>
            <w:r w:rsidRPr="00AE254B">
              <w:rPr>
                <w:bCs/>
                <w:sz w:val="20"/>
                <w:szCs w:val="20"/>
              </w:rPr>
              <w:t>0.05</w:t>
            </w:r>
          </w:p>
        </w:tc>
        <w:tc>
          <w:tcPr>
            <w:tcW w:w="2030" w:type="pct"/>
            <w:noWrap/>
            <w:hideMark/>
          </w:tcPr>
          <w:p w14:paraId="13FCE0D7" w14:textId="77777777" w:rsidR="0056323D" w:rsidRPr="00AE254B" w:rsidRDefault="0056323D" w:rsidP="0056323D">
            <w:pPr>
              <w:rPr>
                <w:bCs/>
                <w:sz w:val="20"/>
                <w:szCs w:val="20"/>
              </w:rPr>
            </w:pPr>
          </w:p>
        </w:tc>
      </w:tr>
      <w:tr w:rsidR="0056323D" w:rsidRPr="00AE254B" w14:paraId="17176882" w14:textId="77777777" w:rsidTr="0056323D">
        <w:trPr>
          <w:trHeight w:val="310"/>
        </w:trPr>
        <w:tc>
          <w:tcPr>
            <w:tcW w:w="2629" w:type="pct"/>
          </w:tcPr>
          <w:p w14:paraId="6EF3378D" w14:textId="65DA96E9" w:rsidR="0056323D" w:rsidRPr="00AE254B" w:rsidRDefault="0056323D" w:rsidP="0056323D">
            <w:pPr>
              <w:rPr>
                <w:bCs/>
                <w:sz w:val="20"/>
                <w:szCs w:val="20"/>
              </w:rPr>
            </w:pPr>
            <w:r>
              <w:rPr>
                <w:bCs/>
                <w:sz w:val="20"/>
                <w:szCs w:val="20"/>
              </w:rPr>
              <w:t>P</w:t>
            </w:r>
            <w:r w:rsidRPr="00EC4FFF">
              <w:rPr>
                <w:bCs/>
                <w:sz w:val="20"/>
                <w:szCs w:val="20"/>
              </w:rPr>
              <w:t>robability that a male will be circumcised, if HIV-negative, following testing</w:t>
            </w:r>
          </w:p>
        </w:tc>
        <w:tc>
          <w:tcPr>
            <w:tcW w:w="341" w:type="pct"/>
            <w:noWrap/>
            <w:hideMark/>
          </w:tcPr>
          <w:p w14:paraId="4D166F26" w14:textId="77F78D43" w:rsidR="0056323D" w:rsidRPr="00AE254B" w:rsidRDefault="0056323D" w:rsidP="0056323D">
            <w:pPr>
              <w:rPr>
                <w:bCs/>
                <w:sz w:val="20"/>
                <w:szCs w:val="20"/>
              </w:rPr>
            </w:pPr>
            <w:r w:rsidRPr="00AE254B">
              <w:rPr>
                <w:bCs/>
                <w:sz w:val="20"/>
                <w:szCs w:val="20"/>
              </w:rPr>
              <w:t>0.05</w:t>
            </w:r>
          </w:p>
        </w:tc>
        <w:tc>
          <w:tcPr>
            <w:tcW w:w="2030" w:type="pct"/>
            <w:noWrap/>
            <w:hideMark/>
          </w:tcPr>
          <w:p w14:paraId="70B2D161" w14:textId="77777777" w:rsidR="0056323D" w:rsidRPr="00AE254B" w:rsidRDefault="0056323D" w:rsidP="0056323D">
            <w:pPr>
              <w:rPr>
                <w:bCs/>
                <w:sz w:val="20"/>
                <w:szCs w:val="20"/>
              </w:rPr>
            </w:pPr>
          </w:p>
        </w:tc>
      </w:tr>
      <w:tr w:rsidR="0056323D" w:rsidRPr="00AE254B" w14:paraId="3C334D86" w14:textId="77777777" w:rsidTr="0056323D">
        <w:trPr>
          <w:trHeight w:val="310"/>
        </w:trPr>
        <w:tc>
          <w:tcPr>
            <w:tcW w:w="2629" w:type="pct"/>
          </w:tcPr>
          <w:p w14:paraId="3B67E573" w14:textId="56065FAF" w:rsidR="0056323D" w:rsidRPr="00AE254B" w:rsidRDefault="0056323D" w:rsidP="0056323D">
            <w:pPr>
              <w:rPr>
                <w:bCs/>
                <w:sz w:val="20"/>
                <w:szCs w:val="20"/>
              </w:rPr>
            </w:pPr>
            <w:r>
              <w:rPr>
                <w:bCs/>
                <w:sz w:val="20"/>
                <w:szCs w:val="20"/>
              </w:rPr>
              <w:t>P</w:t>
            </w:r>
            <w:r w:rsidRPr="00EC4FFF">
              <w:rPr>
                <w:bCs/>
                <w:sz w:val="20"/>
                <w:szCs w:val="20"/>
              </w:rPr>
              <w:t>robability that someone who has initiated on prep will attend an appointment and be on prep for the next 3 months, until the next appointment</w:t>
            </w:r>
          </w:p>
        </w:tc>
        <w:tc>
          <w:tcPr>
            <w:tcW w:w="341" w:type="pct"/>
            <w:noWrap/>
            <w:hideMark/>
          </w:tcPr>
          <w:p w14:paraId="3DDAE8CE" w14:textId="03A711F0" w:rsidR="0056323D" w:rsidRPr="00AE254B" w:rsidRDefault="0056323D" w:rsidP="0056323D">
            <w:pPr>
              <w:rPr>
                <w:bCs/>
                <w:sz w:val="20"/>
                <w:szCs w:val="20"/>
              </w:rPr>
            </w:pPr>
            <w:r w:rsidRPr="00AE254B">
              <w:rPr>
                <w:bCs/>
                <w:sz w:val="20"/>
                <w:szCs w:val="20"/>
              </w:rPr>
              <w:t>0.5</w:t>
            </w:r>
          </w:p>
        </w:tc>
        <w:tc>
          <w:tcPr>
            <w:tcW w:w="2030" w:type="pct"/>
            <w:noWrap/>
            <w:hideMark/>
          </w:tcPr>
          <w:p w14:paraId="1221F7FD" w14:textId="77777777" w:rsidR="0056323D" w:rsidRPr="00AE254B" w:rsidRDefault="0056323D" w:rsidP="0056323D">
            <w:pPr>
              <w:rPr>
                <w:bCs/>
                <w:sz w:val="20"/>
                <w:szCs w:val="20"/>
              </w:rPr>
            </w:pPr>
          </w:p>
        </w:tc>
      </w:tr>
      <w:tr w:rsidR="0056323D" w:rsidRPr="00AE254B" w14:paraId="33955018" w14:textId="77777777" w:rsidTr="0056323D">
        <w:trPr>
          <w:trHeight w:val="310"/>
        </w:trPr>
        <w:tc>
          <w:tcPr>
            <w:tcW w:w="2629" w:type="pct"/>
          </w:tcPr>
          <w:p w14:paraId="21077F3C" w14:textId="6601E9A4" w:rsidR="0056323D" w:rsidRPr="00AE254B" w:rsidRDefault="0056323D" w:rsidP="0056323D">
            <w:pPr>
              <w:rPr>
                <w:bCs/>
                <w:sz w:val="20"/>
                <w:szCs w:val="20"/>
              </w:rPr>
            </w:pPr>
            <w:r>
              <w:rPr>
                <w:bCs/>
                <w:sz w:val="20"/>
                <w:szCs w:val="20"/>
              </w:rPr>
              <w:t>P</w:t>
            </w:r>
            <w:r w:rsidRPr="00EC4FFF">
              <w:rPr>
                <w:bCs/>
                <w:sz w:val="20"/>
                <w:szCs w:val="20"/>
              </w:rPr>
              <w:t>robability that someone who has initiated on treatment will attend an appointment and be on</w:t>
            </w:r>
            <w:r>
              <w:rPr>
                <w:bCs/>
                <w:sz w:val="20"/>
                <w:szCs w:val="20"/>
              </w:rPr>
              <w:t xml:space="preserve"> </w:t>
            </w:r>
            <w:r w:rsidRPr="00EC4FFF">
              <w:rPr>
                <w:bCs/>
                <w:sz w:val="20"/>
                <w:szCs w:val="20"/>
              </w:rPr>
              <w:t>treatment for next 6 months, until the next appointment</w:t>
            </w:r>
          </w:p>
        </w:tc>
        <w:tc>
          <w:tcPr>
            <w:tcW w:w="341" w:type="pct"/>
            <w:noWrap/>
            <w:hideMark/>
          </w:tcPr>
          <w:p w14:paraId="6D610F75" w14:textId="1BDA4EA3" w:rsidR="0056323D" w:rsidRPr="00AE254B" w:rsidRDefault="0056323D" w:rsidP="0056323D">
            <w:pPr>
              <w:rPr>
                <w:bCs/>
                <w:sz w:val="20"/>
                <w:szCs w:val="20"/>
              </w:rPr>
            </w:pPr>
            <w:r w:rsidRPr="00AE254B">
              <w:rPr>
                <w:bCs/>
                <w:sz w:val="20"/>
                <w:szCs w:val="20"/>
              </w:rPr>
              <w:t>0.98</w:t>
            </w:r>
          </w:p>
        </w:tc>
        <w:tc>
          <w:tcPr>
            <w:tcW w:w="2030" w:type="pct"/>
            <w:noWrap/>
            <w:hideMark/>
          </w:tcPr>
          <w:p w14:paraId="3F9AE022" w14:textId="77777777" w:rsidR="0056323D" w:rsidRPr="00AE254B" w:rsidRDefault="0056323D" w:rsidP="0056323D">
            <w:pPr>
              <w:rPr>
                <w:bCs/>
                <w:sz w:val="20"/>
                <w:szCs w:val="20"/>
              </w:rPr>
            </w:pPr>
          </w:p>
        </w:tc>
      </w:tr>
      <w:tr w:rsidR="0056323D" w:rsidRPr="00AE254B" w14:paraId="0E56A860" w14:textId="77777777" w:rsidTr="0056323D">
        <w:trPr>
          <w:trHeight w:val="310"/>
        </w:trPr>
        <w:tc>
          <w:tcPr>
            <w:tcW w:w="2629" w:type="pct"/>
          </w:tcPr>
          <w:p w14:paraId="65BB9261" w14:textId="6292A90D" w:rsidR="0056323D" w:rsidRPr="00AE254B" w:rsidRDefault="0056323D" w:rsidP="0056323D">
            <w:pPr>
              <w:rPr>
                <w:bCs/>
                <w:sz w:val="20"/>
                <w:szCs w:val="20"/>
              </w:rPr>
            </w:pPr>
            <w:r>
              <w:rPr>
                <w:bCs/>
                <w:sz w:val="20"/>
                <w:szCs w:val="20"/>
              </w:rPr>
              <w:t>P</w:t>
            </w:r>
            <w:r w:rsidRPr="00E00E61">
              <w:rPr>
                <w:bCs/>
                <w:sz w:val="20"/>
                <w:szCs w:val="20"/>
              </w:rPr>
              <w:t>robability that a person who 'should' be on art will seek another appointment (the following</w:t>
            </w:r>
            <w:r>
              <w:rPr>
                <w:bCs/>
                <w:sz w:val="20"/>
                <w:szCs w:val="20"/>
              </w:rPr>
              <w:t xml:space="preserve"> </w:t>
            </w:r>
            <w:r w:rsidRPr="00E00E61">
              <w:rPr>
                <w:bCs/>
                <w:sz w:val="20"/>
                <w:szCs w:val="20"/>
              </w:rPr>
              <w:t>day and try for each of the next 7 days) if drugs were not available</w:t>
            </w:r>
          </w:p>
        </w:tc>
        <w:tc>
          <w:tcPr>
            <w:tcW w:w="341" w:type="pct"/>
            <w:noWrap/>
            <w:hideMark/>
          </w:tcPr>
          <w:p w14:paraId="4B9BAD68" w14:textId="37A8E73B" w:rsidR="0056323D" w:rsidRPr="00AE254B" w:rsidRDefault="0056323D" w:rsidP="0056323D">
            <w:pPr>
              <w:rPr>
                <w:bCs/>
                <w:sz w:val="20"/>
                <w:szCs w:val="20"/>
              </w:rPr>
            </w:pPr>
            <w:r w:rsidRPr="00AE254B">
              <w:rPr>
                <w:bCs/>
                <w:sz w:val="20"/>
                <w:szCs w:val="20"/>
              </w:rPr>
              <w:t>0.8</w:t>
            </w:r>
          </w:p>
        </w:tc>
        <w:tc>
          <w:tcPr>
            <w:tcW w:w="2030" w:type="pct"/>
            <w:noWrap/>
            <w:hideMark/>
          </w:tcPr>
          <w:p w14:paraId="2E5858E2" w14:textId="77777777" w:rsidR="0056323D" w:rsidRPr="00AE254B" w:rsidRDefault="0056323D" w:rsidP="0056323D">
            <w:pPr>
              <w:rPr>
                <w:bCs/>
                <w:sz w:val="20"/>
                <w:szCs w:val="20"/>
              </w:rPr>
            </w:pPr>
          </w:p>
        </w:tc>
      </w:tr>
      <w:tr w:rsidR="0056323D" w:rsidRPr="00AE254B" w14:paraId="270EF12F" w14:textId="77777777" w:rsidTr="0056323D">
        <w:trPr>
          <w:trHeight w:val="310"/>
        </w:trPr>
        <w:tc>
          <w:tcPr>
            <w:tcW w:w="2629" w:type="pct"/>
          </w:tcPr>
          <w:p w14:paraId="526D5444" w14:textId="781E29B2" w:rsidR="0056323D" w:rsidRPr="00AE254B" w:rsidRDefault="0056323D" w:rsidP="0056323D">
            <w:pPr>
              <w:rPr>
                <w:bCs/>
                <w:sz w:val="20"/>
                <w:szCs w:val="20"/>
              </w:rPr>
            </w:pPr>
            <w:r w:rsidRPr="00E00E61">
              <w:rPr>
                <w:bCs/>
                <w:sz w:val="20"/>
                <w:szCs w:val="20"/>
              </w:rPr>
              <w:t>probability that a person who 'should' be on art will seek another appointment if the health-system has not been able to provide them with an appointment</w:t>
            </w:r>
          </w:p>
        </w:tc>
        <w:tc>
          <w:tcPr>
            <w:tcW w:w="341" w:type="pct"/>
            <w:noWrap/>
            <w:hideMark/>
          </w:tcPr>
          <w:p w14:paraId="0FD0D725" w14:textId="67EB8C2C" w:rsidR="0056323D" w:rsidRPr="00AE254B" w:rsidRDefault="0056323D" w:rsidP="0056323D">
            <w:pPr>
              <w:rPr>
                <w:bCs/>
                <w:sz w:val="20"/>
                <w:szCs w:val="20"/>
              </w:rPr>
            </w:pPr>
            <w:r w:rsidRPr="00AE254B">
              <w:rPr>
                <w:bCs/>
                <w:sz w:val="20"/>
                <w:szCs w:val="20"/>
              </w:rPr>
              <w:t>0.5</w:t>
            </w:r>
          </w:p>
        </w:tc>
        <w:tc>
          <w:tcPr>
            <w:tcW w:w="2030" w:type="pct"/>
            <w:noWrap/>
            <w:hideMark/>
          </w:tcPr>
          <w:p w14:paraId="59DA4ED4" w14:textId="77777777" w:rsidR="0056323D" w:rsidRPr="00AE254B" w:rsidRDefault="0056323D" w:rsidP="0056323D">
            <w:pPr>
              <w:rPr>
                <w:bCs/>
                <w:sz w:val="20"/>
                <w:szCs w:val="20"/>
              </w:rPr>
            </w:pPr>
          </w:p>
        </w:tc>
      </w:tr>
      <w:tr w:rsidR="0056323D" w:rsidRPr="00AE254B" w14:paraId="54253069" w14:textId="77777777" w:rsidTr="0056323D">
        <w:trPr>
          <w:trHeight w:val="310"/>
        </w:trPr>
        <w:tc>
          <w:tcPr>
            <w:tcW w:w="2629" w:type="pct"/>
          </w:tcPr>
          <w:p w14:paraId="7B300123" w14:textId="68090CB4" w:rsidR="0056323D" w:rsidRPr="00AE254B" w:rsidRDefault="0056323D" w:rsidP="0056323D">
            <w:pPr>
              <w:rPr>
                <w:bCs/>
                <w:sz w:val="20"/>
                <w:szCs w:val="20"/>
              </w:rPr>
            </w:pPr>
            <w:r>
              <w:rPr>
                <w:bCs/>
                <w:sz w:val="20"/>
                <w:szCs w:val="20"/>
              </w:rPr>
              <w:t>R</w:t>
            </w:r>
            <w:r w:rsidRPr="00E00E61">
              <w:rPr>
                <w:bCs/>
                <w:sz w:val="20"/>
                <w:szCs w:val="20"/>
              </w:rPr>
              <w:t xml:space="preserve">ates of viral load suppression </w:t>
            </w:r>
            <w:r>
              <w:rPr>
                <w:bCs/>
                <w:sz w:val="20"/>
                <w:szCs w:val="20"/>
              </w:rPr>
              <w:t xml:space="preserve">in adult </w:t>
            </w:r>
            <w:r w:rsidRPr="00E00E61">
              <w:rPr>
                <w:bCs/>
                <w:sz w:val="20"/>
                <w:szCs w:val="20"/>
              </w:rPr>
              <w:t>males</w:t>
            </w:r>
          </w:p>
        </w:tc>
        <w:tc>
          <w:tcPr>
            <w:tcW w:w="341" w:type="pct"/>
            <w:noWrap/>
            <w:hideMark/>
          </w:tcPr>
          <w:p w14:paraId="6643372E" w14:textId="47469E34" w:rsidR="0056323D" w:rsidRPr="00AE254B" w:rsidRDefault="0056323D" w:rsidP="0056323D">
            <w:pPr>
              <w:rPr>
                <w:bCs/>
                <w:sz w:val="20"/>
                <w:szCs w:val="20"/>
              </w:rPr>
            </w:pPr>
            <w:r w:rsidRPr="00AE254B">
              <w:rPr>
                <w:bCs/>
                <w:sz w:val="20"/>
                <w:szCs w:val="20"/>
              </w:rPr>
              <w:t>0.897</w:t>
            </w:r>
          </w:p>
        </w:tc>
        <w:tc>
          <w:tcPr>
            <w:tcW w:w="2030" w:type="pct"/>
            <w:noWrap/>
            <w:hideMark/>
          </w:tcPr>
          <w:p w14:paraId="3BA8C1F2" w14:textId="1F1F399C" w:rsidR="0056323D" w:rsidRPr="00AE254B" w:rsidRDefault="0056323D" w:rsidP="0056323D">
            <w:pPr>
              <w:rPr>
                <w:bCs/>
                <w:sz w:val="20"/>
                <w:szCs w:val="20"/>
              </w:rPr>
            </w:pPr>
            <w:r>
              <w:rPr>
                <w:bCs/>
                <w:sz w:val="20"/>
                <w:szCs w:val="20"/>
              </w:rPr>
              <w:fldChar w:fldCharType="begin"/>
            </w:r>
            <w:r>
              <w:rPr>
                <w:bCs/>
                <w:sz w:val="20"/>
                <w:szCs w:val="20"/>
              </w:rPr>
              <w:instrText xml:space="preserve"> ADDIN EN.CITE &lt;EndNote&gt;&lt;Cite&gt;&lt;Author&gt;Malawi&lt;/Author&gt;&lt;Year&gt;2018&lt;/Year&gt;&lt;RecNum&gt;21&lt;/RecNum&gt;&lt;DisplayText&gt;(Malawi 2018)&lt;/DisplayText&gt;&lt;record&gt;&lt;rec-number&gt;21&lt;/rec-number&gt;&lt;foreign-keys&gt;&lt;key app="EN" db-id="fdxddfzvgd2s5def22lpt2vlxvrw59fw92zw" timestamp="1612879094"&gt;21&lt;/key&gt;&lt;/foreign-keys&gt;&lt;ref-type name="Journal Article"&gt;17&lt;/ref-type&gt;&lt;contributors&gt;&lt;authors&gt;&lt;author&gt;Ministry of Health Malawi&lt;/author&gt;&lt;/authors&gt;&lt;/contributors&gt;&lt;titles&gt;&lt;title&gt;Malawi Population‐based HIV Impact Assessment (MPHIA) 2015–16&lt;/title&gt;&lt;/titles&gt;&lt;dates&gt;&lt;year&gt;2018&lt;/year&gt;&lt;/dates&gt;&lt;urls&gt;&lt;/urls&gt;&lt;/record&gt;&lt;/Cite&gt;&lt;/EndNote&gt;</w:instrText>
            </w:r>
            <w:r>
              <w:rPr>
                <w:bCs/>
                <w:sz w:val="20"/>
                <w:szCs w:val="20"/>
              </w:rPr>
              <w:fldChar w:fldCharType="separate"/>
            </w:r>
            <w:r>
              <w:rPr>
                <w:bCs/>
                <w:noProof/>
                <w:sz w:val="20"/>
                <w:szCs w:val="20"/>
              </w:rPr>
              <w:t>(Malawi 2018)</w:t>
            </w:r>
            <w:r>
              <w:rPr>
                <w:bCs/>
                <w:sz w:val="20"/>
                <w:szCs w:val="20"/>
              </w:rPr>
              <w:fldChar w:fldCharType="end"/>
            </w:r>
          </w:p>
        </w:tc>
      </w:tr>
      <w:tr w:rsidR="0056323D" w:rsidRPr="00AE254B" w14:paraId="0B48D459" w14:textId="77777777" w:rsidTr="0056323D">
        <w:trPr>
          <w:trHeight w:val="310"/>
        </w:trPr>
        <w:tc>
          <w:tcPr>
            <w:tcW w:w="2629" w:type="pct"/>
          </w:tcPr>
          <w:p w14:paraId="0BC916D9" w14:textId="1962E3B6" w:rsidR="0056323D" w:rsidRPr="00AE254B" w:rsidRDefault="0056323D" w:rsidP="0056323D">
            <w:pPr>
              <w:rPr>
                <w:bCs/>
                <w:sz w:val="20"/>
                <w:szCs w:val="20"/>
              </w:rPr>
            </w:pPr>
            <w:r>
              <w:rPr>
                <w:bCs/>
                <w:sz w:val="20"/>
                <w:szCs w:val="20"/>
              </w:rPr>
              <w:t>Rates of viral load suppression in adult females</w:t>
            </w:r>
          </w:p>
        </w:tc>
        <w:tc>
          <w:tcPr>
            <w:tcW w:w="341" w:type="pct"/>
            <w:noWrap/>
            <w:hideMark/>
          </w:tcPr>
          <w:p w14:paraId="0C7A1680" w14:textId="7BA88A28" w:rsidR="0056323D" w:rsidRPr="00AE254B" w:rsidRDefault="0056323D" w:rsidP="0056323D">
            <w:pPr>
              <w:rPr>
                <w:bCs/>
                <w:sz w:val="20"/>
                <w:szCs w:val="20"/>
              </w:rPr>
            </w:pPr>
            <w:r w:rsidRPr="00AE254B">
              <w:rPr>
                <w:bCs/>
                <w:sz w:val="20"/>
                <w:szCs w:val="20"/>
              </w:rPr>
              <w:t>0.921</w:t>
            </w:r>
          </w:p>
        </w:tc>
        <w:tc>
          <w:tcPr>
            <w:tcW w:w="2030" w:type="pct"/>
            <w:noWrap/>
          </w:tcPr>
          <w:p w14:paraId="42BDED63" w14:textId="2DC441A0" w:rsidR="0056323D" w:rsidRPr="00AE254B" w:rsidRDefault="0056323D" w:rsidP="0056323D">
            <w:pPr>
              <w:rPr>
                <w:bCs/>
                <w:sz w:val="20"/>
                <w:szCs w:val="20"/>
              </w:rPr>
            </w:pPr>
            <w:r>
              <w:rPr>
                <w:bCs/>
                <w:sz w:val="20"/>
                <w:szCs w:val="20"/>
              </w:rPr>
              <w:fldChar w:fldCharType="begin"/>
            </w:r>
            <w:r>
              <w:rPr>
                <w:bCs/>
                <w:sz w:val="20"/>
                <w:szCs w:val="20"/>
              </w:rPr>
              <w:instrText xml:space="preserve"> ADDIN EN.CITE &lt;EndNote&gt;&lt;Cite&gt;&lt;Author&gt;Malawi&lt;/Author&gt;&lt;Year&gt;2018&lt;/Year&gt;&lt;RecNum&gt;21&lt;/RecNum&gt;&lt;DisplayText&gt;(Malawi 2018)&lt;/DisplayText&gt;&lt;record&gt;&lt;rec-number&gt;21&lt;/rec-number&gt;&lt;foreign-keys&gt;&lt;key app="EN" db-id="fdxddfzvgd2s5def22lpt2vlxvrw59fw92zw" timestamp="1612879094"&gt;21&lt;/key&gt;&lt;/foreign-keys&gt;&lt;ref-type name="Journal Article"&gt;17&lt;/ref-type&gt;&lt;contributors&gt;&lt;authors&gt;&lt;author&gt;Ministry of Health Malawi&lt;/author&gt;&lt;/authors&gt;&lt;/contributors&gt;&lt;titles&gt;&lt;title&gt;Malawi Population‐based HIV Impact Assessment (MPHIA) 2015–16&lt;/title&gt;&lt;/titles&gt;&lt;dates&gt;&lt;year&gt;2018&lt;/year&gt;&lt;/dates&gt;&lt;urls&gt;&lt;/urls&gt;&lt;/record&gt;&lt;/Cite&gt;&lt;/EndNote&gt;</w:instrText>
            </w:r>
            <w:r>
              <w:rPr>
                <w:bCs/>
                <w:sz w:val="20"/>
                <w:szCs w:val="20"/>
              </w:rPr>
              <w:fldChar w:fldCharType="separate"/>
            </w:r>
            <w:r>
              <w:rPr>
                <w:bCs/>
                <w:noProof/>
                <w:sz w:val="20"/>
                <w:szCs w:val="20"/>
              </w:rPr>
              <w:t>(Malawi 2018)</w:t>
            </w:r>
            <w:r>
              <w:rPr>
                <w:bCs/>
                <w:sz w:val="20"/>
                <w:szCs w:val="20"/>
              </w:rPr>
              <w:fldChar w:fldCharType="end"/>
            </w:r>
          </w:p>
        </w:tc>
      </w:tr>
      <w:tr w:rsidR="0056323D" w:rsidRPr="00AE254B" w14:paraId="6D0CAFB3" w14:textId="77777777" w:rsidTr="0056323D">
        <w:trPr>
          <w:trHeight w:val="310"/>
        </w:trPr>
        <w:tc>
          <w:tcPr>
            <w:tcW w:w="2629" w:type="pct"/>
          </w:tcPr>
          <w:p w14:paraId="4FE252C9" w14:textId="110C4BDC" w:rsidR="0056323D" w:rsidRPr="00AE254B" w:rsidRDefault="0056323D" w:rsidP="0056323D">
            <w:pPr>
              <w:rPr>
                <w:bCs/>
                <w:sz w:val="20"/>
                <w:szCs w:val="20"/>
              </w:rPr>
            </w:pPr>
            <w:r>
              <w:rPr>
                <w:bCs/>
                <w:sz w:val="20"/>
                <w:szCs w:val="20"/>
              </w:rPr>
              <w:t>Rates of viral load suppression in children aged 0-14 years</w:t>
            </w:r>
          </w:p>
        </w:tc>
        <w:tc>
          <w:tcPr>
            <w:tcW w:w="341" w:type="pct"/>
            <w:noWrap/>
            <w:hideMark/>
          </w:tcPr>
          <w:p w14:paraId="1C47FFC8" w14:textId="3C7E2F1D" w:rsidR="0056323D" w:rsidRPr="00AE254B" w:rsidRDefault="0056323D" w:rsidP="0056323D">
            <w:pPr>
              <w:rPr>
                <w:bCs/>
                <w:sz w:val="20"/>
                <w:szCs w:val="20"/>
              </w:rPr>
            </w:pPr>
            <w:r w:rsidRPr="00AE254B">
              <w:rPr>
                <w:bCs/>
                <w:sz w:val="20"/>
                <w:szCs w:val="20"/>
              </w:rPr>
              <w:t>0.579</w:t>
            </w:r>
          </w:p>
        </w:tc>
        <w:tc>
          <w:tcPr>
            <w:tcW w:w="2030" w:type="pct"/>
            <w:noWrap/>
          </w:tcPr>
          <w:p w14:paraId="112C56DA" w14:textId="1F2E0030" w:rsidR="0056323D" w:rsidRPr="00AE254B" w:rsidRDefault="0056323D" w:rsidP="0056323D">
            <w:pPr>
              <w:rPr>
                <w:bCs/>
                <w:sz w:val="20"/>
                <w:szCs w:val="20"/>
              </w:rPr>
            </w:pPr>
            <w:r>
              <w:rPr>
                <w:bCs/>
                <w:sz w:val="20"/>
                <w:szCs w:val="20"/>
              </w:rPr>
              <w:fldChar w:fldCharType="begin"/>
            </w:r>
            <w:r>
              <w:rPr>
                <w:bCs/>
                <w:sz w:val="20"/>
                <w:szCs w:val="20"/>
              </w:rPr>
              <w:instrText xml:space="preserve"> ADDIN EN.CITE &lt;EndNote&gt;&lt;Cite&gt;&lt;Author&gt;Malawi&lt;/Author&gt;&lt;Year&gt;2018&lt;/Year&gt;&lt;RecNum&gt;21&lt;/RecNum&gt;&lt;DisplayText&gt;(Malawi 2018)&lt;/DisplayText&gt;&lt;record&gt;&lt;rec-number&gt;21&lt;/rec-number&gt;&lt;foreign-keys&gt;&lt;key app="EN" db-id="fdxddfzvgd2s5def22lpt2vlxvrw59fw92zw" timestamp="1612879094"&gt;21&lt;/key&gt;&lt;/foreign-keys&gt;&lt;ref-type name="Journal Article"&gt;17&lt;/ref-type&gt;&lt;contributors&gt;&lt;authors&gt;&lt;author&gt;Ministry of Health Malawi&lt;/author&gt;&lt;/authors&gt;&lt;/contributors&gt;&lt;titles&gt;&lt;title&gt;Malawi Population‐based HIV Impact Assessment (MPHIA) 2015–16&lt;/title&gt;&lt;/titles&gt;&lt;dates&gt;&lt;year&gt;2018&lt;/year&gt;&lt;/dates&gt;&lt;urls&gt;&lt;/urls&gt;&lt;/record&gt;&lt;/Cite&gt;&lt;/EndNote&gt;</w:instrText>
            </w:r>
            <w:r>
              <w:rPr>
                <w:bCs/>
                <w:sz w:val="20"/>
                <w:szCs w:val="20"/>
              </w:rPr>
              <w:fldChar w:fldCharType="separate"/>
            </w:r>
            <w:r>
              <w:rPr>
                <w:bCs/>
                <w:noProof/>
                <w:sz w:val="20"/>
                <w:szCs w:val="20"/>
              </w:rPr>
              <w:t>(Malawi 2018)</w:t>
            </w:r>
            <w:r>
              <w:rPr>
                <w:bCs/>
                <w:sz w:val="20"/>
                <w:szCs w:val="20"/>
              </w:rPr>
              <w:fldChar w:fldCharType="end"/>
            </w:r>
          </w:p>
        </w:tc>
      </w:tr>
      <w:tr w:rsidR="0056323D" w:rsidRPr="00AE254B" w14:paraId="59BF1AFE" w14:textId="77777777" w:rsidTr="0056323D">
        <w:trPr>
          <w:trHeight w:val="310"/>
        </w:trPr>
        <w:tc>
          <w:tcPr>
            <w:tcW w:w="2629" w:type="pct"/>
          </w:tcPr>
          <w:p w14:paraId="5990EFAD" w14:textId="06301F15" w:rsidR="0056323D" w:rsidRPr="00AE254B" w:rsidRDefault="0056323D" w:rsidP="0056323D">
            <w:pPr>
              <w:rPr>
                <w:bCs/>
                <w:sz w:val="20"/>
                <w:szCs w:val="20"/>
              </w:rPr>
            </w:pPr>
            <w:r>
              <w:rPr>
                <w:bCs/>
                <w:sz w:val="20"/>
                <w:szCs w:val="20"/>
              </w:rPr>
              <w:t xml:space="preserve">Calendar year from which </w:t>
            </w:r>
            <w:proofErr w:type="spellStart"/>
            <w:r>
              <w:rPr>
                <w:bCs/>
                <w:sz w:val="20"/>
                <w:szCs w:val="20"/>
              </w:rPr>
              <w:t>PrEP</w:t>
            </w:r>
            <w:proofErr w:type="spellEnd"/>
            <w:r>
              <w:rPr>
                <w:bCs/>
                <w:sz w:val="20"/>
                <w:szCs w:val="20"/>
              </w:rPr>
              <w:t xml:space="preserve"> is available</w:t>
            </w:r>
          </w:p>
        </w:tc>
        <w:tc>
          <w:tcPr>
            <w:tcW w:w="341" w:type="pct"/>
            <w:noWrap/>
            <w:hideMark/>
          </w:tcPr>
          <w:p w14:paraId="6E979C26" w14:textId="388ECE66" w:rsidR="0056323D" w:rsidRPr="00AE254B" w:rsidRDefault="0056323D" w:rsidP="0056323D">
            <w:pPr>
              <w:rPr>
                <w:bCs/>
                <w:sz w:val="20"/>
                <w:szCs w:val="20"/>
              </w:rPr>
            </w:pPr>
            <w:r w:rsidRPr="00AE254B">
              <w:rPr>
                <w:bCs/>
                <w:sz w:val="20"/>
                <w:szCs w:val="20"/>
              </w:rPr>
              <w:t>2018</w:t>
            </w:r>
          </w:p>
        </w:tc>
        <w:tc>
          <w:tcPr>
            <w:tcW w:w="2030" w:type="pct"/>
            <w:noWrap/>
            <w:hideMark/>
          </w:tcPr>
          <w:p w14:paraId="494E3E76" w14:textId="77777777" w:rsidR="0056323D" w:rsidRPr="00AE254B" w:rsidRDefault="0056323D" w:rsidP="0056323D">
            <w:pPr>
              <w:rPr>
                <w:bCs/>
                <w:sz w:val="20"/>
                <w:szCs w:val="20"/>
              </w:rPr>
            </w:pPr>
          </w:p>
        </w:tc>
      </w:tr>
    </w:tbl>
    <w:p w14:paraId="0093436C" w14:textId="77777777" w:rsidR="00AE254B" w:rsidRDefault="00AE254B" w:rsidP="00AE254B">
      <w:pPr>
        <w:rPr>
          <w:b/>
        </w:rPr>
      </w:pPr>
    </w:p>
    <w:p w14:paraId="07E62692" w14:textId="23625927" w:rsidR="00DB6CC6" w:rsidRDefault="00DB6CC6" w:rsidP="00DB6CC6">
      <w:pPr>
        <w:pStyle w:val="Heading2"/>
      </w:pPr>
      <w:r>
        <w:t>Model outputs</w:t>
      </w:r>
    </w:p>
    <w:p w14:paraId="0F02E3CB" w14:textId="7CE9A62E" w:rsidR="00DB6CC6" w:rsidRDefault="00DB6CC6" w:rsidP="00DB6CC6"/>
    <w:p w14:paraId="2A991ED6" w14:textId="4F40AF6A" w:rsidR="00DB6CC6" w:rsidRDefault="00DB6CC6" w:rsidP="00DB6CC6"/>
    <w:p w14:paraId="7F964DC5" w14:textId="7B07258B" w:rsidR="00DB6CC6" w:rsidRDefault="00DB6CC6" w:rsidP="00DB6CC6">
      <w:r>
        <w:rPr>
          <w:noProof/>
        </w:rPr>
        <w:lastRenderedPageBreak/>
        <w:drawing>
          <wp:inline distT="0" distB="0" distL="0" distR="0" wp14:anchorId="4CD754DF" wp14:editId="0F6BEAEC">
            <wp:extent cx="6096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5C384BB1" w14:textId="7BC5984C" w:rsidR="00DB6CC6" w:rsidRDefault="00DB6CC6" w:rsidP="00DB6CC6"/>
    <w:p w14:paraId="72537644" w14:textId="77777777" w:rsidR="00DB6CC6" w:rsidRDefault="00DB6CC6" w:rsidP="00DB6CC6"/>
    <w:p w14:paraId="66708362" w14:textId="06ED119B" w:rsidR="00DB6CC6" w:rsidRDefault="00DB6CC6" w:rsidP="00DB6CC6">
      <w:r>
        <w:rPr>
          <w:noProof/>
        </w:rPr>
        <w:drawing>
          <wp:inline distT="0" distB="0" distL="0" distR="0" wp14:anchorId="49CF7AB3" wp14:editId="594FAD08">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4FC9275F" w14:textId="1935AF43" w:rsidR="00DB6CC6" w:rsidRDefault="00DB6CC6" w:rsidP="00DB6CC6"/>
    <w:p w14:paraId="4007AF7B" w14:textId="77777777" w:rsidR="00DB6CC6" w:rsidRDefault="00DB6CC6" w:rsidP="00DB6CC6"/>
    <w:p w14:paraId="1F85DD0A" w14:textId="77777777" w:rsidR="00DB6CC6" w:rsidRDefault="00DB6CC6" w:rsidP="00DB6CC6"/>
    <w:p w14:paraId="3B916007" w14:textId="01E3E99D" w:rsidR="00DB6CC6" w:rsidRDefault="00DB6CC6" w:rsidP="00DB6CC6">
      <w:r>
        <w:rPr>
          <w:noProof/>
        </w:rPr>
        <w:drawing>
          <wp:inline distT="0" distB="0" distL="0" distR="0" wp14:anchorId="365C45C7" wp14:editId="42885BB3">
            <wp:extent cx="6096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00DDF1F" w14:textId="2C56011A" w:rsidR="00DB6CC6" w:rsidRDefault="00DB6CC6" w:rsidP="00DB6CC6">
      <w:r w:rsidRPr="00DB6CC6">
        <w:rPr>
          <w:noProof/>
        </w:rPr>
        <w:lastRenderedPageBreak/>
        <w:drawing>
          <wp:inline distT="0" distB="0" distL="0" distR="0" wp14:anchorId="7A750E7F" wp14:editId="77BA05FC">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4572000"/>
                    </a:xfrm>
                    <a:prstGeom prst="rect">
                      <a:avLst/>
                    </a:prstGeom>
                  </pic:spPr>
                </pic:pic>
              </a:graphicData>
            </a:graphic>
          </wp:inline>
        </w:drawing>
      </w:r>
    </w:p>
    <w:p w14:paraId="16ACA481" w14:textId="7088CBA4" w:rsidR="00DB6CC6" w:rsidRDefault="00C66344" w:rsidP="00DB6CC6">
      <w:r>
        <w:t xml:space="preserve">Data are taken from </w:t>
      </w:r>
      <w:proofErr w:type="spellStart"/>
      <w:r>
        <w:t>AIDSinfo</w:t>
      </w:r>
      <w:proofErr w:type="spellEnd"/>
      <w:r>
        <w:t xml:space="preserve"> (2020) and show the mortality rates due to HIV/AIDS per year per 100,000 population (irrespective of HIV status). </w:t>
      </w:r>
    </w:p>
    <w:p w14:paraId="786F2744" w14:textId="77777777" w:rsidR="00C66344" w:rsidRDefault="00C66344" w:rsidP="00DB6CC6"/>
    <w:p w14:paraId="55232C10" w14:textId="2484CD19" w:rsidR="00DB6CC6" w:rsidRDefault="00DB6CC6" w:rsidP="00DB6CC6">
      <w:r>
        <w:rPr>
          <w:noProof/>
        </w:rPr>
        <w:lastRenderedPageBreak/>
        <w:drawing>
          <wp:inline distT="0" distB="0" distL="0" distR="0" wp14:anchorId="069E3258" wp14:editId="1621AA09">
            <wp:extent cx="6096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56EF89AB" w14:textId="45515681" w:rsidR="00DB6CC6" w:rsidRDefault="00DB6CC6" w:rsidP="00DB6CC6">
      <w:r w:rsidRPr="00DB6CC6">
        <w:rPr>
          <w:noProof/>
        </w:rPr>
        <w:drawing>
          <wp:inline distT="0" distB="0" distL="0" distR="0" wp14:anchorId="5C705DB7" wp14:editId="5DC820ED">
            <wp:extent cx="6096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0" cy="4572000"/>
                    </a:xfrm>
                    <a:prstGeom prst="rect">
                      <a:avLst/>
                    </a:prstGeom>
                  </pic:spPr>
                </pic:pic>
              </a:graphicData>
            </a:graphic>
          </wp:inline>
        </w:drawing>
      </w:r>
    </w:p>
    <w:p w14:paraId="38CB3AF5" w14:textId="77777777" w:rsidR="00DB6CC6" w:rsidRDefault="00DB6CC6" w:rsidP="00DB6CC6"/>
    <w:p w14:paraId="3E0B147D" w14:textId="77777777" w:rsidR="00DB6CC6" w:rsidRDefault="00DB6CC6" w:rsidP="00DB6CC6"/>
    <w:p w14:paraId="7EE63A35" w14:textId="12A96C26" w:rsidR="00DB6CC6" w:rsidRDefault="00DB6CC6" w:rsidP="00DB6CC6">
      <w:r>
        <w:rPr>
          <w:noProof/>
        </w:rPr>
        <w:lastRenderedPageBreak/>
        <w:drawing>
          <wp:inline distT="0" distB="0" distL="0" distR="0" wp14:anchorId="1031CA3F" wp14:editId="776E1672">
            <wp:extent cx="6096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08A6B7D6" w14:textId="77777777" w:rsidR="00DB6CC6" w:rsidRDefault="00DB6CC6" w:rsidP="00DB6CC6"/>
    <w:p w14:paraId="70B91E5E" w14:textId="08CEE8A6" w:rsidR="00DB6CC6" w:rsidRDefault="00DB6CC6" w:rsidP="00DB6CC6"/>
    <w:p w14:paraId="04BFDC62" w14:textId="4F76584B" w:rsidR="00DB6CC6" w:rsidRDefault="00DB6CC6" w:rsidP="00DB6CC6"/>
    <w:p w14:paraId="0A261409" w14:textId="54DF3963" w:rsidR="00DB6CC6" w:rsidRDefault="00DB6CC6" w:rsidP="00DB6CC6">
      <w:r>
        <w:rPr>
          <w:noProof/>
        </w:rPr>
        <w:lastRenderedPageBreak/>
        <w:drawing>
          <wp:inline distT="0" distB="0" distL="0" distR="0" wp14:anchorId="73BD1998" wp14:editId="3FC71E39">
            <wp:extent cx="6096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046AEFEF" w14:textId="1583647E" w:rsidR="00DB6CC6" w:rsidRDefault="00DB6CC6" w:rsidP="00DB6CC6"/>
    <w:p w14:paraId="6CB2DFE1" w14:textId="77777777" w:rsidR="00DB6CC6" w:rsidRPr="00DB6CC6" w:rsidRDefault="00DB6CC6" w:rsidP="00DB6CC6"/>
    <w:p w14:paraId="7106269B" w14:textId="77777777" w:rsidR="00EA606E" w:rsidRDefault="00EA606E" w:rsidP="00ED54E3">
      <w:pPr>
        <w:jc w:val="center"/>
        <w:rPr>
          <w:b/>
        </w:rPr>
      </w:pPr>
    </w:p>
    <w:p w14:paraId="7834ED70" w14:textId="1CD2FD9D" w:rsidR="00EA606E" w:rsidRDefault="00A24100" w:rsidP="00A24100">
      <w:pPr>
        <w:rPr>
          <w:b/>
        </w:rPr>
      </w:pPr>
      <w:r>
        <w:rPr>
          <w:b/>
        </w:rPr>
        <w:t>References</w:t>
      </w:r>
    </w:p>
    <w:p w14:paraId="752EF8B0" w14:textId="77777777" w:rsidR="005444F7" w:rsidRPr="005444F7" w:rsidRDefault="00EA606E" w:rsidP="005444F7">
      <w:pPr>
        <w:pStyle w:val="EndNoteBibliography"/>
        <w:spacing w:after="0"/>
      </w:pPr>
      <w:r>
        <w:rPr>
          <w:b/>
        </w:rPr>
        <w:fldChar w:fldCharType="begin"/>
      </w:r>
      <w:r>
        <w:rPr>
          <w:b/>
        </w:rPr>
        <w:instrText xml:space="preserve"> ADDIN EN.REFLIST </w:instrText>
      </w:r>
      <w:r>
        <w:rPr>
          <w:b/>
        </w:rPr>
        <w:fldChar w:fldCharType="separate"/>
      </w:r>
      <w:r w:rsidR="005444F7" w:rsidRPr="005444F7">
        <w:t>[Malawi], N. S. O. N. (2014). Malawi Biological and Behavioural Surveillance Survey (BBSS), 2013-2014. Lilongwe, Malawi.</w:t>
      </w:r>
    </w:p>
    <w:p w14:paraId="7477BB63" w14:textId="77777777" w:rsidR="005444F7" w:rsidRPr="005444F7" w:rsidRDefault="005444F7" w:rsidP="005444F7">
      <w:pPr>
        <w:pStyle w:val="EndNoteBibliography"/>
        <w:spacing w:after="0"/>
      </w:pPr>
      <w:r w:rsidRPr="005444F7">
        <w:t>Bengo, J. M., K. Chalulu, J. Chinkhumba, L. Kazembe, K. M. Maleta, F. Masiye and D. Mathanga (2010). Situation analysis of male circumcision in Malawi. Lilongwe, Malawi, College of Medicine.</w:t>
      </w:r>
    </w:p>
    <w:p w14:paraId="44C35557" w14:textId="77777777" w:rsidR="005444F7" w:rsidRPr="005444F7" w:rsidRDefault="005444F7" w:rsidP="005444F7">
      <w:pPr>
        <w:pStyle w:val="EndNoteBibliography"/>
        <w:spacing w:after="0"/>
      </w:pPr>
      <w:r w:rsidRPr="005444F7">
        <w:t>Chizimba, R. M. and G. T. Malera (2011). Counting the Uncatchables! Report of the situation analysis of the magnitude, behavioural patterns, contributing factors, current interventions and impact of sex work in HIV prevention in Malawi. F. Family Planning Association of Malawi. Lilongwe, Malawi.</w:t>
      </w:r>
    </w:p>
    <w:p w14:paraId="783F3590" w14:textId="77777777" w:rsidR="005444F7" w:rsidRPr="005444F7" w:rsidRDefault="005444F7" w:rsidP="005444F7">
      <w:pPr>
        <w:pStyle w:val="EndNoteBibliography"/>
        <w:spacing w:after="0"/>
      </w:pPr>
      <w:r w:rsidRPr="005444F7">
        <w:t xml:space="preserve">Fazito, E., P. Cuchi, M. Mahy and T. Brown (2012). "Analysis of duration of risk behaviour for key populations: a literature review." </w:t>
      </w:r>
      <w:r w:rsidRPr="005444F7">
        <w:rPr>
          <w:u w:val="single"/>
        </w:rPr>
        <w:t>Sexually Transmitted Infections</w:t>
      </w:r>
      <w:r w:rsidRPr="005444F7">
        <w:t xml:space="preserve"> </w:t>
      </w:r>
      <w:r w:rsidRPr="005444F7">
        <w:rPr>
          <w:b/>
        </w:rPr>
        <w:t>88</w:t>
      </w:r>
      <w:r w:rsidRPr="005444F7">
        <w:t>(Suppl 2): i24-i32.</w:t>
      </w:r>
    </w:p>
    <w:p w14:paraId="546C9667" w14:textId="77777777" w:rsidR="005444F7" w:rsidRPr="005444F7" w:rsidRDefault="005444F7" w:rsidP="005444F7">
      <w:pPr>
        <w:pStyle w:val="EndNoteBibliography"/>
        <w:spacing w:after="0"/>
      </w:pPr>
      <w:r w:rsidRPr="005444F7">
        <w:t xml:space="preserve">Ferrand, R. A., E. L. Corbett, R. Wood, J. Hargrove, C. E. Ndhlovu, F. M. Cowan, E. Gouws and B. G. Williams (2009). "AIDS among older children and adolescents in Southern Africa: projecting the time course and magnitude of the epidemic." </w:t>
      </w:r>
      <w:r w:rsidRPr="005444F7">
        <w:rPr>
          <w:u w:val="single"/>
        </w:rPr>
        <w:t>AIDS (London, England)</w:t>
      </w:r>
      <w:r w:rsidRPr="005444F7">
        <w:t xml:space="preserve"> </w:t>
      </w:r>
      <w:r w:rsidRPr="005444F7">
        <w:rPr>
          <w:b/>
        </w:rPr>
        <w:t>23</w:t>
      </w:r>
      <w:r w:rsidRPr="005444F7">
        <w:t>(15): 2039.</w:t>
      </w:r>
    </w:p>
    <w:p w14:paraId="283A191B" w14:textId="77777777" w:rsidR="005444F7" w:rsidRPr="005444F7" w:rsidRDefault="005444F7" w:rsidP="005444F7">
      <w:pPr>
        <w:pStyle w:val="EndNoteBibliography"/>
        <w:spacing w:after="0"/>
      </w:pPr>
      <w:r w:rsidRPr="005444F7">
        <w:t xml:space="preserve">Hallett, T. B., K. Singh, J. A. Smith, R. G. White, L. J. Abu-Raddad and G. P. Garnett (2008). "Understanding the impact of male circumcision interventions on the spread of HIV in southern Africa." </w:t>
      </w:r>
      <w:r w:rsidRPr="005444F7">
        <w:rPr>
          <w:u w:val="single"/>
        </w:rPr>
        <w:t>PloS one</w:t>
      </w:r>
      <w:r w:rsidRPr="005444F7">
        <w:t xml:space="preserve"> </w:t>
      </w:r>
      <w:r w:rsidRPr="005444F7">
        <w:rPr>
          <w:b/>
        </w:rPr>
        <w:t>3</w:t>
      </w:r>
      <w:r w:rsidRPr="005444F7">
        <w:t>(5): e2212.</w:t>
      </w:r>
    </w:p>
    <w:p w14:paraId="0E37DF15" w14:textId="77777777" w:rsidR="005444F7" w:rsidRPr="005444F7" w:rsidRDefault="005444F7" w:rsidP="005444F7">
      <w:pPr>
        <w:pStyle w:val="EndNoteBibliography"/>
        <w:spacing w:after="0"/>
      </w:pPr>
      <w:r w:rsidRPr="005444F7">
        <w:t xml:space="preserve">Hallett, T. B., B. Zaba, J. Todd, B. Lopman, W. Mwita, S. Biraro, S. Gregson, J. T. Boerma and A. Network (2008). "Estimating incidence from prevalence in generalised HIV epidemics: methods and validation." </w:t>
      </w:r>
      <w:r w:rsidRPr="005444F7">
        <w:rPr>
          <w:u w:val="single"/>
        </w:rPr>
        <w:t>PLoS Med</w:t>
      </w:r>
      <w:r w:rsidRPr="005444F7">
        <w:t xml:space="preserve"> </w:t>
      </w:r>
      <w:r w:rsidRPr="005444F7">
        <w:rPr>
          <w:b/>
        </w:rPr>
        <w:t>5</w:t>
      </w:r>
      <w:r w:rsidRPr="005444F7">
        <w:t>(4): e80.</w:t>
      </w:r>
    </w:p>
    <w:p w14:paraId="2E4A4297" w14:textId="77777777" w:rsidR="005444F7" w:rsidRPr="005444F7" w:rsidRDefault="005444F7" w:rsidP="005444F7">
      <w:pPr>
        <w:pStyle w:val="EndNoteBibliography"/>
        <w:spacing w:after="0"/>
      </w:pPr>
      <w:r w:rsidRPr="005444F7">
        <w:t xml:space="preserve">Joint United Nations Programme on HIV/AIDS (2017). AIDSinfo. Geneva, UNAIDS. </w:t>
      </w:r>
      <w:r w:rsidRPr="005444F7">
        <w:rPr>
          <w:b/>
        </w:rPr>
        <w:t>2018</w:t>
      </w:r>
      <w:r w:rsidRPr="005444F7">
        <w:t>.</w:t>
      </w:r>
    </w:p>
    <w:p w14:paraId="24BE5BDF" w14:textId="77777777" w:rsidR="005444F7" w:rsidRPr="005444F7" w:rsidRDefault="005444F7" w:rsidP="005444F7">
      <w:pPr>
        <w:pStyle w:val="EndNoteBibliography"/>
        <w:spacing w:after="0"/>
      </w:pPr>
      <w:r w:rsidRPr="005444F7">
        <w:t>Malawi, M. o. H. (2018). "Malawi Population‐based HIV Impact Assessment (MPHIA) 2015–16."</w:t>
      </w:r>
    </w:p>
    <w:p w14:paraId="788A4277" w14:textId="77777777" w:rsidR="005444F7" w:rsidRPr="005444F7" w:rsidRDefault="005444F7" w:rsidP="005444F7">
      <w:pPr>
        <w:pStyle w:val="EndNoteBibliography"/>
        <w:spacing w:after="0"/>
      </w:pPr>
      <w:r w:rsidRPr="005444F7">
        <w:t>National AIDS Commission (2014). National Strategic Plan for HIV and AIDS. Lilongwe, Malawi.</w:t>
      </w:r>
    </w:p>
    <w:p w14:paraId="7CF79559" w14:textId="77777777" w:rsidR="005444F7" w:rsidRPr="005444F7" w:rsidRDefault="005444F7" w:rsidP="005444F7">
      <w:pPr>
        <w:pStyle w:val="EndNoteBibliography"/>
        <w:spacing w:after="0"/>
      </w:pPr>
      <w:r w:rsidRPr="005444F7">
        <w:t>National Statistical Office (NSO) [Malawi], I. M. (2011). Malawi Demographic and Health Survey 2010. Zomba, Malawi, and Calverton, Maryland, USA.</w:t>
      </w:r>
    </w:p>
    <w:p w14:paraId="6E5D1A34" w14:textId="77777777" w:rsidR="005444F7" w:rsidRPr="005444F7" w:rsidRDefault="005444F7" w:rsidP="005444F7">
      <w:pPr>
        <w:pStyle w:val="EndNoteBibliography"/>
        <w:spacing w:after="0"/>
      </w:pPr>
      <w:r w:rsidRPr="005444F7">
        <w:t>PEPFAR (2017). "Malawi Country Operational Plan 2017. Strategic Direction Summary.".</w:t>
      </w:r>
    </w:p>
    <w:p w14:paraId="6F941040" w14:textId="77777777" w:rsidR="005444F7" w:rsidRPr="005444F7" w:rsidRDefault="005444F7" w:rsidP="005444F7">
      <w:pPr>
        <w:pStyle w:val="EndNoteBibliography"/>
        <w:spacing w:after="0"/>
      </w:pPr>
      <w:r w:rsidRPr="005444F7">
        <w:t xml:space="preserve">Rollins, N., M. Mahy, R. Becquet, L. Kuhn, T. Creek and L. Mofenson (2012). "Estimates of peripartum and postnatal mother-to-child transmission probabilities of HIV for use in Spectrum and other population-based models." </w:t>
      </w:r>
      <w:r w:rsidRPr="005444F7">
        <w:rPr>
          <w:u w:val="single"/>
        </w:rPr>
        <w:t>Sexually Transmitted Infections</w:t>
      </w:r>
      <w:r w:rsidRPr="005444F7">
        <w:t xml:space="preserve"> </w:t>
      </w:r>
      <w:r w:rsidRPr="005444F7">
        <w:rPr>
          <w:b/>
        </w:rPr>
        <w:t>88</w:t>
      </w:r>
      <w:r w:rsidRPr="005444F7">
        <w:t>(Suppl 2): i44-i51.</w:t>
      </w:r>
    </w:p>
    <w:p w14:paraId="25C6A71C" w14:textId="77777777" w:rsidR="005444F7" w:rsidRPr="005444F7" w:rsidRDefault="005444F7" w:rsidP="005444F7">
      <w:pPr>
        <w:pStyle w:val="EndNoteBibliography"/>
        <w:spacing w:after="0"/>
      </w:pPr>
      <w:r w:rsidRPr="005444F7">
        <w:lastRenderedPageBreak/>
        <w:t xml:space="preserve">Todd, J., J. R. Glynn, M. Marston, T. Lutalo, S. Biraro, W. Mwita, V. Suriyanon, R. Rangsin, K. E. Nelson and P. Sonnenberg (2007). "Time from HIV seroconversion to death: a collaborative analysis of eight studies in six low and middle-income countries before highly active antiretroviral therapy." </w:t>
      </w:r>
      <w:r w:rsidRPr="005444F7">
        <w:rPr>
          <w:u w:val="single"/>
        </w:rPr>
        <w:t>AIDS (London, England)</w:t>
      </w:r>
      <w:r w:rsidRPr="005444F7">
        <w:t xml:space="preserve"> </w:t>
      </w:r>
      <w:r w:rsidRPr="005444F7">
        <w:rPr>
          <w:b/>
        </w:rPr>
        <w:t>21</w:t>
      </w:r>
      <w:r w:rsidRPr="005444F7">
        <w:t>(Suppl 6): S55.</w:t>
      </w:r>
    </w:p>
    <w:p w14:paraId="446022B3" w14:textId="77777777" w:rsidR="005444F7" w:rsidRPr="005444F7" w:rsidRDefault="005444F7" w:rsidP="005444F7">
      <w:pPr>
        <w:pStyle w:val="EndNoteBibliography"/>
      </w:pPr>
      <w:r w:rsidRPr="005444F7">
        <w:t xml:space="preserve">Wright, R. J. and J. S. Stringer (2004). "Rapid testing strategies for HIV-1 serodiagnosis in high-prevalence African settings." </w:t>
      </w:r>
      <w:r w:rsidRPr="005444F7">
        <w:rPr>
          <w:u w:val="single"/>
        </w:rPr>
        <w:t>American journal of preventive medicine</w:t>
      </w:r>
      <w:r w:rsidRPr="005444F7">
        <w:t xml:space="preserve"> </w:t>
      </w:r>
      <w:r w:rsidRPr="005444F7">
        <w:rPr>
          <w:b/>
        </w:rPr>
        <w:t>27</w:t>
      </w:r>
      <w:r w:rsidRPr="005444F7">
        <w:t>(1): 42-48.</w:t>
      </w:r>
    </w:p>
    <w:p w14:paraId="4A0905C0" w14:textId="20052C3D" w:rsidR="00ED54E3" w:rsidRDefault="00EA606E" w:rsidP="00ED54E3">
      <w:pPr>
        <w:jc w:val="center"/>
        <w:rPr>
          <w:b/>
        </w:rPr>
      </w:pPr>
      <w:r>
        <w:rPr>
          <w:b/>
        </w:rPr>
        <w:fldChar w:fldCharType="end"/>
      </w:r>
    </w:p>
    <w:sectPr w:rsidR="00ED54E3" w:rsidSect="00AE25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F2C"/>
    <w:multiLevelType w:val="hybridMultilevel"/>
    <w:tmpl w:val="0360D65C"/>
    <w:lvl w:ilvl="0" w:tplc="78AE33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9DAD9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546B90"/>
    <w:multiLevelType w:val="hybridMultilevel"/>
    <w:tmpl w:val="1F2E8BE0"/>
    <w:lvl w:ilvl="0" w:tplc="0194C5A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C45B5"/>
    <w:multiLevelType w:val="hybridMultilevel"/>
    <w:tmpl w:val="F9501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84727D"/>
    <w:multiLevelType w:val="hybridMultilevel"/>
    <w:tmpl w:val="EBAE0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A8495D"/>
    <w:multiLevelType w:val="hybridMultilevel"/>
    <w:tmpl w:val="6262E69E"/>
    <w:lvl w:ilvl="0" w:tplc="78AE33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E54DB4"/>
    <w:multiLevelType w:val="hybridMultilevel"/>
    <w:tmpl w:val="5CA23834"/>
    <w:lvl w:ilvl="0" w:tplc="78AE33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xddfzvgd2s5def22lpt2vlxvrw59fw92zw&quot;&gt;hiv_library&lt;record-ids&gt;&lt;item&gt;1&lt;/item&gt;&lt;item&gt;2&lt;/item&gt;&lt;item&gt;8&lt;/item&gt;&lt;item&gt;9&lt;/item&gt;&lt;item&gt;10&lt;/item&gt;&lt;item&gt;11&lt;/item&gt;&lt;item&gt;12&lt;/item&gt;&lt;item&gt;13&lt;/item&gt;&lt;item&gt;14&lt;/item&gt;&lt;item&gt;16&lt;/item&gt;&lt;item&gt;17&lt;/item&gt;&lt;item&gt;18&lt;/item&gt;&lt;item&gt;20&lt;/item&gt;&lt;item&gt;21&lt;/item&gt;&lt;item&gt;22&lt;/item&gt;&lt;/record-ids&gt;&lt;/item&gt;&lt;/Libraries&gt;"/>
  </w:docVars>
  <w:rsids>
    <w:rsidRoot w:val="00ED54E3"/>
    <w:rsid w:val="00054F6D"/>
    <w:rsid w:val="000671F7"/>
    <w:rsid w:val="0007013F"/>
    <w:rsid w:val="00081B1F"/>
    <w:rsid w:val="00091159"/>
    <w:rsid w:val="000A7BAD"/>
    <w:rsid w:val="000B33EE"/>
    <w:rsid w:val="000B67EB"/>
    <w:rsid w:val="000D0670"/>
    <w:rsid w:val="000D72DB"/>
    <w:rsid w:val="000F0D6B"/>
    <w:rsid w:val="00116BEC"/>
    <w:rsid w:val="001432C4"/>
    <w:rsid w:val="00174830"/>
    <w:rsid w:val="001A3E2B"/>
    <w:rsid w:val="001C4CF8"/>
    <w:rsid w:val="001E7D27"/>
    <w:rsid w:val="001F77EA"/>
    <w:rsid w:val="00201333"/>
    <w:rsid w:val="00281D0C"/>
    <w:rsid w:val="00282F0D"/>
    <w:rsid w:val="00286E28"/>
    <w:rsid w:val="00295AE4"/>
    <w:rsid w:val="002B46F9"/>
    <w:rsid w:val="002E3C41"/>
    <w:rsid w:val="003136A7"/>
    <w:rsid w:val="00317AA0"/>
    <w:rsid w:val="00323000"/>
    <w:rsid w:val="00334D85"/>
    <w:rsid w:val="00336707"/>
    <w:rsid w:val="003765AD"/>
    <w:rsid w:val="003819CE"/>
    <w:rsid w:val="003865C6"/>
    <w:rsid w:val="00396618"/>
    <w:rsid w:val="00414EC6"/>
    <w:rsid w:val="00443129"/>
    <w:rsid w:val="00456334"/>
    <w:rsid w:val="0046244F"/>
    <w:rsid w:val="0046301D"/>
    <w:rsid w:val="00472E52"/>
    <w:rsid w:val="0047769C"/>
    <w:rsid w:val="004850F4"/>
    <w:rsid w:val="004C14A3"/>
    <w:rsid w:val="004C79A1"/>
    <w:rsid w:val="005444F7"/>
    <w:rsid w:val="0056323D"/>
    <w:rsid w:val="0058169A"/>
    <w:rsid w:val="00582169"/>
    <w:rsid w:val="00582FDB"/>
    <w:rsid w:val="005D2430"/>
    <w:rsid w:val="005E47B6"/>
    <w:rsid w:val="00606D5D"/>
    <w:rsid w:val="00634201"/>
    <w:rsid w:val="00676532"/>
    <w:rsid w:val="006D09ED"/>
    <w:rsid w:val="006D565A"/>
    <w:rsid w:val="00704376"/>
    <w:rsid w:val="007210DB"/>
    <w:rsid w:val="0072186D"/>
    <w:rsid w:val="00722B2D"/>
    <w:rsid w:val="00726B8B"/>
    <w:rsid w:val="00744BA3"/>
    <w:rsid w:val="00754838"/>
    <w:rsid w:val="00774E9D"/>
    <w:rsid w:val="007967AD"/>
    <w:rsid w:val="007C1FBC"/>
    <w:rsid w:val="007F51AF"/>
    <w:rsid w:val="008374FD"/>
    <w:rsid w:val="00846341"/>
    <w:rsid w:val="00846F6A"/>
    <w:rsid w:val="00850D47"/>
    <w:rsid w:val="0089417D"/>
    <w:rsid w:val="008B0A05"/>
    <w:rsid w:val="00922703"/>
    <w:rsid w:val="00930A26"/>
    <w:rsid w:val="009318F0"/>
    <w:rsid w:val="00984A66"/>
    <w:rsid w:val="00996083"/>
    <w:rsid w:val="009C3E03"/>
    <w:rsid w:val="009E220A"/>
    <w:rsid w:val="009F00B3"/>
    <w:rsid w:val="009F7807"/>
    <w:rsid w:val="00A0588B"/>
    <w:rsid w:val="00A05EF4"/>
    <w:rsid w:val="00A15329"/>
    <w:rsid w:val="00A153F0"/>
    <w:rsid w:val="00A24100"/>
    <w:rsid w:val="00A7396B"/>
    <w:rsid w:val="00A7591F"/>
    <w:rsid w:val="00A82B3F"/>
    <w:rsid w:val="00AC566D"/>
    <w:rsid w:val="00AD0679"/>
    <w:rsid w:val="00AE254B"/>
    <w:rsid w:val="00AE2FFB"/>
    <w:rsid w:val="00AE34ED"/>
    <w:rsid w:val="00B05F8C"/>
    <w:rsid w:val="00B443F3"/>
    <w:rsid w:val="00B915BC"/>
    <w:rsid w:val="00BA3D88"/>
    <w:rsid w:val="00BA43EC"/>
    <w:rsid w:val="00BC485A"/>
    <w:rsid w:val="00C03FD1"/>
    <w:rsid w:val="00C10095"/>
    <w:rsid w:val="00C13706"/>
    <w:rsid w:val="00C260F3"/>
    <w:rsid w:val="00C3297A"/>
    <w:rsid w:val="00C367FD"/>
    <w:rsid w:val="00C424F8"/>
    <w:rsid w:val="00C66344"/>
    <w:rsid w:val="00C92DCB"/>
    <w:rsid w:val="00CA0D14"/>
    <w:rsid w:val="00CC12D0"/>
    <w:rsid w:val="00CD2E5C"/>
    <w:rsid w:val="00D21548"/>
    <w:rsid w:val="00D338FE"/>
    <w:rsid w:val="00D4390E"/>
    <w:rsid w:val="00D64612"/>
    <w:rsid w:val="00D9397C"/>
    <w:rsid w:val="00DA6CC3"/>
    <w:rsid w:val="00DB6CC6"/>
    <w:rsid w:val="00DD320B"/>
    <w:rsid w:val="00DD5BD6"/>
    <w:rsid w:val="00DE7200"/>
    <w:rsid w:val="00E00E61"/>
    <w:rsid w:val="00E0556C"/>
    <w:rsid w:val="00E64F05"/>
    <w:rsid w:val="00E80EB1"/>
    <w:rsid w:val="00E86EC2"/>
    <w:rsid w:val="00EA606E"/>
    <w:rsid w:val="00EB30FD"/>
    <w:rsid w:val="00EC4FFF"/>
    <w:rsid w:val="00ED54E3"/>
    <w:rsid w:val="00EE2BFE"/>
    <w:rsid w:val="00F61E3F"/>
    <w:rsid w:val="00F80FE5"/>
    <w:rsid w:val="00F86E85"/>
    <w:rsid w:val="00FC16F4"/>
    <w:rsid w:val="00FD7930"/>
    <w:rsid w:val="00FE5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4B40"/>
  <w15:chartTrackingRefBased/>
  <w15:docId w15:val="{F065C556-F79F-412B-B0E5-DDD72245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E3"/>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ED54E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24"/>
      <w:szCs w:val="36"/>
    </w:rPr>
  </w:style>
  <w:style w:type="paragraph" w:styleId="Heading2">
    <w:name w:val="heading 2"/>
    <w:basedOn w:val="Normal"/>
    <w:next w:val="Normal"/>
    <w:link w:val="Heading2Char"/>
    <w:uiPriority w:val="9"/>
    <w:unhideWhenUsed/>
    <w:qFormat/>
    <w:rsid w:val="00ED54E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D54E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D54E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D54E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D54E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D54E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D54E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D54E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4E3"/>
    <w:rPr>
      <w:rFonts w:asciiTheme="majorHAnsi" w:eastAsiaTheme="majorEastAsia" w:hAnsiTheme="majorHAnsi" w:cstheme="majorBidi"/>
      <w:color w:val="2F5496" w:themeColor="accent1" w:themeShade="BF"/>
      <w:sz w:val="24"/>
      <w:szCs w:val="36"/>
    </w:rPr>
  </w:style>
  <w:style w:type="character" w:customStyle="1" w:styleId="Heading2Char">
    <w:name w:val="Heading 2 Char"/>
    <w:basedOn w:val="DefaultParagraphFont"/>
    <w:link w:val="Heading2"/>
    <w:uiPriority w:val="9"/>
    <w:rsid w:val="00ED54E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D54E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D54E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D54E3"/>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ED54E3"/>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ED54E3"/>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ED54E3"/>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ED54E3"/>
    <w:rPr>
      <w:rFonts w:asciiTheme="majorHAnsi" w:eastAsiaTheme="majorEastAsia" w:hAnsiTheme="majorHAnsi" w:cstheme="majorBidi"/>
      <w:i/>
      <w:iCs/>
      <w:smallCaps/>
      <w:color w:val="595959" w:themeColor="text1" w:themeTint="A6"/>
      <w:sz w:val="21"/>
      <w:szCs w:val="21"/>
    </w:rPr>
  </w:style>
  <w:style w:type="paragraph" w:customStyle="1" w:styleId="EndNoteBibliographyTitle">
    <w:name w:val="EndNote Bibliography Title"/>
    <w:basedOn w:val="Normal"/>
    <w:link w:val="EndNoteBibliographyTitleChar"/>
    <w:rsid w:val="00ED54E3"/>
    <w:pPr>
      <w:spacing w:after="0"/>
      <w:jc w:val="center"/>
    </w:pPr>
    <w:rPr>
      <w:rFonts w:ascii="Calibri" w:hAnsi="Calibri" w:cs="Calibri"/>
      <w:noProof/>
      <w:sz w:val="20"/>
      <w:lang w:val="en-US"/>
    </w:rPr>
  </w:style>
  <w:style w:type="character" w:customStyle="1" w:styleId="EndNoteBibliographyTitleChar">
    <w:name w:val="EndNote Bibliography Title Char"/>
    <w:basedOn w:val="DefaultParagraphFont"/>
    <w:link w:val="EndNoteBibliographyTitle"/>
    <w:rsid w:val="00ED54E3"/>
    <w:rPr>
      <w:rFonts w:ascii="Calibri" w:eastAsiaTheme="minorEastAsia" w:hAnsi="Calibri" w:cs="Calibri"/>
      <w:noProof/>
      <w:sz w:val="20"/>
      <w:szCs w:val="21"/>
      <w:lang w:val="en-US"/>
    </w:rPr>
  </w:style>
  <w:style w:type="paragraph" w:customStyle="1" w:styleId="EndNoteBibliography">
    <w:name w:val="EndNote Bibliography"/>
    <w:basedOn w:val="Normal"/>
    <w:link w:val="EndNoteBibliographyChar"/>
    <w:rsid w:val="00ED54E3"/>
    <w:pPr>
      <w:spacing w:line="240" w:lineRule="auto"/>
    </w:pPr>
    <w:rPr>
      <w:rFonts w:ascii="Calibri" w:hAnsi="Calibri" w:cs="Calibri"/>
      <w:noProof/>
      <w:sz w:val="20"/>
      <w:lang w:val="en-US"/>
    </w:rPr>
  </w:style>
  <w:style w:type="character" w:customStyle="1" w:styleId="EndNoteBibliographyChar">
    <w:name w:val="EndNote Bibliography Char"/>
    <w:basedOn w:val="DefaultParagraphFont"/>
    <w:link w:val="EndNoteBibliography"/>
    <w:rsid w:val="00ED54E3"/>
    <w:rPr>
      <w:rFonts w:ascii="Calibri" w:eastAsiaTheme="minorEastAsia" w:hAnsi="Calibri" w:cs="Calibri"/>
      <w:noProof/>
      <w:sz w:val="20"/>
      <w:szCs w:val="21"/>
      <w:lang w:val="en-US"/>
    </w:rPr>
  </w:style>
  <w:style w:type="character" w:styleId="Hyperlink">
    <w:name w:val="Hyperlink"/>
    <w:basedOn w:val="DefaultParagraphFont"/>
    <w:uiPriority w:val="99"/>
    <w:unhideWhenUsed/>
    <w:rsid w:val="00ED54E3"/>
    <w:rPr>
      <w:color w:val="0563C1" w:themeColor="hyperlink"/>
      <w:u w:val="single"/>
    </w:rPr>
  </w:style>
  <w:style w:type="character" w:styleId="PlaceholderText">
    <w:name w:val="Placeholder Text"/>
    <w:basedOn w:val="DefaultParagraphFont"/>
    <w:uiPriority w:val="99"/>
    <w:semiHidden/>
    <w:rsid w:val="00ED54E3"/>
    <w:rPr>
      <w:color w:val="808080"/>
    </w:rPr>
  </w:style>
  <w:style w:type="paragraph" w:styleId="Subtitle">
    <w:name w:val="Subtitle"/>
    <w:basedOn w:val="Normal"/>
    <w:next w:val="Normal"/>
    <w:link w:val="SubtitleChar"/>
    <w:uiPriority w:val="11"/>
    <w:qFormat/>
    <w:rsid w:val="00ED54E3"/>
    <w:pPr>
      <w:numPr>
        <w:ilvl w:val="1"/>
      </w:numPr>
      <w:spacing w:after="240" w:line="240" w:lineRule="auto"/>
    </w:pPr>
    <w:rPr>
      <w:rFonts w:asciiTheme="majorHAnsi" w:eastAsiaTheme="majorEastAsia" w:hAnsiTheme="majorHAnsi" w:cstheme="majorBidi"/>
      <w:color w:val="404040" w:themeColor="text1" w:themeTint="BF"/>
      <w:sz w:val="24"/>
      <w:szCs w:val="30"/>
    </w:rPr>
  </w:style>
  <w:style w:type="character" w:customStyle="1" w:styleId="SubtitleChar">
    <w:name w:val="Subtitle Char"/>
    <w:basedOn w:val="DefaultParagraphFont"/>
    <w:link w:val="Subtitle"/>
    <w:uiPriority w:val="11"/>
    <w:rsid w:val="00ED54E3"/>
    <w:rPr>
      <w:rFonts w:asciiTheme="majorHAnsi" w:eastAsiaTheme="majorEastAsia" w:hAnsiTheme="majorHAnsi" w:cstheme="majorBidi"/>
      <w:color w:val="404040" w:themeColor="text1" w:themeTint="BF"/>
      <w:sz w:val="24"/>
      <w:szCs w:val="30"/>
    </w:rPr>
  </w:style>
  <w:style w:type="paragraph" w:styleId="Caption">
    <w:name w:val="caption"/>
    <w:basedOn w:val="Normal"/>
    <w:next w:val="Normal"/>
    <w:uiPriority w:val="35"/>
    <w:semiHidden/>
    <w:unhideWhenUsed/>
    <w:qFormat/>
    <w:rsid w:val="00ED54E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D54E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D54E3"/>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ED54E3"/>
    <w:rPr>
      <w:b/>
      <w:bCs/>
    </w:rPr>
  </w:style>
  <w:style w:type="character" w:styleId="Emphasis">
    <w:name w:val="Emphasis"/>
    <w:basedOn w:val="DefaultParagraphFont"/>
    <w:uiPriority w:val="20"/>
    <w:qFormat/>
    <w:rsid w:val="00ED54E3"/>
    <w:rPr>
      <w:i/>
      <w:iCs/>
    </w:rPr>
  </w:style>
  <w:style w:type="paragraph" w:styleId="NoSpacing">
    <w:name w:val="No Spacing"/>
    <w:uiPriority w:val="1"/>
    <w:qFormat/>
    <w:rsid w:val="00ED54E3"/>
    <w:pPr>
      <w:spacing w:after="0" w:line="240" w:lineRule="auto"/>
    </w:pPr>
    <w:rPr>
      <w:rFonts w:eastAsiaTheme="minorEastAsia"/>
      <w:sz w:val="21"/>
      <w:szCs w:val="21"/>
    </w:rPr>
  </w:style>
  <w:style w:type="paragraph" w:styleId="Quote">
    <w:name w:val="Quote"/>
    <w:basedOn w:val="Normal"/>
    <w:next w:val="Normal"/>
    <w:link w:val="QuoteChar"/>
    <w:uiPriority w:val="29"/>
    <w:qFormat/>
    <w:rsid w:val="00ED54E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D54E3"/>
    <w:rPr>
      <w:rFonts w:eastAsiaTheme="minorEastAsia"/>
      <w:i/>
      <w:iCs/>
      <w:sz w:val="21"/>
      <w:szCs w:val="21"/>
    </w:rPr>
  </w:style>
  <w:style w:type="paragraph" w:styleId="IntenseQuote">
    <w:name w:val="Intense Quote"/>
    <w:basedOn w:val="Normal"/>
    <w:next w:val="Normal"/>
    <w:link w:val="IntenseQuoteChar"/>
    <w:uiPriority w:val="30"/>
    <w:qFormat/>
    <w:rsid w:val="00ED54E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D54E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D54E3"/>
    <w:rPr>
      <w:i/>
      <w:iCs/>
      <w:color w:val="595959" w:themeColor="text1" w:themeTint="A6"/>
    </w:rPr>
  </w:style>
  <w:style w:type="character" w:styleId="IntenseEmphasis">
    <w:name w:val="Intense Emphasis"/>
    <w:basedOn w:val="DefaultParagraphFont"/>
    <w:uiPriority w:val="21"/>
    <w:qFormat/>
    <w:rsid w:val="00ED54E3"/>
    <w:rPr>
      <w:b/>
      <w:bCs/>
      <w:i/>
      <w:iCs/>
    </w:rPr>
  </w:style>
  <w:style w:type="character" w:styleId="SubtleReference">
    <w:name w:val="Subtle Reference"/>
    <w:basedOn w:val="DefaultParagraphFont"/>
    <w:uiPriority w:val="31"/>
    <w:qFormat/>
    <w:rsid w:val="00ED54E3"/>
    <w:rPr>
      <w:smallCaps/>
      <w:color w:val="404040" w:themeColor="text1" w:themeTint="BF"/>
    </w:rPr>
  </w:style>
  <w:style w:type="character" w:styleId="IntenseReference">
    <w:name w:val="Intense Reference"/>
    <w:basedOn w:val="DefaultParagraphFont"/>
    <w:uiPriority w:val="32"/>
    <w:qFormat/>
    <w:rsid w:val="00ED54E3"/>
    <w:rPr>
      <w:b/>
      <w:bCs/>
      <w:smallCaps/>
      <w:u w:val="single"/>
    </w:rPr>
  </w:style>
  <w:style w:type="character" w:styleId="BookTitle">
    <w:name w:val="Book Title"/>
    <w:basedOn w:val="DefaultParagraphFont"/>
    <w:uiPriority w:val="33"/>
    <w:qFormat/>
    <w:rsid w:val="00ED54E3"/>
    <w:rPr>
      <w:b/>
      <w:bCs/>
      <w:smallCaps/>
    </w:rPr>
  </w:style>
  <w:style w:type="paragraph" w:styleId="TOCHeading">
    <w:name w:val="TOC Heading"/>
    <w:basedOn w:val="Heading1"/>
    <w:next w:val="Normal"/>
    <w:uiPriority w:val="39"/>
    <w:semiHidden/>
    <w:unhideWhenUsed/>
    <w:qFormat/>
    <w:rsid w:val="00ED54E3"/>
    <w:pPr>
      <w:outlineLvl w:val="9"/>
    </w:pPr>
  </w:style>
  <w:style w:type="paragraph" w:styleId="ListParagraph">
    <w:name w:val="List Paragraph"/>
    <w:basedOn w:val="Normal"/>
    <w:uiPriority w:val="34"/>
    <w:qFormat/>
    <w:rsid w:val="00ED54E3"/>
    <w:pPr>
      <w:ind w:left="720"/>
      <w:contextualSpacing/>
    </w:pPr>
  </w:style>
  <w:style w:type="table" w:styleId="TableGrid">
    <w:name w:val="Table Grid"/>
    <w:basedOn w:val="TableNormal"/>
    <w:uiPriority w:val="39"/>
    <w:rsid w:val="00ED54E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D54E3"/>
    <w:rPr>
      <w:sz w:val="16"/>
      <w:szCs w:val="16"/>
    </w:rPr>
  </w:style>
  <w:style w:type="paragraph" w:styleId="CommentText">
    <w:name w:val="annotation text"/>
    <w:basedOn w:val="Normal"/>
    <w:link w:val="CommentTextChar"/>
    <w:uiPriority w:val="99"/>
    <w:semiHidden/>
    <w:unhideWhenUsed/>
    <w:rsid w:val="00ED54E3"/>
    <w:pPr>
      <w:spacing w:line="240" w:lineRule="auto"/>
    </w:pPr>
    <w:rPr>
      <w:sz w:val="20"/>
      <w:szCs w:val="20"/>
    </w:rPr>
  </w:style>
  <w:style w:type="character" w:customStyle="1" w:styleId="CommentTextChar">
    <w:name w:val="Comment Text Char"/>
    <w:basedOn w:val="DefaultParagraphFont"/>
    <w:link w:val="CommentText"/>
    <w:uiPriority w:val="99"/>
    <w:semiHidden/>
    <w:rsid w:val="00ED54E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D54E3"/>
    <w:rPr>
      <w:b/>
      <w:bCs/>
    </w:rPr>
  </w:style>
  <w:style w:type="character" w:customStyle="1" w:styleId="CommentSubjectChar">
    <w:name w:val="Comment Subject Char"/>
    <w:basedOn w:val="CommentTextChar"/>
    <w:link w:val="CommentSubject"/>
    <w:uiPriority w:val="99"/>
    <w:semiHidden/>
    <w:rsid w:val="00ED54E3"/>
    <w:rPr>
      <w:rFonts w:eastAsiaTheme="minorEastAsia"/>
      <w:b/>
      <w:bCs/>
      <w:sz w:val="20"/>
      <w:szCs w:val="20"/>
    </w:rPr>
  </w:style>
  <w:style w:type="paragraph" w:styleId="BalloonText">
    <w:name w:val="Balloon Text"/>
    <w:basedOn w:val="Normal"/>
    <w:link w:val="BalloonTextChar"/>
    <w:uiPriority w:val="99"/>
    <w:semiHidden/>
    <w:unhideWhenUsed/>
    <w:rsid w:val="00ED5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E3"/>
    <w:rPr>
      <w:rFonts w:ascii="Segoe UI" w:eastAsiaTheme="minorEastAsia" w:hAnsi="Segoe UI" w:cs="Segoe UI"/>
      <w:sz w:val="18"/>
      <w:szCs w:val="18"/>
    </w:rPr>
  </w:style>
  <w:style w:type="table" w:styleId="GridTable1Light-Accent2">
    <w:name w:val="Grid Table 1 Light Accent 2"/>
    <w:basedOn w:val="TableNormal"/>
    <w:uiPriority w:val="46"/>
    <w:rsid w:val="00ED54E3"/>
    <w:pPr>
      <w:spacing w:after="0" w:line="240" w:lineRule="auto"/>
    </w:pPr>
    <w:rPr>
      <w:rFonts w:eastAsiaTheme="minorEastAsia"/>
      <w:sz w:val="21"/>
      <w:szCs w:val="21"/>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D54E3"/>
    <w:rPr>
      <w:color w:val="954F72" w:themeColor="followedHyperlink"/>
      <w:u w:val="single"/>
    </w:rPr>
  </w:style>
  <w:style w:type="table" w:styleId="TableGridLight">
    <w:name w:val="Grid Table Light"/>
    <w:basedOn w:val="TableNormal"/>
    <w:uiPriority w:val="40"/>
    <w:rsid w:val="00ED54E3"/>
    <w:pPr>
      <w:spacing w:after="0" w:line="240" w:lineRule="auto"/>
    </w:pPr>
    <w:rPr>
      <w:rFonts w:eastAsiaTheme="minorEastAsia"/>
      <w:sz w:val="21"/>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
    <w:name w:val="p"/>
    <w:basedOn w:val="Normal"/>
    <w:rsid w:val="00ED54E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1Light-Accent4">
    <w:name w:val="Grid Table 1 Light Accent 4"/>
    <w:basedOn w:val="TableNormal"/>
    <w:uiPriority w:val="46"/>
    <w:rsid w:val="00ED54E3"/>
    <w:pPr>
      <w:spacing w:after="0" w:line="240" w:lineRule="auto"/>
    </w:pPr>
    <w:rPr>
      <w:rFonts w:eastAsiaTheme="minorEastAsia"/>
      <w:sz w:val="21"/>
      <w:szCs w:val="21"/>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54E3"/>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79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4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Prevalence of HIV in children</a:t>
            </a:r>
            <a:r>
              <a:rPr lang="en-GB" baseline="0"/>
              <a:t> 2010 (Spectrum)</a:t>
            </a:r>
            <a:endParaRPr lang="en-GB"/>
          </a:p>
        </c:rich>
      </c:tx>
      <c:layout>
        <c:manualLayout>
          <c:xMode val="edge"/>
          <c:yMode val="edge"/>
          <c:x val="0.18947077031072693"/>
          <c:y val="1.87793396375833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2039195100612424"/>
          <c:y val="0.16485097465583601"/>
          <c:w val="0.8314180727409074"/>
          <c:h val="0.69296193707011922"/>
        </c:manualLayout>
      </c:layout>
      <c:lineChart>
        <c:grouping val="standard"/>
        <c:varyColors val="0"/>
        <c:ser>
          <c:idx val="0"/>
          <c:order val="0"/>
          <c:tx>
            <c:v>female</c:v>
          </c:tx>
          <c:spPr>
            <a:ln w="28575" cap="rnd">
              <a:solidFill>
                <a:schemeClr val="accent1"/>
              </a:solidFill>
              <a:round/>
            </a:ln>
            <a:effectLst/>
          </c:spPr>
          <c:marker>
            <c:symbol val="none"/>
          </c:marker>
          <c:cat>
            <c:numRef>
              <c:f>'prevalence spectrum'!$A$2:$A$16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cat>
          <c:val>
            <c:numRef>
              <c:f>'prevalence spectrum'!$G$2:$G$16</c:f>
              <c:numCache>
                <c:formatCode>General</c:formatCode>
                <c:ptCount val="15"/>
                <c:pt idx="0">
                  <c:v>1.6913500898776801E-2</c:v>
                </c:pt>
                <c:pt idx="1">
                  <c:v>1.8574611360052101E-2</c:v>
                </c:pt>
                <c:pt idx="2">
                  <c:v>2.0222056305277299E-2</c:v>
                </c:pt>
                <c:pt idx="3">
                  <c:v>2.13268316732531E-2</c:v>
                </c:pt>
                <c:pt idx="4">
                  <c:v>2.1510906966822601E-2</c:v>
                </c:pt>
                <c:pt idx="5">
                  <c:v>2.2330921258674401E-2</c:v>
                </c:pt>
                <c:pt idx="6">
                  <c:v>2.2997890725998501E-2</c:v>
                </c:pt>
                <c:pt idx="7">
                  <c:v>2.3411239323168902E-2</c:v>
                </c:pt>
                <c:pt idx="8">
                  <c:v>2.3587522836457101E-2</c:v>
                </c:pt>
                <c:pt idx="9">
                  <c:v>2.3623544691312202E-2</c:v>
                </c:pt>
                <c:pt idx="10">
                  <c:v>2.3417139535659302E-2</c:v>
                </c:pt>
                <c:pt idx="11">
                  <c:v>2.2945803127551099E-2</c:v>
                </c:pt>
                <c:pt idx="12">
                  <c:v>2.21730380274127E-2</c:v>
                </c:pt>
                <c:pt idx="13">
                  <c:v>2.11777579345621E-2</c:v>
                </c:pt>
                <c:pt idx="14">
                  <c:v>1.9909540741213198E-2</c:v>
                </c:pt>
              </c:numCache>
            </c:numRef>
          </c:val>
          <c:smooth val="0"/>
          <c:extLst>
            <c:ext xmlns:c16="http://schemas.microsoft.com/office/drawing/2014/chart" uri="{C3380CC4-5D6E-409C-BE32-E72D297353CC}">
              <c16:uniqueId val="{00000000-FE1B-44C6-AC8D-50E006F41D82}"/>
            </c:ext>
          </c:extLst>
        </c:ser>
        <c:ser>
          <c:idx val="1"/>
          <c:order val="1"/>
          <c:tx>
            <c:v>male</c:v>
          </c:tx>
          <c:spPr>
            <a:ln w="28575" cap="rnd">
              <a:solidFill>
                <a:schemeClr val="accent2"/>
              </a:solidFill>
              <a:round/>
            </a:ln>
            <a:effectLst/>
          </c:spPr>
          <c:marker>
            <c:symbol val="none"/>
          </c:marker>
          <c:val>
            <c:numRef>
              <c:f>'prevalence spectrum'!$G$974:$G$988</c:f>
              <c:numCache>
                <c:formatCode>General</c:formatCode>
                <c:ptCount val="15"/>
                <c:pt idx="0">
                  <c:v>1.70285356670603E-2</c:v>
                </c:pt>
                <c:pt idx="1">
                  <c:v>1.86682123974636E-2</c:v>
                </c:pt>
                <c:pt idx="2">
                  <c:v>2.0284094444383401E-2</c:v>
                </c:pt>
                <c:pt idx="3">
                  <c:v>2.1418678274634E-2</c:v>
                </c:pt>
                <c:pt idx="4">
                  <c:v>2.1640185532418799E-2</c:v>
                </c:pt>
                <c:pt idx="5">
                  <c:v>2.2449822011696999E-2</c:v>
                </c:pt>
                <c:pt idx="6">
                  <c:v>2.3102101150881599E-2</c:v>
                </c:pt>
                <c:pt idx="7">
                  <c:v>2.3496863018473299E-2</c:v>
                </c:pt>
                <c:pt idx="8">
                  <c:v>2.36604598351128E-2</c:v>
                </c:pt>
                <c:pt idx="9">
                  <c:v>2.36865070020639E-2</c:v>
                </c:pt>
                <c:pt idx="10">
                  <c:v>2.34720403787404E-2</c:v>
                </c:pt>
                <c:pt idx="11">
                  <c:v>2.2978325823122401E-2</c:v>
                </c:pt>
                <c:pt idx="12">
                  <c:v>2.2211337578344401E-2</c:v>
                </c:pt>
                <c:pt idx="13">
                  <c:v>2.1245161024627299E-2</c:v>
                </c:pt>
                <c:pt idx="14">
                  <c:v>2.0018063008022099E-2</c:v>
                </c:pt>
              </c:numCache>
            </c:numRef>
          </c:val>
          <c:smooth val="0"/>
          <c:extLst>
            <c:ext xmlns:c16="http://schemas.microsoft.com/office/drawing/2014/chart" uri="{C3380CC4-5D6E-409C-BE32-E72D297353CC}">
              <c16:uniqueId val="{00000001-FE1B-44C6-AC8D-50E006F41D82}"/>
            </c:ext>
          </c:extLst>
        </c:ser>
        <c:dLbls>
          <c:showLegendKey val="0"/>
          <c:showVal val="0"/>
          <c:showCatName val="0"/>
          <c:showSerName val="0"/>
          <c:showPercent val="0"/>
          <c:showBubbleSize val="0"/>
        </c:dLbls>
        <c:smooth val="0"/>
        <c:axId val="151069352"/>
        <c:axId val="151072880"/>
      </c:lineChart>
      <c:catAx>
        <c:axId val="151069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Age,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1072880"/>
        <c:crosses val="autoZero"/>
        <c:auto val="1"/>
        <c:lblAlgn val="ctr"/>
        <c:lblOffset val="100"/>
        <c:noMultiLvlLbl val="0"/>
      </c:catAx>
      <c:valAx>
        <c:axId val="151072880"/>
        <c:scaling>
          <c:orientation val="minMax"/>
          <c:min val="1.5000000000000003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Prevalence</a:t>
                </a:r>
              </a:p>
            </c:rich>
          </c:tx>
          <c:layout>
            <c:manualLayout>
              <c:xMode val="edge"/>
              <c:yMode val="edge"/>
              <c:x val="8.2623269282408769E-3"/>
              <c:y val="0.401229381336589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1069352"/>
        <c:crosses val="autoZero"/>
        <c:crossBetween val="between"/>
      </c:valAx>
      <c:spPr>
        <a:noFill/>
        <a:ln>
          <a:noFill/>
        </a:ln>
        <a:effectLst/>
      </c:spPr>
    </c:plotArea>
    <c:legend>
      <c:legendPos val="r"/>
      <c:layout>
        <c:manualLayout>
          <c:xMode val="edge"/>
          <c:yMode val="edge"/>
          <c:x val="0.85538829765000235"/>
          <c:y val="9.1133030016055286E-2"/>
          <c:w val="0.11775913983321484"/>
          <c:h val="0.171962279418629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Estimated number of female</a:t>
            </a:r>
            <a:r>
              <a:rPr lang="en-GB" baseline="0"/>
              <a:t> sex workers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noFill/>
              <a:round/>
            </a:ln>
            <a:effectLst/>
          </c:spPr>
          <c:marker>
            <c:symbol val="diamond"/>
            <c:size val="8"/>
            <c:spPr>
              <a:solidFill>
                <a:schemeClr val="accent1"/>
              </a:solidFill>
              <a:ln w="9525">
                <a:solidFill>
                  <a:schemeClr val="accent1"/>
                </a:solidFill>
              </a:ln>
              <a:effectLst/>
            </c:spPr>
          </c:marker>
          <c:dPt>
            <c:idx val="0"/>
            <c:marker>
              <c:symbol val="diamond"/>
              <c:size val="8"/>
              <c:spPr>
                <a:solidFill>
                  <a:schemeClr val="accent6">
                    <a:lumMod val="60000"/>
                    <a:lumOff val="40000"/>
                  </a:schemeClr>
                </a:solidFill>
                <a:ln w="9525">
                  <a:solidFill>
                    <a:schemeClr val="accent6">
                      <a:lumMod val="60000"/>
                      <a:lumOff val="40000"/>
                    </a:schemeClr>
                  </a:solidFill>
                </a:ln>
                <a:effectLst/>
              </c:spPr>
            </c:marker>
            <c:bubble3D val="0"/>
            <c:extLst>
              <c:ext xmlns:c16="http://schemas.microsoft.com/office/drawing/2014/chart" uri="{C3380CC4-5D6E-409C-BE32-E72D297353CC}">
                <c16:uniqueId val="{00000000-201F-482C-9013-E580A7E1B224}"/>
              </c:ext>
            </c:extLst>
          </c:dPt>
          <c:dPt>
            <c:idx val="1"/>
            <c:marker>
              <c:symbol val="diamond"/>
              <c:size val="8"/>
              <c:spPr>
                <a:solidFill>
                  <a:schemeClr val="accent6">
                    <a:lumMod val="60000"/>
                    <a:lumOff val="40000"/>
                  </a:schemeClr>
                </a:solidFill>
                <a:ln w="9525">
                  <a:solidFill>
                    <a:schemeClr val="accent6">
                      <a:lumMod val="60000"/>
                      <a:lumOff val="40000"/>
                    </a:schemeClr>
                  </a:solidFill>
                </a:ln>
                <a:effectLst/>
              </c:spPr>
            </c:marker>
            <c:bubble3D val="0"/>
            <c:extLst>
              <c:ext xmlns:c16="http://schemas.microsoft.com/office/drawing/2014/chart" uri="{C3380CC4-5D6E-409C-BE32-E72D297353CC}">
                <c16:uniqueId val="{00000001-201F-482C-9013-E580A7E1B224}"/>
              </c:ext>
            </c:extLst>
          </c:dPt>
          <c:dPt>
            <c:idx val="2"/>
            <c:marker>
              <c:symbol val="diamond"/>
              <c:size val="8"/>
              <c:spPr>
                <a:solidFill>
                  <a:schemeClr val="accent6">
                    <a:lumMod val="60000"/>
                    <a:lumOff val="40000"/>
                  </a:schemeClr>
                </a:solidFill>
                <a:ln w="9525">
                  <a:solidFill>
                    <a:schemeClr val="accent6">
                      <a:lumMod val="60000"/>
                      <a:lumOff val="40000"/>
                    </a:schemeClr>
                  </a:solidFill>
                </a:ln>
                <a:effectLst/>
              </c:spPr>
            </c:marker>
            <c:bubble3D val="0"/>
            <c:extLst>
              <c:ext xmlns:c16="http://schemas.microsoft.com/office/drawing/2014/chart" uri="{C3380CC4-5D6E-409C-BE32-E72D297353CC}">
                <c16:uniqueId val="{00000002-201F-482C-9013-E580A7E1B224}"/>
              </c:ext>
            </c:extLst>
          </c:dPt>
          <c:dPt>
            <c:idx val="3"/>
            <c:marker>
              <c:symbol val="diamond"/>
              <c:size val="8"/>
              <c:spPr>
                <a:solidFill>
                  <a:schemeClr val="accent6">
                    <a:lumMod val="60000"/>
                    <a:lumOff val="40000"/>
                  </a:schemeClr>
                </a:solidFill>
                <a:ln w="9525">
                  <a:solidFill>
                    <a:schemeClr val="accent6">
                      <a:lumMod val="60000"/>
                      <a:lumOff val="40000"/>
                    </a:schemeClr>
                  </a:solidFill>
                </a:ln>
                <a:effectLst/>
              </c:spPr>
            </c:marker>
            <c:bubble3D val="0"/>
            <c:spPr>
              <a:ln w="19050" cap="rnd">
                <a:noFill/>
                <a:round/>
              </a:ln>
              <a:effectLst/>
            </c:spPr>
            <c:extLst>
              <c:ext xmlns:c16="http://schemas.microsoft.com/office/drawing/2014/chart" uri="{C3380CC4-5D6E-409C-BE32-E72D297353CC}">
                <c16:uniqueId val="{00000004-201F-482C-9013-E580A7E1B224}"/>
              </c:ext>
            </c:extLst>
          </c:dPt>
          <c:dPt>
            <c:idx val="4"/>
            <c:marker>
              <c:symbol val="diamond"/>
              <c:size val="8"/>
              <c:spPr>
                <a:solidFill>
                  <a:srgbClr val="92D52F"/>
                </a:solidFill>
                <a:ln w="9525">
                  <a:solidFill>
                    <a:srgbClr val="92D52F"/>
                  </a:solidFill>
                </a:ln>
                <a:effectLst/>
              </c:spPr>
            </c:marker>
            <c:bubble3D val="0"/>
            <c:extLst>
              <c:ext xmlns:c16="http://schemas.microsoft.com/office/drawing/2014/chart" uri="{C3380CC4-5D6E-409C-BE32-E72D297353CC}">
                <c16:uniqueId val="{00000005-201F-482C-9013-E580A7E1B224}"/>
              </c:ext>
            </c:extLst>
          </c:dPt>
          <c:dPt>
            <c:idx val="5"/>
            <c:marker>
              <c:symbol val="diamond"/>
              <c:size val="8"/>
              <c:spPr>
                <a:solidFill>
                  <a:schemeClr val="tx2">
                    <a:lumMod val="60000"/>
                    <a:lumOff val="40000"/>
                  </a:schemeClr>
                </a:solidFill>
                <a:ln w="9525">
                  <a:solidFill>
                    <a:schemeClr val="tx2">
                      <a:lumMod val="60000"/>
                      <a:lumOff val="40000"/>
                    </a:schemeClr>
                  </a:solidFill>
                </a:ln>
                <a:effectLst/>
              </c:spPr>
            </c:marker>
            <c:bubble3D val="0"/>
            <c:extLst>
              <c:ext xmlns:c16="http://schemas.microsoft.com/office/drawing/2014/chart" uri="{C3380CC4-5D6E-409C-BE32-E72D297353CC}">
                <c16:uniqueId val="{00000006-201F-482C-9013-E580A7E1B224}"/>
              </c:ext>
            </c:extLst>
          </c:dPt>
          <c:dLbls>
            <c:dLbl>
              <c:idx val="0"/>
              <c:tx>
                <c:rich>
                  <a:bodyPr/>
                  <a:lstStyle/>
                  <a:p>
                    <a:fld id="{E42DBF4D-72FC-4A63-8725-CAC9BA1B6856}" type="CELLRANGE">
                      <a:rPr lang="en-GB"/>
                      <a:pPr/>
                      <a:t>[CELLRANGE]</a:t>
                    </a:fld>
                    <a:r>
                      <a:rPr lang="en-GB" baseline="0"/>
                      <a:t>, </a:t>
                    </a:r>
                    <a:fld id="{D3764E11-320E-4CBF-B37F-7A707BECC7B5}" type="YVALUE">
                      <a:rPr lang="en-GB" baseline="0"/>
                      <a:pPr/>
                      <a:t>[Y VALUE]</a:t>
                    </a:fld>
                    <a:endParaRPr lang="en-GB"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201F-482C-9013-E580A7E1B224}"/>
                </c:ext>
              </c:extLst>
            </c:dLbl>
            <c:dLbl>
              <c:idx val="1"/>
              <c:tx>
                <c:rich>
                  <a:bodyPr/>
                  <a:lstStyle/>
                  <a:p>
                    <a:fld id="{D41DAEF1-384B-4C40-858E-31168926378F}" type="CELLRANGE">
                      <a:rPr lang="en-GB"/>
                      <a:pPr/>
                      <a:t>[CELLRANGE]</a:t>
                    </a:fld>
                    <a:r>
                      <a:rPr lang="en-GB" baseline="0"/>
                      <a:t>, </a:t>
                    </a:r>
                    <a:fld id="{D704A911-3653-441D-AAEF-611B5FA38DE8}" type="YVALUE">
                      <a:rPr lang="en-GB" baseline="0"/>
                      <a:pPr/>
                      <a:t>[Y VALUE]</a:t>
                    </a:fld>
                    <a:endParaRPr lang="en-GB"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01F-482C-9013-E580A7E1B224}"/>
                </c:ext>
              </c:extLst>
            </c:dLbl>
            <c:dLbl>
              <c:idx val="2"/>
              <c:tx>
                <c:rich>
                  <a:bodyPr/>
                  <a:lstStyle/>
                  <a:p>
                    <a:fld id="{DB3F81DD-68C3-4CE4-8B2B-0A7285C59AD9}" type="CELLRANGE">
                      <a:rPr lang="en-GB"/>
                      <a:pPr/>
                      <a:t>[CELLRANGE]</a:t>
                    </a:fld>
                    <a:r>
                      <a:rPr lang="en-GB" baseline="0"/>
                      <a:t>, </a:t>
                    </a:r>
                    <a:fld id="{5F8B4278-349B-4966-933E-D4FAAEE9B6FF}" type="YVALUE">
                      <a:rPr lang="en-GB" baseline="0"/>
                      <a:pPr/>
                      <a:t>[Y VALUE]</a:t>
                    </a:fld>
                    <a:endParaRPr lang="en-GB"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01F-482C-9013-E580A7E1B224}"/>
                </c:ext>
              </c:extLst>
            </c:dLbl>
            <c:dLbl>
              <c:idx val="3"/>
              <c:tx>
                <c:rich>
                  <a:bodyPr/>
                  <a:lstStyle/>
                  <a:p>
                    <a:fld id="{1629D977-BC49-4B5C-B08F-969821359530}" type="CELLRANGE">
                      <a:rPr lang="en-GB"/>
                      <a:pPr/>
                      <a:t>[CELLRANGE]</a:t>
                    </a:fld>
                    <a:r>
                      <a:rPr lang="en-GB" baseline="0"/>
                      <a:t>, </a:t>
                    </a:r>
                    <a:fld id="{2D6A314C-A9EB-4DDC-81E9-7F7566B776DD}" type="YVALUE">
                      <a:rPr lang="en-GB" baseline="0"/>
                      <a:pPr/>
                      <a:t>[Y VALUE]</a:t>
                    </a:fld>
                    <a:endParaRPr lang="en-GB"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01F-482C-9013-E580A7E1B224}"/>
                </c:ext>
              </c:extLst>
            </c:dLbl>
            <c:dLbl>
              <c:idx val="4"/>
              <c:tx>
                <c:rich>
                  <a:bodyPr/>
                  <a:lstStyle/>
                  <a:p>
                    <a:fld id="{80E3D191-66CB-4CC2-96CE-7CDE48E8A665}" type="CELLRANGE">
                      <a:rPr lang="en-GB"/>
                      <a:pPr/>
                      <a:t>[CELLRANGE]</a:t>
                    </a:fld>
                    <a:r>
                      <a:rPr lang="en-GB" baseline="0"/>
                      <a:t>, </a:t>
                    </a:r>
                    <a:fld id="{2C31E2AD-DC6B-4E55-80DB-2E67FB6277E1}" type="YVALUE">
                      <a:rPr lang="en-GB" baseline="0"/>
                      <a:pPr/>
                      <a:t>[Y VALUE]</a:t>
                    </a:fld>
                    <a:endParaRPr lang="en-GB"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01F-482C-9013-E580A7E1B224}"/>
                </c:ext>
              </c:extLst>
            </c:dLbl>
            <c:dLbl>
              <c:idx val="5"/>
              <c:tx>
                <c:rich>
                  <a:bodyPr/>
                  <a:lstStyle/>
                  <a:p>
                    <a:fld id="{0700CE41-CFC9-4DF8-AB51-E89FB388E680}" type="CELLRANGE">
                      <a:rPr lang="en-GB"/>
                      <a:pPr/>
                      <a:t>[CELLRANGE]</a:t>
                    </a:fld>
                    <a:r>
                      <a:rPr lang="en-GB" baseline="0"/>
                      <a:t>, </a:t>
                    </a:r>
                    <a:fld id="{D827DC7A-A967-42F3-A912-85EE41A3B3CA}" type="YVALUE">
                      <a:rPr lang="en-GB" baseline="0"/>
                      <a:pPr/>
                      <a:t>[Y VALUE]</a:t>
                    </a:fld>
                    <a:endParaRPr lang="en-GB"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01F-482C-9013-E580A7E1B224}"/>
                </c:ext>
              </c:extLst>
            </c:dLbl>
            <c:dLbl>
              <c:idx val="6"/>
              <c:tx>
                <c:rich>
                  <a:bodyPr/>
                  <a:lstStyle/>
                  <a:p>
                    <a:fld id="{C4FF9F4F-ED85-4E9E-84E0-3EDBF6122FA6}" type="CELLRANGE">
                      <a:rPr lang="en-GB"/>
                      <a:pPr/>
                      <a:t>[CELLRANGE]</a:t>
                    </a:fld>
                    <a:r>
                      <a:rPr lang="en-GB" baseline="0"/>
                      <a:t>, </a:t>
                    </a:r>
                    <a:fld id="{2C0777A8-6384-4A7F-AD02-847DD3A791BB}" type="YVALUE">
                      <a:rPr lang="en-GB" baseline="0"/>
                      <a:pPr/>
                      <a:t>[Y VALUE]</a:t>
                    </a:fld>
                    <a:endParaRPr lang="en-GB"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01F-482C-9013-E580A7E1B224}"/>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fsw!$A$2:$A$8</c:f>
              <c:numCache>
                <c:formatCode>General</c:formatCode>
                <c:ptCount val="7"/>
                <c:pt idx="0">
                  <c:v>2017</c:v>
                </c:pt>
                <c:pt idx="1">
                  <c:v>2016</c:v>
                </c:pt>
                <c:pt idx="2">
                  <c:v>2014</c:v>
                </c:pt>
                <c:pt idx="3">
                  <c:v>2013</c:v>
                </c:pt>
                <c:pt idx="4">
                  <c:v>2014</c:v>
                </c:pt>
                <c:pt idx="5">
                  <c:v>2014</c:v>
                </c:pt>
                <c:pt idx="6">
                  <c:v>2011</c:v>
                </c:pt>
              </c:numCache>
            </c:numRef>
          </c:xVal>
          <c:yVal>
            <c:numRef>
              <c:f>fsw!$B$2:$B$8</c:f>
              <c:numCache>
                <c:formatCode>General</c:formatCode>
                <c:ptCount val="7"/>
                <c:pt idx="0">
                  <c:v>31200</c:v>
                </c:pt>
                <c:pt idx="1">
                  <c:v>22500</c:v>
                </c:pt>
                <c:pt idx="2">
                  <c:v>9338</c:v>
                </c:pt>
                <c:pt idx="3">
                  <c:v>19295</c:v>
                </c:pt>
                <c:pt idx="4">
                  <c:v>14505</c:v>
                </c:pt>
                <c:pt idx="5">
                  <c:v>24000</c:v>
                </c:pt>
                <c:pt idx="6">
                  <c:v>19295</c:v>
                </c:pt>
              </c:numCache>
            </c:numRef>
          </c:yVal>
          <c:smooth val="0"/>
          <c:extLst>
            <c:ext xmlns:c15="http://schemas.microsoft.com/office/drawing/2012/chart" uri="{02D57815-91ED-43cb-92C2-25804820EDAC}">
              <c15:datalabelsRange>
                <c15:f>fsw!$C$2:$C$8</c15:f>
                <c15:dlblRangeCache>
                  <c:ptCount val="7"/>
                  <c:pt idx="0">
                    <c:v>unaids</c:v>
                  </c:pt>
                  <c:pt idx="1">
                    <c:v>unaids</c:v>
                  </c:pt>
                  <c:pt idx="2">
                    <c:v>unaids</c:v>
                  </c:pt>
                  <c:pt idx="3">
                    <c:v>unaids</c:v>
                  </c:pt>
                  <c:pt idx="4">
                    <c:v>nso</c:v>
                  </c:pt>
                  <c:pt idx="5">
                    <c:v>pepfar</c:v>
                  </c:pt>
                  <c:pt idx="6">
                    <c:v>sit_analysis_UNFPA</c:v>
                  </c:pt>
                </c15:dlblRangeCache>
              </c15:datalabelsRange>
            </c:ext>
            <c:ext xmlns:c16="http://schemas.microsoft.com/office/drawing/2014/chart" uri="{C3380CC4-5D6E-409C-BE32-E72D297353CC}">
              <c16:uniqueId val="{00000008-201F-482C-9013-E580A7E1B224}"/>
            </c:ext>
          </c:extLst>
        </c:ser>
        <c:dLbls>
          <c:showLegendKey val="0"/>
          <c:showVal val="1"/>
          <c:showCatName val="0"/>
          <c:showSerName val="0"/>
          <c:showPercent val="0"/>
          <c:showBubbleSize val="0"/>
        </c:dLbls>
        <c:axId val="151065824"/>
        <c:axId val="151071312"/>
      </c:scatterChart>
      <c:valAx>
        <c:axId val="15106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Year</a:t>
                </a:r>
              </a:p>
            </c:rich>
          </c:tx>
          <c:layout>
            <c:manualLayout>
              <c:xMode val="edge"/>
              <c:yMode val="edge"/>
              <c:x val="0.50582449286862396"/>
              <c:y val="0.92964392013753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1071312"/>
        <c:crosses val="autoZero"/>
        <c:crossBetween val="midCat"/>
      </c:valAx>
      <c:valAx>
        <c:axId val="15107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Number</a:t>
                </a:r>
              </a:p>
            </c:rich>
          </c:tx>
          <c:layout>
            <c:manualLayout>
              <c:xMode val="edge"/>
              <c:yMode val="edge"/>
              <c:x val="6.2015503875968991E-3"/>
              <c:y val="0.404864852010370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10658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Override>
</file>

<file path=word/theme/themeOverride2.xml><?xml version="1.0" encoding="utf-8"?>
<a:themeOverride xmlns:a="http://schemas.openxmlformats.org/drawingml/2006/main">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19</Pages>
  <Words>8191</Words>
  <Characters>46689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 Tara D</dc:creator>
  <cp:keywords/>
  <dc:description/>
  <cp:lastModifiedBy>Mangal, Tara D</cp:lastModifiedBy>
  <cp:revision>2</cp:revision>
  <dcterms:created xsi:type="dcterms:W3CDTF">2021-05-10T16:05:00Z</dcterms:created>
  <dcterms:modified xsi:type="dcterms:W3CDTF">2021-05-10T16:05:00Z</dcterms:modified>
</cp:coreProperties>
</file>