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9CC61" w14:textId="652D0253" w:rsidR="001F210E" w:rsidRDefault="00CF7A3B" w:rsidP="00181DAF">
      <w:pPr>
        <w:jc w:val="center"/>
        <w:rPr>
          <w:b/>
        </w:rPr>
      </w:pPr>
      <w:r>
        <w:rPr>
          <w:b/>
        </w:rPr>
        <w:t xml:space="preserve">The Symptom Manager </w:t>
      </w:r>
      <w:r w:rsidR="0055177A">
        <w:rPr>
          <w:b/>
        </w:rPr>
        <w:t>Module</w:t>
      </w:r>
    </w:p>
    <w:p w14:paraId="5076ED7D" w14:textId="7D81C10E" w:rsidR="003230A4" w:rsidRDefault="003230A4" w:rsidP="00181DAF">
      <w:pPr>
        <w:jc w:val="both"/>
        <w:rPr>
          <w:b/>
        </w:rPr>
      </w:pPr>
    </w:p>
    <w:p w14:paraId="75D81E75" w14:textId="67B434E1" w:rsidR="003230A4" w:rsidRPr="004B67B9" w:rsidRDefault="009341A0" w:rsidP="00181DAF">
      <w:pPr>
        <w:jc w:val="right"/>
        <w:rPr>
          <w:bCs/>
          <w:i/>
          <w:iCs/>
        </w:rPr>
      </w:pPr>
      <w:r>
        <w:rPr>
          <w:bCs/>
          <w:i/>
          <w:iCs/>
        </w:rPr>
        <w:t>7</w:t>
      </w:r>
      <w:r>
        <w:rPr>
          <w:bCs/>
          <w:i/>
          <w:iCs/>
          <w:vertAlign w:val="superscript"/>
        </w:rPr>
        <w:t>th</w:t>
      </w:r>
      <w:r w:rsidR="004B67B9" w:rsidRPr="004B67B9">
        <w:rPr>
          <w:bCs/>
          <w:i/>
          <w:iCs/>
        </w:rPr>
        <w:t xml:space="preserve"> </w:t>
      </w:r>
      <w:r w:rsidR="00B26BB0">
        <w:rPr>
          <w:bCs/>
          <w:i/>
          <w:iCs/>
        </w:rPr>
        <w:t>January</w:t>
      </w:r>
      <w:r w:rsidR="004B67B9" w:rsidRPr="004B67B9">
        <w:rPr>
          <w:bCs/>
          <w:i/>
          <w:iCs/>
        </w:rPr>
        <w:t xml:space="preserve"> 2019</w:t>
      </w:r>
    </w:p>
    <w:p w14:paraId="4E584212" w14:textId="090AF27E" w:rsidR="004B67B9" w:rsidRDefault="004B67B9" w:rsidP="00181DAF">
      <w:pPr>
        <w:jc w:val="both"/>
      </w:pPr>
    </w:p>
    <w:p w14:paraId="040582DA" w14:textId="627985B6" w:rsidR="00AA28E7" w:rsidRDefault="00AA28E7" w:rsidP="00181DAF">
      <w:pPr>
        <w:jc w:val="both"/>
      </w:pPr>
    </w:p>
    <w:p w14:paraId="54E59E86" w14:textId="624D1C4A" w:rsidR="00AA28E7" w:rsidRDefault="0055177A" w:rsidP="00181DAF">
      <w:pPr>
        <w:jc w:val="both"/>
      </w:pPr>
      <w:r>
        <w:t>T</w:t>
      </w:r>
      <w:r w:rsidR="00AA28E7">
        <w:t>he Symptom Manager module tracks the prevalence of a list of generic symptoms</w:t>
      </w:r>
      <w:r w:rsidR="00B26BB0">
        <w:t xml:space="preserve"> and </w:t>
      </w:r>
      <w:r w:rsidR="00252D79">
        <w:t xml:space="preserve">specific </w:t>
      </w:r>
      <w:r w:rsidR="00B26BB0">
        <w:t>symptoms that are declared by the disease modules</w:t>
      </w:r>
      <w:r w:rsidR="00AA28E7">
        <w:t>. The list of generic symptoms is:</w:t>
      </w:r>
    </w:p>
    <w:p w14:paraId="518706BA" w14:textId="77777777" w:rsidR="00AA28E7" w:rsidRDefault="00AA28E7" w:rsidP="00181DA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55177A" w14:paraId="214825F0" w14:textId="77777777" w:rsidTr="00AA28E7">
        <w:tc>
          <w:tcPr>
            <w:tcW w:w="4390" w:type="dxa"/>
          </w:tcPr>
          <w:p w14:paraId="58347438" w14:textId="0D4D57D0" w:rsidR="0055177A" w:rsidRDefault="0055177A" w:rsidP="00181DAF">
            <w:pPr>
              <w:jc w:val="both"/>
            </w:pPr>
            <w:r w:rsidRPr="00AA28E7">
              <w:t>fever</w:t>
            </w:r>
          </w:p>
        </w:tc>
      </w:tr>
      <w:tr w:rsidR="0055177A" w14:paraId="0784BE55" w14:textId="77777777" w:rsidTr="00AA28E7">
        <w:tc>
          <w:tcPr>
            <w:tcW w:w="4390" w:type="dxa"/>
          </w:tcPr>
          <w:p w14:paraId="4609F8AA" w14:textId="6B2E7B89" w:rsidR="0055177A" w:rsidRPr="00AA28E7" w:rsidRDefault="0055177A" w:rsidP="00181DAF">
            <w:pPr>
              <w:jc w:val="both"/>
            </w:pPr>
            <w:r w:rsidRPr="00AA28E7">
              <w:t>vomiting</w:t>
            </w:r>
          </w:p>
        </w:tc>
      </w:tr>
      <w:tr w:rsidR="0055177A" w14:paraId="53D5CFDD" w14:textId="77777777" w:rsidTr="00AA28E7">
        <w:tc>
          <w:tcPr>
            <w:tcW w:w="4390" w:type="dxa"/>
          </w:tcPr>
          <w:p w14:paraId="2DA75414" w14:textId="782B753C" w:rsidR="0055177A" w:rsidRPr="00AA28E7" w:rsidRDefault="0055177A" w:rsidP="00181DAF">
            <w:pPr>
              <w:jc w:val="both"/>
            </w:pPr>
            <w:proofErr w:type="spellStart"/>
            <w:r w:rsidRPr="00AA28E7">
              <w:t>stomachache</w:t>
            </w:r>
            <w:proofErr w:type="spellEnd"/>
          </w:p>
        </w:tc>
      </w:tr>
      <w:tr w:rsidR="0055177A" w14:paraId="27B40CF5" w14:textId="77777777" w:rsidTr="00AA28E7">
        <w:tc>
          <w:tcPr>
            <w:tcW w:w="4390" w:type="dxa"/>
          </w:tcPr>
          <w:p w14:paraId="314A5046" w14:textId="2A6206B1" w:rsidR="0055177A" w:rsidRPr="00AA28E7" w:rsidRDefault="0055177A" w:rsidP="00181DAF">
            <w:pPr>
              <w:jc w:val="both"/>
            </w:pPr>
            <w:proofErr w:type="spellStart"/>
            <w:r w:rsidRPr="00AA28E7">
              <w:t>sore_throat</w:t>
            </w:r>
            <w:proofErr w:type="spellEnd"/>
          </w:p>
        </w:tc>
      </w:tr>
      <w:tr w:rsidR="0055177A" w14:paraId="717DBE09" w14:textId="77777777" w:rsidTr="00AA28E7">
        <w:tc>
          <w:tcPr>
            <w:tcW w:w="4390" w:type="dxa"/>
          </w:tcPr>
          <w:p w14:paraId="67E41C8F" w14:textId="6BC07DE4" w:rsidR="0055177A" w:rsidRDefault="0055177A" w:rsidP="00181DAF">
            <w:pPr>
              <w:jc w:val="both"/>
            </w:pPr>
            <w:proofErr w:type="spellStart"/>
            <w:r w:rsidRPr="00AA28E7">
              <w:t>respiratory_symptoms</w:t>
            </w:r>
            <w:proofErr w:type="spellEnd"/>
          </w:p>
        </w:tc>
      </w:tr>
      <w:tr w:rsidR="0055177A" w14:paraId="6C318C56" w14:textId="77777777" w:rsidTr="00AA28E7">
        <w:tc>
          <w:tcPr>
            <w:tcW w:w="4390" w:type="dxa"/>
          </w:tcPr>
          <w:p w14:paraId="7FF0585A" w14:textId="021F0A20" w:rsidR="0055177A" w:rsidRDefault="0055177A" w:rsidP="00181DAF">
            <w:pPr>
              <w:jc w:val="both"/>
            </w:pPr>
            <w:r w:rsidRPr="00AA28E7">
              <w:t>headache</w:t>
            </w:r>
          </w:p>
        </w:tc>
      </w:tr>
      <w:tr w:rsidR="0055177A" w14:paraId="179E6FDC" w14:textId="77777777" w:rsidTr="00AA28E7">
        <w:tc>
          <w:tcPr>
            <w:tcW w:w="4390" w:type="dxa"/>
          </w:tcPr>
          <w:p w14:paraId="43E1BD92" w14:textId="52AA8CB0" w:rsidR="0055177A" w:rsidRDefault="0055177A" w:rsidP="00181DAF">
            <w:pPr>
              <w:jc w:val="both"/>
            </w:pPr>
            <w:proofErr w:type="spellStart"/>
            <w:r w:rsidRPr="00AA28E7">
              <w:t>skin_complain</w:t>
            </w:r>
            <w:r>
              <w:t>t</w:t>
            </w:r>
            <w:proofErr w:type="spellEnd"/>
          </w:p>
        </w:tc>
      </w:tr>
      <w:tr w:rsidR="0055177A" w14:paraId="0AB30FA0" w14:textId="77777777" w:rsidTr="00AA28E7">
        <w:tc>
          <w:tcPr>
            <w:tcW w:w="4390" w:type="dxa"/>
          </w:tcPr>
          <w:p w14:paraId="3436078A" w14:textId="101305BE" w:rsidR="0055177A" w:rsidRDefault="0055177A" w:rsidP="00181DAF">
            <w:pPr>
              <w:jc w:val="both"/>
            </w:pPr>
            <w:proofErr w:type="spellStart"/>
            <w:r w:rsidRPr="00AA28E7">
              <w:t>dental_complaint</w:t>
            </w:r>
            <w:proofErr w:type="spellEnd"/>
          </w:p>
        </w:tc>
      </w:tr>
      <w:tr w:rsidR="0055177A" w14:paraId="2A3B4406" w14:textId="77777777" w:rsidTr="00AA28E7">
        <w:tc>
          <w:tcPr>
            <w:tcW w:w="4390" w:type="dxa"/>
          </w:tcPr>
          <w:p w14:paraId="126B1C55" w14:textId="44D015C7" w:rsidR="0055177A" w:rsidRDefault="0055177A" w:rsidP="00181DAF">
            <w:pPr>
              <w:jc w:val="both"/>
            </w:pPr>
            <w:r w:rsidRPr="00AA28E7">
              <w:t>backache</w:t>
            </w:r>
          </w:p>
        </w:tc>
      </w:tr>
      <w:tr w:rsidR="0055177A" w14:paraId="3A6155E9" w14:textId="77777777" w:rsidTr="00AA28E7">
        <w:tc>
          <w:tcPr>
            <w:tcW w:w="4390" w:type="dxa"/>
          </w:tcPr>
          <w:p w14:paraId="3EAD530D" w14:textId="400D8EBB" w:rsidR="0055177A" w:rsidRDefault="0055177A" w:rsidP="00181DAF">
            <w:pPr>
              <w:jc w:val="both"/>
            </w:pPr>
            <w:r w:rsidRPr="00AA28E7">
              <w:t>injury</w:t>
            </w:r>
          </w:p>
        </w:tc>
      </w:tr>
      <w:tr w:rsidR="0055177A" w14:paraId="75C70ACC" w14:textId="77777777" w:rsidTr="00AA28E7">
        <w:tc>
          <w:tcPr>
            <w:tcW w:w="4390" w:type="dxa"/>
          </w:tcPr>
          <w:p w14:paraId="43298E7B" w14:textId="7DE03F44" w:rsidR="0055177A" w:rsidRDefault="0055177A" w:rsidP="00181DAF">
            <w:pPr>
              <w:jc w:val="both"/>
            </w:pPr>
            <w:proofErr w:type="spellStart"/>
            <w:r w:rsidRPr="00AA28E7">
              <w:t>eye_complaint</w:t>
            </w:r>
            <w:proofErr w:type="spellEnd"/>
          </w:p>
        </w:tc>
      </w:tr>
      <w:tr w:rsidR="0055177A" w14:paraId="4EBF21A1" w14:textId="77777777" w:rsidTr="00AA28E7">
        <w:tc>
          <w:tcPr>
            <w:tcW w:w="4390" w:type="dxa"/>
          </w:tcPr>
          <w:p w14:paraId="76E2D9A6" w14:textId="44EE7279" w:rsidR="0055177A" w:rsidRPr="00AA28E7" w:rsidRDefault="0055177A" w:rsidP="00181DAF">
            <w:pPr>
              <w:jc w:val="both"/>
            </w:pPr>
            <w:r w:rsidRPr="00B26BB0">
              <w:t>diarrhoea</w:t>
            </w:r>
          </w:p>
        </w:tc>
      </w:tr>
    </w:tbl>
    <w:p w14:paraId="6564B1FE" w14:textId="52B3E570" w:rsidR="00BE5575" w:rsidRDefault="00BE5575" w:rsidP="00181DAF">
      <w:pPr>
        <w:jc w:val="both"/>
      </w:pPr>
    </w:p>
    <w:p w14:paraId="389A28B7" w14:textId="375D994C" w:rsidR="00B26BB0" w:rsidRDefault="00BE5575" w:rsidP="00181DAF">
      <w:pPr>
        <w:jc w:val="both"/>
      </w:pPr>
      <w:r>
        <w:t xml:space="preserve">Note that the definitions of each of the </w:t>
      </w:r>
      <w:r w:rsidR="00B26BB0">
        <w:t xml:space="preserve">generic </w:t>
      </w:r>
      <w:r>
        <w:t xml:space="preserve">symptoms is inherited from the responses given by the participants in </w:t>
      </w:r>
      <w:r w:rsidR="00AE0BE3">
        <w:t xml:space="preserve">two analyses by </w:t>
      </w:r>
      <w:proofErr w:type="spellStart"/>
      <w:r w:rsidR="00AE0BE3">
        <w:t>Ng’ambi</w:t>
      </w:r>
      <w:proofErr w:type="spellEnd"/>
      <w:r w:rsidR="00AE0BE3">
        <w:t xml:space="preserve"> </w:t>
      </w:r>
      <w:r w:rsidR="00AE0BE3" w:rsidRPr="00AE0BE3">
        <w:rPr>
          <w:i/>
          <w:iCs/>
        </w:rPr>
        <w:t>et al</w:t>
      </w:r>
      <w:r w:rsidR="00AE0BE3">
        <w:rPr>
          <w:i/>
          <w:iCs/>
        </w:rPr>
        <w:t>.</w:t>
      </w:r>
      <w:r w:rsidR="00AE0BE3">
        <w:rPr>
          <w:rStyle w:val="FootnoteReference"/>
          <w:i/>
          <w:iCs/>
        </w:rPr>
        <w:footnoteReference w:id="1"/>
      </w:r>
      <w:r>
        <w:t xml:space="preserve">. </w:t>
      </w:r>
    </w:p>
    <w:p w14:paraId="191D2333" w14:textId="2F1FEB65" w:rsidR="00B26BB0" w:rsidRDefault="00B26BB0" w:rsidP="00181DAF">
      <w:pPr>
        <w:jc w:val="both"/>
      </w:pPr>
    </w:p>
    <w:p w14:paraId="6CFCBDDF" w14:textId="66318DC1" w:rsidR="00252D79" w:rsidRDefault="00B26BB0" w:rsidP="00181DAF">
      <w:pPr>
        <w:jc w:val="both"/>
      </w:pPr>
      <w:r>
        <w:t xml:space="preserve">In addition to these, disease modules declare the additional set of symptoms that </w:t>
      </w:r>
      <w:r w:rsidR="00342184">
        <w:t>pertains to that disease</w:t>
      </w:r>
      <w:r w:rsidR="00252D79">
        <w:t xml:space="preserve"> (These can overlap with the set of symptoms pertaining to other disease modules).</w:t>
      </w:r>
      <w:r w:rsidR="00F23F99">
        <w:t xml:space="preserve"> </w:t>
      </w:r>
    </w:p>
    <w:p w14:paraId="08101EDF" w14:textId="06E46B35" w:rsidR="00252D79" w:rsidRDefault="00252D79" w:rsidP="00181DAF">
      <w:pPr>
        <w:jc w:val="both"/>
      </w:pPr>
    </w:p>
    <w:p w14:paraId="2E740BEF" w14:textId="5DE35BFF" w:rsidR="00AA28E7" w:rsidRPr="00AA28E7" w:rsidRDefault="00342184" w:rsidP="00181DAF">
      <w:pPr>
        <w:jc w:val="both"/>
      </w:pPr>
      <w:r>
        <w:t>Disease modules use</w:t>
      </w:r>
      <w:r w:rsidR="0055177A">
        <w:t xml:space="preserve"> utility functions (including, </w:t>
      </w:r>
      <w:r>
        <w:t>‘</w:t>
      </w:r>
      <w:proofErr w:type="spellStart"/>
      <w:r w:rsidRPr="00342184">
        <w:rPr>
          <w:i/>
          <w:iCs/>
        </w:rPr>
        <w:t>who_has</w:t>
      </w:r>
      <w:proofErr w:type="spellEnd"/>
      <w:r>
        <w:t>’</w:t>
      </w:r>
      <w:r w:rsidR="00DB33DA">
        <w:t xml:space="preserve">, </w:t>
      </w:r>
      <w:r>
        <w:t>‘</w:t>
      </w:r>
      <w:proofErr w:type="spellStart"/>
      <w:r w:rsidRPr="00342184">
        <w:rPr>
          <w:i/>
          <w:iCs/>
        </w:rPr>
        <w:t>has_what</w:t>
      </w:r>
      <w:proofErr w:type="spellEnd"/>
      <w:r w:rsidRPr="00342184">
        <w:rPr>
          <w:i/>
          <w:iCs/>
        </w:rPr>
        <w:t>’</w:t>
      </w:r>
      <w:r w:rsidR="00DB33DA">
        <w:t xml:space="preserve"> and ‘</w:t>
      </w:r>
      <w:proofErr w:type="spellStart"/>
      <w:r w:rsidR="00DB33DA" w:rsidRPr="00DB33DA">
        <w:rPr>
          <w:i/>
          <w:iCs/>
        </w:rPr>
        <w:t>causes_of</w:t>
      </w:r>
      <w:proofErr w:type="spellEnd"/>
      <w:r w:rsidR="00DB33DA">
        <w:t>’</w:t>
      </w:r>
      <w:r w:rsidR="0055177A">
        <w:t xml:space="preserve">) </w:t>
      </w:r>
      <w:r>
        <w:t>to</w:t>
      </w:r>
      <w:r w:rsidR="00252D79">
        <w:t xml:space="preserve"> </w:t>
      </w:r>
      <w:r w:rsidR="0055177A">
        <w:t>find</w:t>
      </w:r>
      <w:r>
        <w:t xml:space="preserve">, respectively, </w:t>
      </w:r>
      <w:r w:rsidR="00252D79">
        <w:t>the</w:t>
      </w:r>
      <w:r>
        <w:t xml:space="preserve"> list of </w:t>
      </w:r>
      <w:proofErr w:type="spellStart"/>
      <w:proofErr w:type="gramStart"/>
      <w:r>
        <w:t>person</w:t>
      </w:r>
      <w:proofErr w:type="gramEnd"/>
      <w:r>
        <w:t>_ids</w:t>
      </w:r>
      <w:proofErr w:type="spellEnd"/>
      <w:r>
        <w:t xml:space="preserve"> who have a particular set of symptoms</w:t>
      </w:r>
      <w:r w:rsidR="00DB33DA">
        <w:t>,</w:t>
      </w:r>
      <w:r>
        <w:t xml:space="preserve"> the list of symptoms that a person is currently experiencin</w:t>
      </w:r>
      <w:r w:rsidR="00DB33DA">
        <w:t xml:space="preserve">g, or </w:t>
      </w:r>
      <w:r w:rsidR="00252D79">
        <w:t>the list of</w:t>
      </w:r>
      <w:r w:rsidR="00417C4E">
        <w:t xml:space="preserve"> disease module name</w:t>
      </w:r>
      <w:r w:rsidR="00252D79">
        <w:t xml:space="preserve">s </w:t>
      </w:r>
      <w:r w:rsidR="00417C4E">
        <w:t>that are currently imposing a particular symptom on a particular person.</w:t>
      </w:r>
    </w:p>
    <w:p w14:paraId="550C169F" w14:textId="34FAA59E" w:rsidR="00AA28E7" w:rsidRDefault="00AA28E7" w:rsidP="00181DAF">
      <w:pPr>
        <w:jc w:val="both"/>
      </w:pPr>
    </w:p>
    <w:p w14:paraId="199DA794" w14:textId="145249BA" w:rsidR="00AA28E7" w:rsidRDefault="00AA28E7" w:rsidP="00181DAF">
      <w:pPr>
        <w:jc w:val="both"/>
      </w:pPr>
      <w:r>
        <w:t xml:space="preserve">Disease modules can specify that </w:t>
      </w:r>
      <w:r w:rsidR="00252D79">
        <w:t>a</w:t>
      </w:r>
      <w:r>
        <w:t xml:space="preserve"> symptom is onset or resolved for one</w:t>
      </w:r>
      <w:r w:rsidR="00441602">
        <w:t xml:space="preserve"> or</w:t>
      </w:r>
      <w:r>
        <w:t xml:space="preserve"> more individual by calling </w:t>
      </w:r>
      <w:proofErr w:type="spellStart"/>
      <w:r w:rsidRPr="00AA28E7">
        <w:rPr>
          <w:i/>
          <w:iCs/>
        </w:rPr>
        <w:t>ch</w:t>
      </w:r>
      <w:r w:rsidR="0055177A">
        <w:rPr>
          <w:i/>
          <w:iCs/>
        </w:rPr>
        <w:t>ange</w:t>
      </w:r>
      <w:r w:rsidRPr="00AA28E7">
        <w:rPr>
          <w:i/>
          <w:iCs/>
        </w:rPr>
        <w:t>_</w:t>
      </w:r>
      <w:proofErr w:type="gramStart"/>
      <w:r w:rsidRPr="00AA28E7">
        <w:rPr>
          <w:i/>
          <w:iCs/>
        </w:rPr>
        <w:t>symptom</w:t>
      </w:r>
      <w:proofErr w:type="spellEnd"/>
      <w:r w:rsidRPr="00AA28E7">
        <w:rPr>
          <w:i/>
          <w:iCs/>
        </w:rPr>
        <w:t>(</w:t>
      </w:r>
      <w:proofErr w:type="gramEnd"/>
      <w:r w:rsidRPr="00AA28E7">
        <w:rPr>
          <w:i/>
          <w:iCs/>
        </w:rPr>
        <w:t>)</w:t>
      </w:r>
      <w:r>
        <w:t xml:space="preserve">. </w:t>
      </w:r>
      <w:r w:rsidR="004175CC">
        <w:t xml:space="preserve">Optional parameter of </w:t>
      </w:r>
      <w:proofErr w:type="spellStart"/>
      <w:r w:rsidR="004175CC">
        <w:rPr>
          <w:i/>
          <w:iCs/>
        </w:rPr>
        <w:t>date_onset</w:t>
      </w:r>
      <w:proofErr w:type="spellEnd"/>
      <w:r w:rsidR="004175CC">
        <w:rPr>
          <w:i/>
          <w:iCs/>
        </w:rPr>
        <w:t xml:space="preserve"> </w:t>
      </w:r>
      <w:r w:rsidR="004175CC">
        <w:t>and</w:t>
      </w:r>
      <w:r>
        <w:t xml:space="preserve"> </w:t>
      </w:r>
      <w:r>
        <w:rPr>
          <w:i/>
          <w:iCs/>
        </w:rPr>
        <w:t>duration</w:t>
      </w:r>
      <w:r>
        <w:t xml:space="preserve"> can</w:t>
      </w:r>
      <w:r w:rsidR="00441602">
        <w:t xml:space="preserve"> be used to</w:t>
      </w:r>
      <w:r>
        <w:t xml:space="preserve"> specify </w:t>
      </w:r>
      <w:r w:rsidR="004175CC">
        <w:t xml:space="preserve">when the symptom should start (if not immediately) and the </w:t>
      </w:r>
      <w:r w:rsidR="00441602">
        <w:t>period for which an</w:t>
      </w:r>
      <w:r>
        <w:t xml:space="preserve"> onset acute symptom should remain</w:t>
      </w:r>
      <w:r w:rsidR="004175CC">
        <w:t xml:space="preserve"> (if not indefinitely)</w:t>
      </w:r>
      <w:r>
        <w:t xml:space="preserve">. </w:t>
      </w:r>
    </w:p>
    <w:p w14:paraId="1B264795" w14:textId="1994DAA8" w:rsidR="00AA28E7" w:rsidRDefault="00AA28E7" w:rsidP="00181DAF">
      <w:pPr>
        <w:jc w:val="both"/>
      </w:pPr>
    </w:p>
    <w:p w14:paraId="7E951281" w14:textId="6D32D3CA" w:rsidR="00CD2121" w:rsidRDefault="0055177A" w:rsidP="00181DAF">
      <w:pPr>
        <w:jc w:val="both"/>
      </w:pPr>
      <w:r>
        <w:t>The</w:t>
      </w:r>
      <w:r w:rsidR="00CD2121">
        <w:t xml:space="preserve"> </w:t>
      </w:r>
      <w:proofErr w:type="spellStart"/>
      <w:r w:rsidR="00CD2121" w:rsidRPr="0055177A">
        <w:rPr>
          <w:i/>
          <w:iCs/>
        </w:rPr>
        <w:t>SymptomManager</w:t>
      </w:r>
      <w:proofErr w:type="spellEnd"/>
      <w:r w:rsidR="00CD2121">
        <w:t xml:space="preserve"> </w:t>
      </w:r>
      <w:r>
        <w:t xml:space="preserve">module can also </w:t>
      </w:r>
      <w:r w:rsidR="00CD2121">
        <w:t>spuriously impos</w:t>
      </w:r>
      <w:r>
        <w:t>e</w:t>
      </w:r>
      <w:r w:rsidR="00CD2121">
        <w:t xml:space="preserve"> symptoms itself that are not caused by a particular disease module. This is to represent symptoms caused by diseases that are not explicitly modelled and to capture inaccurate reporting and spurious presentation.</w:t>
      </w:r>
      <w:r>
        <w:t xml:space="preserve"> The rate of doing so will be calibrated to match the frequency of persons presenting with symptoms not caused by a disease in the model.</w:t>
      </w:r>
    </w:p>
    <w:p w14:paraId="27A84724" w14:textId="68B2B7FF" w:rsidR="00D91BAD" w:rsidRPr="00AA28E7" w:rsidRDefault="00D91BAD" w:rsidP="00181DAF">
      <w:pPr>
        <w:jc w:val="both"/>
      </w:pPr>
    </w:p>
    <w:sectPr w:rsidR="00D91BAD" w:rsidRPr="00AA28E7" w:rsidSect="009F60F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A5540" w14:textId="77777777" w:rsidR="004F6A5F" w:rsidRDefault="004F6A5F" w:rsidP="00AE0BE3">
      <w:r>
        <w:separator/>
      </w:r>
    </w:p>
  </w:endnote>
  <w:endnote w:type="continuationSeparator" w:id="0">
    <w:p w14:paraId="13EAFD7A" w14:textId="77777777" w:rsidR="004F6A5F" w:rsidRDefault="004F6A5F" w:rsidP="00AE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F6520" w14:textId="77777777" w:rsidR="004F6A5F" w:rsidRDefault="004F6A5F" w:rsidP="00AE0BE3">
      <w:r>
        <w:separator/>
      </w:r>
    </w:p>
  </w:footnote>
  <w:footnote w:type="continuationSeparator" w:id="0">
    <w:p w14:paraId="3D919715" w14:textId="77777777" w:rsidR="004F6A5F" w:rsidRDefault="004F6A5F" w:rsidP="00AE0BE3">
      <w:r>
        <w:continuationSeparator/>
      </w:r>
    </w:p>
  </w:footnote>
  <w:footnote w:id="1">
    <w:p w14:paraId="1CCEC21E" w14:textId="635398AB" w:rsidR="00AE0BE3" w:rsidRDefault="00AE0B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7518B">
          <w:rPr>
            <w:rStyle w:val="Hyperlink"/>
          </w:rPr>
          <w:t>https://onlinelibrary.wiley.com/doi/abs/10.1111/tmi.13499</w:t>
        </w:r>
      </w:hyperlink>
      <w:r>
        <w:t xml:space="preserve"> and </w:t>
      </w:r>
      <w:r w:rsidRPr="00AE0BE3">
        <w:t>https://www.ajol.info/index.php/mmj/article/view/202965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C32DA"/>
    <w:multiLevelType w:val="hybridMultilevel"/>
    <w:tmpl w:val="351CE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78B"/>
    <w:multiLevelType w:val="hybridMultilevel"/>
    <w:tmpl w:val="1EDEB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3B"/>
    <w:rsid w:val="00001EC5"/>
    <w:rsid w:val="00181DAF"/>
    <w:rsid w:val="002026EA"/>
    <w:rsid w:val="00243645"/>
    <w:rsid w:val="00252D79"/>
    <w:rsid w:val="00272F41"/>
    <w:rsid w:val="002B7CD5"/>
    <w:rsid w:val="0030239D"/>
    <w:rsid w:val="003230A4"/>
    <w:rsid w:val="00342184"/>
    <w:rsid w:val="003A08D5"/>
    <w:rsid w:val="003B71D9"/>
    <w:rsid w:val="003D4205"/>
    <w:rsid w:val="004175CC"/>
    <w:rsid w:val="00417C4E"/>
    <w:rsid w:val="00441602"/>
    <w:rsid w:val="0044672C"/>
    <w:rsid w:val="00450166"/>
    <w:rsid w:val="004B67B9"/>
    <w:rsid w:val="004C1CB9"/>
    <w:rsid w:val="004E1988"/>
    <w:rsid w:val="004F6A5F"/>
    <w:rsid w:val="0055177A"/>
    <w:rsid w:val="005561F9"/>
    <w:rsid w:val="00576506"/>
    <w:rsid w:val="00585897"/>
    <w:rsid w:val="005963E9"/>
    <w:rsid w:val="005B21DC"/>
    <w:rsid w:val="005C4CC8"/>
    <w:rsid w:val="00613073"/>
    <w:rsid w:val="0069393E"/>
    <w:rsid w:val="00716571"/>
    <w:rsid w:val="0076568E"/>
    <w:rsid w:val="00771A81"/>
    <w:rsid w:val="00836A65"/>
    <w:rsid w:val="008C40FF"/>
    <w:rsid w:val="008F4E7F"/>
    <w:rsid w:val="009341A0"/>
    <w:rsid w:val="009B6CDC"/>
    <w:rsid w:val="009C0F5F"/>
    <w:rsid w:val="009F60FD"/>
    <w:rsid w:val="00A55C81"/>
    <w:rsid w:val="00A96570"/>
    <w:rsid w:val="00AA28E7"/>
    <w:rsid w:val="00AC7941"/>
    <w:rsid w:val="00AE0BE3"/>
    <w:rsid w:val="00B110B7"/>
    <w:rsid w:val="00B26BB0"/>
    <w:rsid w:val="00B37991"/>
    <w:rsid w:val="00B670E8"/>
    <w:rsid w:val="00B95889"/>
    <w:rsid w:val="00BB0739"/>
    <w:rsid w:val="00BE5575"/>
    <w:rsid w:val="00BF25DD"/>
    <w:rsid w:val="00CD2121"/>
    <w:rsid w:val="00CE2D6E"/>
    <w:rsid w:val="00CF7A3B"/>
    <w:rsid w:val="00D91BAD"/>
    <w:rsid w:val="00DA5236"/>
    <w:rsid w:val="00DB33DA"/>
    <w:rsid w:val="00E063A3"/>
    <w:rsid w:val="00E111CE"/>
    <w:rsid w:val="00E65E42"/>
    <w:rsid w:val="00E66832"/>
    <w:rsid w:val="00EB589A"/>
    <w:rsid w:val="00F23F99"/>
    <w:rsid w:val="00F345D5"/>
    <w:rsid w:val="00FA40CB"/>
    <w:rsid w:val="00FA54F5"/>
    <w:rsid w:val="00FC3DBA"/>
    <w:rsid w:val="00FE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7DF5"/>
  <w14:defaultImageDpi w14:val="32767"/>
  <w15:chartTrackingRefBased/>
  <w15:docId w15:val="{B586A06A-C441-BB47-9049-E71BD788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A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3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8E7"/>
    <w:pPr>
      <w:ind w:left="720"/>
      <w:contextualSpacing/>
    </w:pPr>
  </w:style>
  <w:style w:type="table" w:styleId="TableGrid">
    <w:name w:val="Table Grid"/>
    <w:basedOn w:val="TableNormal"/>
    <w:uiPriority w:val="39"/>
    <w:rsid w:val="00AA2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5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E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E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E42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BB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0BE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0B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0BE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E0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0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nlinelibrary.wiley.com/doi/abs/10.1111/tmi.134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Hallett, Timothy B</dc:creator>
  <cp:keywords/>
  <dc:description/>
  <cp:lastModifiedBy>Hallett, Timothy B</cp:lastModifiedBy>
  <cp:revision>23</cp:revision>
  <dcterms:created xsi:type="dcterms:W3CDTF">2019-12-09T07:19:00Z</dcterms:created>
  <dcterms:modified xsi:type="dcterms:W3CDTF">2021-05-07T15:13:00Z</dcterms:modified>
</cp:coreProperties>
</file>