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>RÚIAN Toolbox</w:t>
      </w:r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127C3B" w:rsidRDefault="0088417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78603809" w:history="1">
        <w:r w:rsidR="00127C3B" w:rsidRPr="00EA2400">
          <w:rPr>
            <w:rStyle w:val="Hypertextovodkaz"/>
            <w:noProof/>
          </w:rPr>
          <w:t>Základní informace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7C3B" w:rsidRDefault="0088417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0" w:history="1">
        <w:r w:rsidR="00127C3B" w:rsidRPr="00EA2400">
          <w:rPr>
            <w:rStyle w:val="Hypertextovodkaz"/>
            <w:noProof/>
          </w:rPr>
          <w:t>RÚIAN Downloader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7C3B" w:rsidRDefault="0088417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1" w:history="1">
        <w:r w:rsidR="00127C3B" w:rsidRPr="00EA2400">
          <w:rPr>
            <w:rStyle w:val="Hypertextovodkaz"/>
            <w:noProof/>
          </w:rPr>
          <w:t>RÚIAN Importer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C3B" w:rsidRDefault="0088417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2" w:history="1">
        <w:r w:rsidR="00127C3B" w:rsidRPr="00EA2400">
          <w:rPr>
            <w:rStyle w:val="Hypertextovodkaz"/>
            <w:noProof/>
          </w:rPr>
          <w:t>RÚIAN Web Services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C3B" w:rsidRDefault="0088417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3" w:history="1">
        <w:r w:rsidR="00127C3B" w:rsidRPr="00EA2400">
          <w:rPr>
            <w:rStyle w:val="Hypertextovodkaz"/>
            <w:noProof/>
          </w:rPr>
          <w:t>Použité zkratky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3982" w:rsidRDefault="0088417C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78603809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Toolbox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>RÚIAN v prostředí sítě internetu, v prostředí počítačových sítí oddělených od internetu a v prostředí databází Clien</w:t>
      </w:r>
      <w:r w:rsidR="00E80492">
        <w:t>t</w:t>
      </w:r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geodatabáze a využívání </w:t>
      </w:r>
      <w:r w:rsidR="00823F69">
        <w:t xml:space="preserve">adresních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>o spustitelné aplikace včetně zdrojového kódu, zveřejněného jako OpenSource, tak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>tování funkcionality je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4" w:name="_Toc378603810"/>
      <w:r>
        <w:t>RÚIAN Downloader</w:t>
      </w:r>
      <w:bookmarkEnd w:id="4"/>
    </w:p>
    <w:p w:rsidR="009967E8" w:rsidRDefault="006330C7" w:rsidP="009967E8">
      <w:r>
        <w:t>RÚIAN Downloader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geodatabáze.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Importer.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3C4753" w:rsidP="003C4753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Automatické stahování dat RÚIAN Downloaderem</w:t>
      </w:r>
    </w:p>
    <w:p w:rsidR="00C46DFA" w:rsidRDefault="00C46DFA" w:rsidP="00C46DFA">
      <w:pPr>
        <w:pStyle w:val="Nadpis2"/>
      </w:pPr>
      <w:bookmarkStart w:id="5" w:name="_Toc378603811"/>
      <w:r>
        <w:lastRenderedPageBreak/>
        <w:t>RÚIAN Importer</w:t>
      </w:r>
      <w:bookmarkEnd w:id="5"/>
    </w:p>
    <w:p w:rsidR="000577BA" w:rsidRDefault="00394B05" w:rsidP="001E3542">
      <w:pPr>
        <w:keepNext/>
      </w:pPr>
      <w:r>
        <w:t xml:space="preserve">RÚIAN Importer je </w:t>
      </w:r>
      <w:r w:rsidR="0078243F">
        <w:t xml:space="preserve">komplexní nástroj umožňující po jednoduché konfiguraci vytvářet a aktualizovat kopii databáze RÚIAN z dat stažených z VDP. </w:t>
      </w:r>
      <w:r>
        <w:t xml:space="preserve">V případě použití mimo síť internet, je možné využít data RÚIAN umístěná v souborovém systému, </w:t>
      </w:r>
      <w:r w:rsidR="00713C02">
        <w:t>případně je možné využít RÚIAN Downloader.</w:t>
      </w:r>
    </w:p>
    <w:p w:rsidR="0078243F" w:rsidRDefault="000577BA" w:rsidP="001E3542">
      <w:pPr>
        <w:keepNext/>
      </w:pPr>
      <w:r>
        <w:t xml:space="preserve">Z důvodu zabezpečení maximální rychlosti a přenositelnosti  je knihovna postavena na </w:t>
      </w:r>
      <w:r w:rsidR="00E80492">
        <w:t>vy</w:t>
      </w:r>
      <w:r w:rsidR="00686A53">
        <w:t>už</w:t>
      </w:r>
      <w:r>
        <w:t>ití</w:t>
      </w:r>
      <w:r w:rsidR="00686A53">
        <w:t xml:space="preserve"> </w:t>
      </w:r>
      <w:r>
        <w:t xml:space="preserve">rozhraní </w:t>
      </w:r>
      <w:r w:rsidR="00686A53">
        <w:t>ANSI SQL p</w:t>
      </w:r>
      <w:r>
        <w:t>ři</w:t>
      </w:r>
      <w:r w:rsidR="00686A53">
        <w:t xml:space="preserve"> vytváření struktury databáze, pro </w:t>
      </w:r>
      <w:r>
        <w:t xml:space="preserve">vlastní naplňování (data injection) a </w:t>
      </w:r>
      <w:r w:rsidR="00686A53">
        <w:t xml:space="preserve">tvorbu </w:t>
      </w:r>
      <w:r w:rsidR="000B1C70">
        <w:t xml:space="preserve">geometrie </w:t>
      </w:r>
      <w:r>
        <w:t xml:space="preserve">objektů používá </w:t>
      </w:r>
      <w:r w:rsidR="00686A53">
        <w:t xml:space="preserve">přímý přístup </w:t>
      </w:r>
      <w:r w:rsidR="000B1C70">
        <w:t xml:space="preserve">optimalizovaný na </w:t>
      </w:r>
      <w:r w:rsidR="0084321C">
        <w:t>daný</w:t>
      </w:r>
      <w:r>
        <w:t xml:space="preserve"> </w:t>
      </w:r>
      <w:r w:rsidR="000B1C70">
        <w:t>databázový stroj.</w:t>
      </w:r>
      <w:r w:rsidR="00E80492">
        <w:t xml:space="preserve"> </w:t>
      </w:r>
      <w:r w:rsidR="00DF11F6">
        <w:t xml:space="preserve"> </w:t>
      </w:r>
    </w:p>
    <w:p w:rsidR="00C351B9" w:rsidRDefault="00C351B9" w:rsidP="00A61140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B70234" w:rsidP="00B70234">
      <w:pPr>
        <w:pStyle w:val="Titulek"/>
      </w:pPr>
      <w:r>
        <w:t xml:space="preserve">Figure </w:t>
      </w:r>
      <w:fldSimple w:instr=" SEQ Figure \* ARABIC ">
        <w:r w:rsidR="003C4753">
          <w:rPr>
            <w:noProof/>
          </w:rPr>
          <w:t>2</w:t>
        </w:r>
      </w:fldSimple>
      <w:r>
        <w:t xml:space="preserve"> Import dat RÚIAN do GeoDatabáze</w:t>
      </w:r>
    </w:p>
    <w:p w:rsidR="00C46DFA" w:rsidRDefault="00C46DFA" w:rsidP="00C46DFA">
      <w:pPr>
        <w:pStyle w:val="Nadpis2"/>
      </w:pPr>
      <w:bookmarkStart w:id="6" w:name="_Toc378603812"/>
      <w:r>
        <w:t xml:space="preserve">RÚIAN </w:t>
      </w:r>
      <w:r w:rsidR="00AE165B">
        <w:t xml:space="preserve">Web </w:t>
      </w:r>
      <w:r>
        <w:t>Services</w:t>
      </w:r>
      <w:bookmarkEnd w:id="6"/>
    </w:p>
    <w:p w:rsidR="001A268C" w:rsidRDefault="00DC5352" w:rsidP="001A268C">
      <w:r>
        <w:t>RÚIAN WebServices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  <w:lang w:val="en-US" w:eastAsia="en-US"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r>
        <w:t xml:space="preserve">Figure </w:t>
      </w:r>
      <w:fldSimple w:instr=" SEQ Figure \* ARABIC ">
        <w:r w:rsidR="003C4753">
          <w:rPr>
            <w:noProof/>
          </w:rPr>
          <w:t>3</w:t>
        </w:r>
      </w:fldSimple>
      <w:r>
        <w:t xml:space="preserve"> Využití adres RÚIAN pomocí služeb</w:t>
      </w:r>
    </w:p>
    <w:p w:rsidR="0000625F" w:rsidRDefault="002B4899" w:rsidP="0000625F">
      <w:pPr>
        <w:pStyle w:val="Nadpis1"/>
      </w:pPr>
      <w:r>
        <w:lastRenderedPageBreak/>
        <w:t>Instalace</w:t>
      </w:r>
    </w:p>
    <w:p w:rsidR="00CE3279" w:rsidRDefault="00CE3279" w:rsidP="00C95451">
      <w:pPr>
        <w:pStyle w:val="Nadpis2"/>
      </w:pPr>
      <w:r>
        <w:t>HW a SW požadavky</w:t>
      </w:r>
    </w:p>
    <w:p w:rsidR="00DF3AE2" w:rsidRPr="00DF3AE2" w:rsidRDefault="00DF3AE2" w:rsidP="00DF3AE2">
      <w:r>
        <w:t>Python 3.0 a vyšší</w:t>
      </w:r>
    </w:p>
    <w:p w:rsidR="002B4899" w:rsidRDefault="002B4899" w:rsidP="00C95451">
      <w:pPr>
        <w:pStyle w:val="Nadpis2"/>
      </w:pPr>
      <w:r>
        <w:t>Windows Installer</w:t>
      </w:r>
    </w:p>
    <w:p w:rsidR="00C076A9" w:rsidRDefault="00092F88" w:rsidP="00C95451">
      <w:pPr>
        <w:pStyle w:val="Nadpis2"/>
      </w:pPr>
      <w:r>
        <w:t>Python knihovna</w:t>
      </w:r>
    </w:p>
    <w:p w:rsidR="00CD5061" w:rsidRDefault="00CD5061" w:rsidP="0027023F">
      <w:pPr>
        <w:pStyle w:val="Nadpis2"/>
      </w:pPr>
      <w:r>
        <w:t>RÚIAN Downloader</w:t>
      </w:r>
    </w:p>
    <w:p w:rsidR="002F0786" w:rsidRDefault="002F0786" w:rsidP="000B01C1">
      <w:pPr>
        <w:pStyle w:val="Nadpis3"/>
      </w:pPr>
      <w:r>
        <w:t>Konfigurace</w:t>
      </w:r>
    </w:p>
    <w:p w:rsidR="00962DA3" w:rsidRDefault="0094000D" w:rsidP="00230983">
      <w:pPr>
        <w:pStyle w:val="Nadpis4"/>
      </w:pPr>
      <w:r>
        <w:t xml:space="preserve">Rozsah </w:t>
      </w:r>
      <w:r w:rsidR="00B52014">
        <w:t>stahova</w:t>
      </w:r>
      <w:r>
        <w:t>ných dat</w:t>
      </w:r>
      <w:r w:rsidR="00962DA3">
        <w:t xml:space="preserve"> RÚIAN</w:t>
      </w:r>
    </w:p>
    <w:p w:rsidR="007B73C1" w:rsidRDefault="00AB2CA3" w:rsidP="00230983">
      <w:pPr>
        <w:pStyle w:val="Nadpis4"/>
      </w:pPr>
      <w:r>
        <w:t>Stahování celé databáze nebo aktulizací</w:t>
      </w:r>
    </w:p>
    <w:p w:rsidR="005B14F0" w:rsidRDefault="004137E8" w:rsidP="005B14F0">
      <w:r>
        <w:t>U</w:t>
      </w:r>
      <w:r w:rsidR="005B14F0">
        <w:t xml:space="preserve">možní nastavit, jestli </w:t>
      </w:r>
      <w:r w:rsidR="00962DA3">
        <w:t>budou ze serveru VDP stahována celá data RÚIAN podle nastavení</w:t>
      </w:r>
      <w:r w:rsidR="00C1032C">
        <w:t>, nebo pouze aktualizační balíčky od posledního stažení.</w:t>
      </w:r>
      <w:r w:rsidR="002A2A72">
        <w:t xml:space="preserve"> Výchozím nastavením je hodnota True, tj. stahování celého aktuálního stavu databáze RÚIAN.</w:t>
      </w:r>
      <w:r w:rsidR="00496E35">
        <w:br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2260"/>
        <w:gridCol w:w="5141"/>
      </w:tblGrid>
      <w:tr w:rsidR="00AA6B74" w:rsidTr="00AA6B74">
        <w:tc>
          <w:tcPr>
            <w:tcW w:w="1414" w:type="dxa"/>
            <w:shd w:val="clear" w:color="auto" w:fill="B6DDE8" w:themeFill="accent5" w:themeFillTint="66"/>
          </w:tcPr>
          <w:p w:rsidR="00500EF6" w:rsidRDefault="00500EF6" w:rsidP="00AA6B74">
            <w:pPr>
              <w:spacing w:before="0" w:after="0"/>
            </w:pPr>
            <w:r>
              <w:t>Config.py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500EF6" w:rsidRDefault="00500EF6" w:rsidP="00AA6B74">
            <w:pPr>
              <w:spacing w:before="0" w:after="0"/>
            </w:pPr>
            <w:r>
              <w:t>FULL_DOWNLOAD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500EF6" w:rsidRPr="00500EF6" w:rsidRDefault="00500EF6" w:rsidP="00AA6B74">
            <w:pPr>
              <w:spacing w:before="0" w:after="0"/>
              <w:rPr>
                <w:lang w:val="en-US"/>
              </w:rPr>
            </w:pPr>
            <w:r>
              <w:t>True</w:t>
            </w:r>
            <w:r>
              <w:rPr>
                <w:lang w:val="en-US"/>
              </w:rPr>
              <w:t>/False</w:t>
            </w:r>
          </w:p>
        </w:tc>
      </w:tr>
      <w:tr w:rsidR="00500EF6" w:rsidTr="00AA6B74">
        <w:tc>
          <w:tcPr>
            <w:tcW w:w="1414" w:type="dxa"/>
          </w:tcPr>
          <w:p w:rsidR="00500EF6" w:rsidRDefault="00500EF6" w:rsidP="00AA6B74">
            <w:pPr>
              <w:spacing w:before="0" w:after="0"/>
            </w:pPr>
            <w:r>
              <w:t>Command Line</w:t>
            </w:r>
          </w:p>
        </w:tc>
        <w:tc>
          <w:tcPr>
            <w:tcW w:w="2294" w:type="dxa"/>
          </w:tcPr>
          <w:p w:rsidR="00500EF6" w:rsidRDefault="00500EF6" w:rsidP="00AA6B74">
            <w:pPr>
              <w:spacing w:before="0" w:after="0"/>
            </w:pPr>
            <w:r>
              <w:t>full_download</w:t>
            </w:r>
          </w:p>
        </w:tc>
        <w:tc>
          <w:tcPr>
            <w:tcW w:w="5580" w:type="dxa"/>
          </w:tcPr>
          <w:p w:rsidR="00500EF6" w:rsidRDefault="002969F1" w:rsidP="00AA6B74">
            <w:pPr>
              <w:spacing w:before="0" w:after="0"/>
            </w:pPr>
            <w:r>
              <w:t>True</w:t>
            </w:r>
            <w:r>
              <w:rPr>
                <w:lang w:val="en-US"/>
              </w:rPr>
              <w:t>/False</w:t>
            </w:r>
          </w:p>
        </w:tc>
      </w:tr>
      <w:tr w:rsidR="00500EF6" w:rsidTr="00AA6B74">
        <w:tc>
          <w:tcPr>
            <w:tcW w:w="1414" w:type="dxa"/>
            <w:shd w:val="clear" w:color="auto" w:fill="B6DDE8" w:themeFill="accent5" w:themeFillTint="66"/>
          </w:tcPr>
          <w:p w:rsidR="00500EF6" w:rsidRDefault="002969F1" w:rsidP="00AA6B74">
            <w:pPr>
              <w:spacing w:before="0" w:after="0"/>
            </w:pPr>
            <w:r>
              <w:t>Downloader.pyw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500EF6" w:rsidRDefault="002969F1" w:rsidP="00AA6B74">
            <w:pPr>
              <w:spacing w:before="0" w:after="0"/>
            </w:pPr>
            <w:r>
              <w:t>Způsob stahování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500EF6" w:rsidRPr="002969F1" w:rsidRDefault="002969F1" w:rsidP="00AA6B74">
            <w:pPr>
              <w:spacing w:before="0" w:after="0"/>
            </w:pPr>
            <w:r>
              <w:t>Celá databáze</w:t>
            </w:r>
            <w:r>
              <w:rPr>
                <w:lang w:val="en-US"/>
              </w:rPr>
              <w:t>/</w:t>
            </w:r>
            <w:r>
              <w:t>aktualizace</w:t>
            </w:r>
          </w:p>
        </w:tc>
      </w:tr>
    </w:tbl>
    <w:p w:rsidR="00230983" w:rsidRDefault="00D20609" w:rsidP="00230983">
      <w:pPr>
        <w:pStyle w:val="Nadpis4"/>
      </w:pPr>
      <w:r>
        <w:t>Nastavení času spouštění stahování</w:t>
      </w:r>
    </w:p>
    <w:p w:rsidR="00BE3EB5" w:rsidRDefault="00BE3EB5" w:rsidP="00BE3EB5">
      <w:r>
        <w:t xml:space="preserve">Umožní nastavit, v </w:t>
      </w:r>
      <w:r w:rsidR="00D20609">
        <w:t>kolik hodin se bude ze serveru stahovat nová verze balíčku dat RÚIAN.</w:t>
      </w:r>
      <w:r w:rsidR="00BD5E0C">
        <w:t xml:space="preserve"> Výchozím nastavením je </w:t>
      </w:r>
      <w:r w:rsidR="00D20609">
        <w:t>2:00 v noci.</w:t>
      </w:r>
      <w:r w:rsidR="00A448FA">
        <w:t xml:space="preserve"> Dobu stahování je vhodné konzultovat se správcem serveru VDP, tak aby nebyl tento server zbytečně zatěžován.</w:t>
      </w:r>
      <w:r w:rsidR="00496E35">
        <w:br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2271"/>
        <w:gridCol w:w="5130"/>
      </w:tblGrid>
      <w:tr w:rsidR="005C3B84" w:rsidTr="00AA6B74">
        <w:tc>
          <w:tcPr>
            <w:tcW w:w="1414" w:type="dxa"/>
            <w:shd w:val="clear" w:color="auto" w:fill="B6DDE8" w:themeFill="accent5" w:themeFillTint="66"/>
          </w:tcPr>
          <w:p w:rsidR="00716AD5" w:rsidRDefault="00716AD5" w:rsidP="00AA6B74">
            <w:pPr>
              <w:spacing w:before="0" w:after="0"/>
            </w:pPr>
            <w:r>
              <w:t>Config.py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716AD5" w:rsidRDefault="00716AD5" w:rsidP="00AA6B74">
            <w:pPr>
              <w:spacing w:before="0" w:after="0"/>
            </w:pPr>
            <w:r>
              <w:t>DOWNLOAD</w:t>
            </w:r>
            <w:r w:rsidR="005C3B84">
              <w:t>_</w:t>
            </w:r>
            <w:r w:rsidR="00D20609">
              <w:t>TIME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716AD5" w:rsidRPr="00500EF6" w:rsidRDefault="00D20609" w:rsidP="00AA6B74">
            <w:pPr>
              <w:spacing w:before="0" w:after="0"/>
              <w:rPr>
                <w:lang w:val="en-US"/>
              </w:rPr>
            </w:pPr>
            <w:r>
              <w:t>Čas</w:t>
            </w:r>
            <w:r w:rsidR="003E0C52">
              <w:t xml:space="preserve"> ve formátu hh:mm</w:t>
            </w:r>
          </w:p>
        </w:tc>
      </w:tr>
      <w:tr w:rsidR="005C3B84" w:rsidTr="00AA6B74">
        <w:tc>
          <w:tcPr>
            <w:tcW w:w="1414" w:type="dxa"/>
          </w:tcPr>
          <w:p w:rsidR="00716AD5" w:rsidRDefault="00716AD5" w:rsidP="00AA6B74">
            <w:pPr>
              <w:spacing w:before="0" w:after="0"/>
            </w:pPr>
            <w:r>
              <w:t>Command Line</w:t>
            </w:r>
          </w:p>
        </w:tc>
        <w:tc>
          <w:tcPr>
            <w:tcW w:w="2294" w:type="dxa"/>
          </w:tcPr>
          <w:p w:rsidR="00716AD5" w:rsidRDefault="00716AD5" w:rsidP="00AA6B74">
            <w:pPr>
              <w:spacing w:before="0" w:after="0"/>
            </w:pPr>
            <w:r>
              <w:t>full_download</w:t>
            </w:r>
          </w:p>
        </w:tc>
        <w:tc>
          <w:tcPr>
            <w:tcW w:w="5580" w:type="dxa"/>
          </w:tcPr>
          <w:p w:rsidR="00716AD5" w:rsidRDefault="003E0C52" w:rsidP="00AA6B74">
            <w:pPr>
              <w:spacing w:before="0" w:after="0"/>
            </w:pPr>
            <w:r>
              <w:t>Čas ve formátu hh:mm</w:t>
            </w:r>
          </w:p>
        </w:tc>
      </w:tr>
      <w:tr w:rsidR="005C3B84" w:rsidTr="00AA6B74">
        <w:tc>
          <w:tcPr>
            <w:tcW w:w="1414" w:type="dxa"/>
            <w:shd w:val="clear" w:color="auto" w:fill="B6DDE8" w:themeFill="accent5" w:themeFillTint="66"/>
          </w:tcPr>
          <w:p w:rsidR="00716AD5" w:rsidRDefault="00716AD5" w:rsidP="00AA6B74">
            <w:pPr>
              <w:spacing w:before="0" w:after="0"/>
            </w:pPr>
            <w:r>
              <w:t>Downloader.pyw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716AD5" w:rsidRDefault="00716AD5" w:rsidP="00AA6B74">
            <w:pPr>
              <w:spacing w:before="0" w:after="0"/>
            </w:pPr>
            <w:r>
              <w:t>Způsob stahování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716AD5" w:rsidRPr="002969F1" w:rsidRDefault="003E0C52" w:rsidP="00AA6B74">
            <w:pPr>
              <w:spacing w:before="0" w:after="0"/>
            </w:pPr>
            <w:r>
              <w:t>Čas ve formátu hh:mm</w:t>
            </w:r>
          </w:p>
        </w:tc>
      </w:tr>
    </w:tbl>
    <w:p w:rsidR="00230983" w:rsidRDefault="00230983" w:rsidP="00230983">
      <w:pPr>
        <w:pStyle w:val="Nadpis4"/>
      </w:pPr>
      <w:r>
        <w:t xml:space="preserve">Spouštění </w:t>
      </w:r>
      <w:r w:rsidR="00877F4C">
        <w:t>modulu RÚIAN Importer po stažení aktualizací</w:t>
      </w:r>
    </w:p>
    <w:p w:rsidR="006469E2" w:rsidRDefault="006469E2" w:rsidP="006469E2">
      <w:r>
        <w:t xml:space="preserve">Umožní nastavit, aby se po stažení aktualizací </w:t>
      </w:r>
      <w:r w:rsidR="00725A5B">
        <w:t>spustil modul pro jejich import do geodatabáze.</w:t>
      </w:r>
      <w:r w:rsidR="001513E8">
        <w:t xml:space="preserve"> </w:t>
      </w:r>
      <w:r w:rsidR="00924A39">
        <w:t xml:space="preserve">Výchozím nastavením je hodnota True. </w:t>
      </w:r>
      <w:r w:rsidR="001513E8">
        <w:t xml:space="preserve">Modul </w:t>
      </w:r>
      <w:r w:rsidR="00C447A4">
        <w:t>RÚIAN Importer musí být před prvním spuštěním již nastaven.</w:t>
      </w:r>
    </w:p>
    <w:p w:rsidR="00172253" w:rsidRDefault="00172253" w:rsidP="006469E2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2219"/>
        <w:gridCol w:w="5182"/>
      </w:tblGrid>
      <w:tr w:rsidR="008D53A5" w:rsidTr="00892483">
        <w:tc>
          <w:tcPr>
            <w:tcW w:w="1414" w:type="dxa"/>
            <w:shd w:val="clear" w:color="auto" w:fill="B6DDE8" w:themeFill="accent5" w:themeFillTint="66"/>
          </w:tcPr>
          <w:p w:rsidR="00172253" w:rsidRDefault="00172253" w:rsidP="00892483">
            <w:pPr>
              <w:spacing w:before="0" w:after="0"/>
            </w:pPr>
            <w:r>
              <w:t>Config.py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172253" w:rsidRDefault="00A53CC4" w:rsidP="00A53CC4">
            <w:pPr>
              <w:spacing w:before="0" w:after="0"/>
            </w:pPr>
            <w:r>
              <w:t>START_IMPORT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172253" w:rsidRPr="00500EF6" w:rsidRDefault="00A53CC4" w:rsidP="00892483">
            <w:pPr>
              <w:spacing w:before="0" w:after="0"/>
              <w:rPr>
                <w:lang w:val="en-US"/>
              </w:rPr>
            </w:pPr>
            <w:r>
              <w:t>True</w:t>
            </w:r>
            <w:r>
              <w:rPr>
                <w:lang w:val="en-US"/>
              </w:rPr>
              <w:t>/False</w:t>
            </w:r>
          </w:p>
        </w:tc>
      </w:tr>
      <w:tr w:rsidR="00A53CC4" w:rsidTr="00892483">
        <w:tc>
          <w:tcPr>
            <w:tcW w:w="1414" w:type="dxa"/>
          </w:tcPr>
          <w:p w:rsidR="00172253" w:rsidRDefault="00172253" w:rsidP="00892483">
            <w:pPr>
              <w:spacing w:before="0" w:after="0"/>
            </w:pPr>
            <w:r>
              <w:t>Command Line</w:t>
            </w:r>
          </w:p>
        </w:tc>
        <w:tc>
          <w:tcPr>
            <w:tcW w:w="2294" w:type="dxa"/>
          </w:tcPr>
          <w:p w:rsidR="00172253" w:rsidRDefault="00A53CC4" w:rsidP="00892483">
            <w:pPr>
              <w:spacing w:before="0" w:after="0"/>
            </w:pPr>
            <w:r>
              <w:t>start_import</w:t>
            </w:r>
          </w:p>
        </w:tc>
        <w:tc>
          <w:tcPr>
            <w:tcW w:w="5580" w:type="dxa"/>
          </w:tcPr>
          <w:p w:rsidR="00172253" w:rsidRDefault="00A53CC4" w:rsidP="00892483">
            <w:pPr>
              <w:spacing w:before="0" w:after="0"/>
            </w:pPr>
            <w:r>
              <w:t>True</w:t>
            </w:r>
            <w:r>
              <w:rPr>
                <w:lang w:val="en-US"/>
              </w:rPr>
              <w:t>/False</w:t>
            </w:r>
          </w:p>
        </w:tc>
      </w:tr>
      <w:tr w:rsidR="008D53A5" w:rsidTr="00892483">
        <w:tc>
          <w:tcPr>
            <w:tcW w:w="1414" w:type="dxa"/>
            <w:shd w:val="clear" w:color="auto" w:fill="B6DDE8" w:themeFill="accent5" w:themeFillTint="66"/>
          </w:tcPr>
          <w:p w:rsidR="00172253" w:rsidRDefault="00172253" w:rsidP="00892483">
            <w:pPr>
              <w:spacing w:before="0" w:after="0"/>
            </w:pPr>
            <w:r>
              <w:t>Downloader.pyw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172253" w:rsidRDefault="008D53A5" w:rsidP="008D53A5">
            <w:pPr>
              <w:spacing w:before="0" w:after="0"/>
            </w:pPr>
            <w:r>
              <w:t xml:space="preserve">Po </w:t>
            </w:r>
            <w:r w:rsidR="00A53CC4">
              <w:t>stažení dat RÚIAN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172253" w:rsidRPr="002969F1" w:rsidRDefault="008D53A5" w:rsidP="008D53A5">
            <w:pPr>
              <w:spacing w:before="0" w:after="0"/>
            </w:pPr>
            <w:r>
              <w:t>Importovat do geodatabáze</w:t>
            </w:r>
            <w:r>
              <w:rPr>
                <w:lang w:val="en-US"/>
              </w:rPr>
              <w:t>/Neimportovat do databáze</w:t>
            </w:r>
          </w:p>
        </w:tc>
      </w:tr>
    </w:tbl>
    <w:p w:rsidR="00E2620C" w:rsidRDefault="00921873" w:rsidP="009477CA">
      <w:pPr>
        <w:pStyle w:val="Nadpis4"/>
      </w:pPr>
      <w:r>
        <w:t>E</w:t>
      </w:r>
      <w:r w:rsidR="00926E25">
        <w:t>-</w:t>
      </w:r>
      <w:r w:rsidR="00E2620C">
        <w:t xml:space="preserve">mail </w:t>
      </w:r>
      <w:r>
        <w:t xml:space="preserve">s upozorněním </w:t>
      </w:r>
      <w:r w:rsidR="00E2620C">
        <w:t>po stažení aktualizací</w:t>
      </w:r>
    </w:p>
    <w:p w:rsidR="004137E8" w:rsidRDefault="00EA23A7" w:rsidP="004137E8">
      <w:r>
        <w:t xml:space="preserve">Umožní rozesílat notifikační maily na vybrané </w:t>
      </w:r>
      <w:r w:rsidR="00926E25">
        <w:t>e-</w:t>
      </w:r>
      <w:r>
        <w:t>mailové adresy po stažení dat ze serveru VDP.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2612"/>
        <w:gridCol w:w="4789"/>
      </w:tblGrid>
      <w:tr w:rsidR="00921873" w:rsidTr="00892483">
        <w:tc>
          <w:tcPr>
            <w:tcW w:w="1414" w:type="dxa"/>
            <w:shd w:val="clear" w:color="auto" w:fill="B6DDE8" w:themeFill="accent5" w:themeFillTint="66"/>
          </w:tcPr>
          <w:p w:rsidR="00CC6759" w:rsidRDefault="00CC6759" w:rsidP="00892483">
            <w:pPr>
              <w:spacing w:before="0" w:after="0"/>
            </w:pPr>
            <w:r>
              <w:t>Config.py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CC6759" w:rsidRDefault="00921873" w:rsidP="00921873">
            <w:pPr>
              <w:spacing w:before="0" w:after="0"/>
            </w:pPr>
            <w:r>
              <w:t>EMAIL</w:t>
            </w:r>
            <w:r w:rsidR="00CC6759">
              <w:t>_</w:t>
            </w:r>
            <w:r>
              <w:t>NOTIFICATIONS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CC6759" w:rsidRPr="00500EF6" w:rsidRDefault="000D1A6D" w:rsidP="00892483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Mailové adresy oddělené čárkou</w:t>
            </w:r>
          </w:p>
        </w:tc>
      </w:tr>
      <w:tr w:rsidR="00CC6759" w:rsidTr="00892483">
        <w:tc>
          <w:tcPr>
            <w:tcW w:w="1414" w:type="dxa"/>
          </w:tcPr>
          <w:p w:rsidR="00CC6759" w:rsidRDefault="00CC6759" w:rsidP="00892483">
            <w:pPr>
              <w:spacing w:before="0" w:after="0"/>
            </w:pPr>
            <w:r>
              <w:t>Command Line</w:t>
            </w:r>
          </w:p>
        </w:tc>
        <w:tc>
          <w:tcPr>
            <w:tcW w:w="2294" w:type="dxa"/>
          </w:tcPr>
          <w:p w:rsidR="00CC6759" w:rsidRDefault="000D1A6D" w:rsidP="000D1A6D">
            <w:pPr>
              <w:spacing w:before="0" w:after="0"/>
            </w:pPr>
            <w:r>
              <w:t>email</w:t>
            </w:r>
            <w:r w:rsidR="00CC6759">
              <w:t>_</w:t>
            </w:r>
            <w:r>
              <w:t>notifications</w:t>
            </w:r>
          </w:p>
        </w:tc>
        <w:tc>
          <w:tcPr>
            <w:tcW w:w="5580" w:type="dxa"/>
          </w:tcPr>
          <w:p w:rsidR="00CC6759" w:rsidRDefault="000D1A6D" w:rsidP="00892483">
            <w:pPr>
              <w:spacing w:before="0" w:after="0"/>
            </w:pPr>
            <w:r>
              <w:rPr>
                <w:lang w:val="en-US"/>
              </w:rPr>
              <w:t>Mailové adresy oddělené čárkou</w:t>
            </w:r>
          </w:p>
        </w:tc>
      </w:tr>
      <w:tr w:rsidR="00921873" w:rsidTr="00892483">
        <w:tc>
          <w:tcPr>
            <w:tcW w:w="1414" w:type="dxa"/>
            <w:shd w:val="clear" w:color="auto" w:fill="B6DDE8" w:themeFill="accent5" w:themeFillTint="66"/>
          </w:tcPr>
          <w:p w:rsidR="00CC6759" w:rsidRDefault="00CC6759" w:rsidP="00892483">
            <w:pPr>
              <w:spacing w:before="0" w:after="0"/>
            </w:pPr>
            <w:r>
              <w:t>Downloader.pyw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:rsidR="00CC6759" w:rsidRDefault="000D1A6D" w:rsidP="000D1A6D">
            <w:pPr>
              <w:spacing w:before="0" w:after="0"/>
            </w:pPr>
            <w:r>
              <w:t>Upozorňující e-mail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:rsidR="00CC6759" w:rsidRPr="002969F1" w:rsidRDefault="000D1A6D" w:rsidP="00892483">
            <w:pPr>
              <w:spacing w:before="0" w:after="0"/>
            </w:pPr>
            <w:r>
              <w:rPr>
                <w:lang w:val="en-US"/>
              </w:rPr>
              <w:t>Mailové adresy</w:t>
            </w:r>
          </w:p>
        </w:tc>
      </w:tr>
    </w:tbl>
    <w:p w:rsidR="00CC6759" w:rsidRPr="004137E8" w:rsidRDefault="00CC6759" w:rsidP="004137E8"/>
    <w:p w:rsidR="0027023F" w:rsidRDefault="0027023F" w:rsidP="000B01C1">
      <w:pPr>
        <w:pStyle w:val="Nadpis3"/>
      </w:pPr>
      <w:r>
        <w:lastRenderedPageBreak/>
        <w:t>Ovládání z příkazového řádku</w:t>
      </w:r>
    </w:p>
    <w:p w:rsidR="00F02E72" w:rsidRDefault="00360913" w:rsidP="00F02E72">
      <w:r>
        <w:t>Ruční s</w:t>
      </w:r>
      <w:r w:rsidR="00F02E72">
        <w:t xml:space="preserve">tažení </w:t>
      </w:r>
      <w:r w:rsidR="006A1FD4">
        <w:t>aktuální datové sady</w:t>
      </w:r>
    </w:p>
    <w:p w:rsidR="007F3CFA" w:rsidRPr="00F02E72" w:rsidRDefault="007F3CFA" w:rsidP="00F02E72">
      <w:r>
        <w:t>Nastavení automatického stahování</w:t>
      </w:r>
    </w:p>
    <w:p w:rsidR="00295A04" w:rsidRDefault="00295A04" w:rsidP="00295A04">
      <w:pPr>
        <w:pStyle w:val="Nadpis1"/>
      </w:pPr>
      <w:bookmarkStart w:id="7" w:name="_Toc378603813"/>
      <w:r>
        <w:lastRenderedPageBreak/>
        <w:t>Použité zkratky</w:t>
      </w:r>
      <w:bookmarkEnd w:id="7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88417C" w:rsidP="00295A04">
            <w:hyperlink r:id="rId14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88417C" w:rsidP="00295A04">
            <w:hyperlink r:id="rId15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88417C" w:rsidP="00127F0E">
            <w:hyperlink r:id="rId16" w:history="1">
              <w:r w:rsidR="00127F0E">
                <w:rPr>
                  <w:rStyle w:val="Hypertextovodkaz"/>
                </w:rPr>
                <w:t>OpenSource</w:t>
              </w:r>
            </w:hyperlink>
          </w:p>
        </w:tc>
        <w:tc>
          <w:tcPr>
            <w:tcW w:w="7380" w:type="dxa"/>
          </w:tcPr>
          <w:p w:rsidR="00295A04" w:rsidRDefault="00A24247" w:rsidP="00295A04">
            <w:r>
              <w:t xml:space="preserve">OpenSource Software </w:t>
            </w:r>
            <w:r w:rsidR="005A5013">
              <w:t>Initiative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7E4" w:rsidRDefault="002177E4">
      <w:r>
        <w:separator/>
      </w:r>
    </w:p>
  </w:endnote>
  <w:endnote w:type="continuationSeparator" w:id="0">
    <w:p w:rsidR="002177E4" w:rsidRDefault="00217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>Verze: 0.1.6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88417C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88417C" w:rsidRPr="00991AB9">
      <w:rPr>
        <w:rFonts w:ascii="Arial" w:hAnsi="Arial" w:cs="Arial"/>
        <w:smallCaps/>
        <w:sz w:val="18"/>
        <w:szCs w:val="18"/>
      </w:rPr>
      <w:fldChar w:fldCharType="separate"/>
    </w:r>
    <w:r w:rsidR="00DF3AE2">
      <w:rPr>
        <w:rFonts w:ascii="Arial" w:hAnsi="Arial" w:cs="Arial"/>
        <w:smallCaps/>
        <w:noProof/>
        <w:sz w:val="18"/>
        <w:szCs w:val="18"/>
      </w:rPr>
      <w:t>5</w:t>
    </w:r>
    <w:r w:rsidR="0088417C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88417C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88417C" w:rsidRPr="00991AB9">
      <w:rPr>
        <w:rFonts w:ascii="Arial" w:hAnsi="Arial" w:cs="Arial"/>
        <w:smallCaps/>
        <w:sz w:val="18"/>
        <w:szCs w:val="18"/>
      </w:rPr>
      <w:fldChar w:fldCharType="separate"/>
    </w:r>
    <w:r w:rsidR="00DF3AE2">
      <w:rPr>
        <w:rFonts w:ascii="Arial" w:hAnsi="Arial" w:cs="Arial"/>
        <w:smallCaps/>
        <w:noProof/>
        <w:sz w:val="18"/>
        <w:szCs w:val="18"/>
      </w:rPr>
      <w:t>7</w:t>
    </w:r>
    <w:r w:rsidR="0088417C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7E4" w:rsidRDefault="002177E4">
      <w:r>
        <w:separator/>
      </w:r>
    </w:p>
  </w:footnote>
  <w:footnote w:type="continuationSeparator" w:id="0">
    <w:p w:rsidR="002177E4" w:rsidRDefault="00217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C52"/>
    <w:rsid w:val="003E44CB"/>
    <w:rsid w:val="003F21BF"/>
    <w:rsid w:val="003F5E34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54571"/>
    <w:rsid w:val="005621F7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4979"/>
    <w:rsid w:val="00A05E0A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60E71"/>
    <w:rsid w:val="00D632EE"/>
    <w:rsid w:val="00D81431"/>
    <w:rsid w:val="00D976DC"/>
    <w:rsid w:val="00DB4DA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pensourc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vdp.cuzk.cz/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cuzk.cz/ruian/RUIAN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1A47A4"/>
    <w:rsid w:val="00313905"/>
    <w:rsid w:val="00383019"/>
    <w:rsid w:val="00540D9C"/>
    <w:rsid w:val="005C46CE"/>
    <w:rsid w:val="00681605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F2E66-4E90-40EF-98C0-26A794BC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5855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210</cp:revision>
  <cp:lastPrinted>2013-12-05T09:41:00Z</cp:lastPrinted>
  <dcterms:created xsi:type="dcterms:W3CDTF">2013-06-05T08:53:00Z</dcterms:created>
  <dcterms:modified xsi:type="dcterms:W3CDTF">2014-01-29T11:36:00Z</dcterms:modified>
</cp:coreProperties>
</file>