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NEURO-ÉDUCATION · Module 8 — Sommeil &amp; consolidation</w:t>
      </w:r>
    </w:p>
    <w:p>
      <w:pPr>
        <w:pStyle w:val="IntenseQuote"/>
      </w:pPr>
      <w:r>
        <w:rPr>
          <w:b/>
        </w:rPr>
        <w:t>Version réécrite et fact-checkée.</w:t>
      </w:r>
      <w:r>
        <w:t xml:space="preserve"> Ce module fait partie du parcours</w:t>
      </w:r>
    </w:p>
    <w:p>
      <w:pPr>
        <w:pStyle w:val="IntenseQuote"/>
      </w:pPr>
      <w:r>
        <w:t>Neuro-Éducation entièrement réécrit : mythes retirés, affirmations rattachées à</w:t>
      </w:r>
    </w:p>
    <w:p>
      <w:pPr>
        <w:pStyle w:val="IntenseQuote"/>
      </w:pPr>
      <w:r>
        <w:t>des sources vérifiées (existence, auteurs, année, contenu). Les affirmations</w:t>
      </w:r>
    </w:p>
    <w:p>
      <w:pPr>
        <w:pStyle w:val="IntenseQuote"/>
      </w:pPr>
      <w:r>
        <w:t>sans source réelle ont été supprimées, jamais remplacées par un substitut.</w:t>
      </w:r>
    </w:p>
    <w:p>
      <w:pPr>
        <w:pStyle w:val="IntenseQuote"/>
      </w:pPr>
      <w:r>
        <w:t>Bibliographie complète en fin de document.</w:t>
      </w:r>
    </w:p>
    <w:p>
      <w:pPr>
        <w:pStyle w:val="IntenseQuote"/>
      </w:pPr>
    </w:p>
    <w:p>
      <w:pPr>
        <w:pStyle w:val="IntenseQuote"/>
      </w:pPr>
      <w:r>
        <w:rPr>
          <w:i/>
        </w:rPr>
        <w:t>Découpé en module autonome le 2026-07-24, à partir du parcours réécrit.</w:t>
      </w:r>
    </w:p>
    <w:p>
      <w:pPr>
        <w:jc w:val="center"/>
      </w:pPr>
      <w:r>
        <w:t>________________________________________</w:t>
      </w:r>
    </w:p>
    <w:p>
      <w:r>
        <w:rPr>
          <w:i/>
        </w:rPr>
        <w:t>Le sommeil n'est pas une mise en veille : c'est là que l'apprentissage se fixe. Ce que fait la nuit, et comment en tenir compte.</w:t>
      </w:r>
    </w:p>
    <w:p>
      <w:r>
        <w:rPr>
          <w:b/>
        </w:rPr>
        <w:t>Ce que vous saurez faire</w:t>
      </w:r>
    </w:p>
    <w:p>
      <w:pPr>
        <w:pStyle w:val="ListBullet"/>
      </w:pPr>
      <w:r>
        <w:rPr>
          <w:b/>
        </w:rPr>
        <w:t>Expliquer</w:t>
      </w:r>
      <w:r>
        <w:t xml:space="preserve"> le rôle du sommeil dans la consolidation.</w:t>
      </w:r>
    </w:p>
    <w:p>
      <w:pPr>
        <w:pStyle w:val="ListBullet"/>
      </w:pPr>
      <w:r>
        <w:rPr>
          <w:b/>
        </w:rPr>
        <w:t>Distinguer</w:t>
      </w:r>
      <w:r>
        <w:t xml:space="preserve"> sommeil lent (déclaratif) et REM (intégration).</w:t>
      </w:r>
    </w:p>
    <w:p>
      <w:pPr>
        <w:pStyle w:val="ListBullet"/>
      </w:pPr>
      <w:r>
        <w:rPr>
          <w:b/>
        </w:rPr>
        <w:t>Reconnaître</w:t>
      </w:r>
      <w:r>
        <w:t xml:space="preserve"> le coût de la privation de sommeil.</w:t>
      </w:r>
    </w:p>
    <w:p>
      <w:pPr>
        <w:pStyle w:val="ListBullet"/>
      </w:pPr>
      <w:r>
        <w:rPr>
          <w:b/>
        </w:rPr>
        <w:t>Intégrer</w:t>
      </w:r>
      <w:r>
        <w:t xml:space="preserve"> le sommeil dans un dispositif de formation.</w:t>
      </w:r>
    </w:p>
    <w:p>
      <w:pPr>
        <w:pStyle w:val="Heading2"/>
      </w:pPr>
      <w:r>
        <w:t>01 · Engagement — Bachoter la nuit, ou dormir dessus</w:t>
      </w:r>
    </w:p>
    <w:p>
      <w:r>
        <w:t>La veille d'une certification, deux stratégies. L'une prolonge la révision jusqu'à tard ; l'autre s'arrête tôt et laisse la nuit faire son travail. La seconde gagne presque toujours — et le module explique pourquoi.</w:t>
      </w:r>
    </w:p>
    <w:p>
      <w:r>
        <w:rPr>
          <w:b/>
        </w:rPr>
        <w:t>Approche A · la veillée — grignoter sur le sommeil</w:t>
      </w:r>
    </w:p>
    <w:p>
      <w:pPr>
        <w:pStyle w:val="ListBullet"/>
      </w:pPr>
      <w:r>
        <w:t>Révision tardive, café après 14 h</w:t>
      </w:r>
    </w:p>
    <w:p>
      <w:pPr>
        <w:pStyle w:val="ListBullet"/>
      </w:pPr>
      <w:r>
        <w:t>Nuit courte et fragmentée</w:t>
      </w:r>
    </w:p>
    <w:p>
      <w:pPr>
        <w:pStyle w:val="ListBullet"/>
      </w:pPr>
      <w:r>
        <w:t>Sensation de « maîtrise » en soirée…</w:t>
      </w:r>
    </w:p>
    <w:p>
      <w:pPr>
        <w:pStyle w:val="ListBullet"/>
      </w:pPr>
      <w:r>
        <w:t>…mais mémoire mal fixée le lendemain</w:t>
      </w:r>
    </w:p>
    <w:p>
      <w:r>
        <w:rPr>
          <w:b/>
        </w:rPr>
        <w:t>Approche B · dormir dessus — laisser la nuit consolider</w:t>
      </w:r>
    </w:p>
    <w:p>
      <w:pPr>
        <w:pStyle w:val="ListBullet"/>
      </w:pPr>
      <w:r>
        <w:t>Arrêt tôt, coucher à heure régulière</w:t>
      </w:r>
    </w:p>
    <w:p>
      <w:pPr>
        <w:pStyle w:val="ListBullet"/>
      </w:pPr>
      <w:r>
        <w:t>Nuit complète : sommeil lent + REM</w:t>
      </w:r>
    </w:p>
    <w:p>
      <w:pPr>
        <w:pStyle w:val="ListBullet"/>
      </w:pPr>
      <w:r>
        <w:t>Un rappel léger le lendemain matin</w:t>
      </w:r>
    </w:p>
    <w:p>
      <w:pPr>
        <w:pStyle w:val="ListBullet"/>
      </w:pPr>
      <w:r>
        <w:t>Ce qui a été appris tient mieux</w:t>
      </w:r>
    </w:p>
    <w:p>
      <w:r>
        <w:rPr>
          <w:b/>
        </w:rPr>
        <w:t>Repère.</w:t>
      </w:r>
      <w:r>
        <w:t xml:space="preserve"> Ce module s'appuie sur des travaux solides (Diekelmann &amp; Born ; recherche sur le nettoyage glymphatique). Quelques pourcentages « chocs » de la version d'origine ont été retirés ou nuancés.</w:t>
      </w:r>
    </w:p>
    <w:p>
      <w:r>
        <w:rPr>
          <w:b/>
        </w:rPr>
        <w:t>Question clé.</w:t>
      </w:r>
      <w:r>
        <w:t xml:space="preserve"> Mes dispositifs respectent-ils le sommeil des apprenants ? Ou grignotent-ils la nuit où tout se consolide ?</w:t>
      </w:r>
    </w:p>
    <w:p>
      <w:pPr>
        <w:pStyle w:val="Heading2"/>
      </w:pPr>
      <w:r>
        <w:t>02 · Découvrir — Ce que fait la nuit</w:t>
      </w:r>
    </w:p>
    <w:p>
      <w:pPr>
        <w:pStyle w:val="Heading3"/>
      </w:pPr>
      <w:r>
        <w:t>Une nuit, plusieurs cycles</w:t>
      </w:r>
    </w:p>
    <w:p>
      <w:r>
        <w:t xml:space="preserve">Une nuit s'organise en cycles d'environ 90 minutes. En début de nuit domine le </w:t>
      </w:r>
      <w:r>
        <w:rPr>
          <w:b/>
        </w:rPr>
        <w:t>sommeil lent profond</w:t>
      </w:r>
      <w:r>
        <w:t xml:space="preserve"> (ondes lentes) : c'est là que se consolide surtout le déclaratif (faits, concepts). En fin de nuit domine le </w:t>
      </w:r>
      <w:r>
        <w:rPr>
          <w:b/>
        </w:rPr>
        <w:t>sommeil paradoxal (REM)</w:t>
      </w:r>
      <w:r>
        <w:t>, associé à l'intégration des connaissances, à la créativité et au traitement des émotions. Les fuseaux du sommeil (stade 2) accompagnent le transfert de l'information.</w:t>
      </w:r>
    </w:p>
    <w:p>
      <w:pPr>
        <w:pStyle w:val="Heading3"/>
      </w:pPr>
      <w:r>
        <w:t>Le transfert hippocampe → cortex</w:t>
      </w:r>
    </w:p>
    <w:p>
      <w:r>
        <w:t xml:space="preserve">Pendant le sommeil, le cerveau « rejoue » les expériences de la journée et transfère progressivement les traces de l'hippocampe (stockage rapide, fragile) vers le cortex (stockage durable) (Diekelmann &amp; Born, 2010). D'où une règle simple : </w:t>
      </w:r>
      <w:r>
        <w:rPr>
          <w:b/>
        </w:rPr>
        <w:t>dormir la nuit même</w:t>
      </w:r>
      <w:r>
        <w:t xml:space="preserve"> compte — repousser d'une semaine dégrade la consolidation.</w:t>
      </w:r>
    </w:p>
    <w:p>
      <w:pPr>
        <w:pStyle w:val="Heading3"/>
      </w:pPr>
      <w:r>
        <w:t>Le nettoyage nocturne</w:t>
      </w:r>
    </w:p>
    <w:p>
      <w:r>
        <w:t>Le sommeil profond active aussi un « nettoyage » du cerveau (système glymphatique) qui évacue des déchets métaboliques, dont des protéines associées aux maladies neurodégénératives (Xie et al., 2013). Un sommeil chroniquement insuffisant est associé à un risque cérébral accru — un lien de corrélation à ne pas transformer en chiffre spectaculaire.</w:t>
      </w:r>
    </w:p>
    <w:p>
      <w:pPr>
        <w:pStyle w:val="Heading3"/>
      </w:pPr>
      <w:r>
        <w:t>Le coût de la privation</w:t>
      </w:r>
    </w:p>
    <w:p>
      <w:r>
        <w:t>Manquer de sommeil dégrade fortement l'attention, la mémoire de travail et le jugement. Un repère parlant : après 17 à 19 heures d'éveil continu, les performances chutent à un niveau comparable à une alcoolémie proche de la limite légale (Williamson &amp; Feyer, 2000). À l'inverse, une courte sieste après l'apprentissage aide la consolidation (Mednick et al., 2003).</w:t>
      </w:r>
    </w:p>
    <w:p>
      <w:pPr>
        <w:pStyle w:val="Heading2"/>
      </w:pPr>
      <w:r>
        <w:t>03 · Réfléchir — Six questions pour vérifier</w:t>
      </w:r>
    </w:p>
    <w:p>
      <w:r>
        <w:rPr>
          <w:b/>
        </w:rPr>
        <w:t>Q1.</w:t>
      </w:r>
      <w:r>
        <w:t xml:space="preserve"> La durée d'un cycle de sommeil ? ✓ </w:t>
      </w:r>
      <w:r>
        <w:rPr>
          <w:b/>
        </w:rPr>
        <w:t>Environ 90 minutes.</w:t>
      </w:r>
    </w:p>
    <w:p>
      <w:r>
        <w:rPr>
          <w:b/>
        </w:rPr>
        <w:t>Q2.</w:t>
      </w:r>
      <w:r>
        <w:t xml:space="preserve"> Le sommeil lent profond ? ✓ </w:t>
      </w:r>
      <w:r>
        <w:rPr>
          <w:b/>
        </w:rPr>
        <w:t>Consolide le déclaratif</w:t>
      </w:r>
      <w:r>
        <w:t xml:space="preserve"> (hippocampe → cortex).</w:t>
      </w:r>
    </w:p>
    <w:p>
      <w:r>
        <w:rPr>
          <w:b/>
        </w:rPr>
        <w:t>Q3.</w:t>
      </w:r>
      <w:r>
        <w:t xml:space="preserve"> Le sommeil transfère les traces vers… ✓ </w:t>
      </w:r>
      <w:r>
        <w:rPr>
          <w:b/>
        </w:rPr>
        <w:t>Le cortex</w:t>
      </w:r>
      <w:r>
        <w:t>, stockage durable (Diekelmann &amp; Born, 2010).</w:t>
      </w:r>
    </w:p>
    <w:p>
      <w:r>
        <w:rPr>
          <w:b/>
        </w:rPr>
        <w:t>Q4.</w:t>
      </w:r>
      <w:r>
        <w:t xml:space="preserve"> Rester éveillé 17-19 h ? ✓ </w:t>
      </w:r>
      <w:r>
        <w:rPr>
          <w:b/>
        </w:rPr>
        <w:t>≈ une alcoolémie proche de la limite légale</w:t>
      </w:r>
      <w:r>
        <w:t xml:space="preserve"> (Williamson &amp; Feyer, 2000).</w:t>
      </w:r>
    </w:p>
    <w:p>
      <w:r>
        <w:rPr>
          <w:b/>
        </w:rPr>
        <w:t>Q5.</w:t>
      </w:r>
      <w:r>
        <w:t xml:space="preserve"> Une courte sieste après l'apprentissage ? ✓ </w:t>
      </w:r>
      <w:r>
        <w:rPr>
          <w:b/>
        </w:rPr>
        <w:t>Aide la consolidation</w:t>
      </w:r>
      <w:r>
        <w:t xml:space="preserve"> (Mednick et al., 2003).</w:t>
      </w:r>
    </w:p>
    <w:p>
      <w:r>
        <w:rPr>
          <w:b/>
        </w:rPr>
        <w:t>Q6.</w:t>
      </w:r>
      <w:r>
        <w:t xml:space="preserve"> Le sommeil, dans un parcours ? ✓ </w:t>
      </w:r>
      <w:r>
        <w:rPr>
          <w:b/>
        </w:rPr>
        <w:t>Une priorité</w:t>
      </w:r>
      <w:r>
        <w:t xml:space="preserve"> : la consolidation se joue la nuit, pas en veillant.</w:t>
      </w:r>
    </w:p>
    <w:p>
      <w:pPr>
        <w:pStyle w:val="Heading2"/>
      </w:pPr>
      <w:r>
        <w:t>04 · Appliquer — Un calendrier qui respecte le sommeil</w:t>
      </w:r>
    </w:p>
    <w:p>
      <w:r>
        <w:t>Mission (~10 min) : intégrez le sommeil au dispositif d'une formation.</w:t>
      </w:r>
    </w:p>
    <w:p>
      <w:r>
        <w:rPr>
          <w:b/>
        </w:rPr>
        <w:t>Trame</w:t>
      </w:r>
    </w:p>
    <w:p>
      <w:pPr>
        <w:pStyle w:val="ListBullet"/>
      </w:pPr>
      <w:r>
        <w:rPr>
          <w:b/>
        </w:rPr>
        <w:t>Jour 0</w:t>
      </w:r>
      <w:r>
        <w:t xml:space="preserve"> — éviter les sessions tardives ; message clair : « dormez dessus, la consolidation commence ce soir ».</w:t>
      </w:r>
    </w:p>
    <w:p>
      <w:pPr>
        <w:pStyle w:val="ListBullet"/>
      </w:pPr>
      <w:r>
        <w:rPr>
          <w:b/>
        </w:rPr>
        <w:t>Jour 1</w:t>
      </w:r>
      <w:r>
        <w:t xml:space="preserve"> — un rappel de récupération le matin ; une courte sieste si possible.</w:t>
      </w:r>
    </w:p>
    <w:p>
      <w:pPr>
        <w:pStyle w:val="ListBullet"/>
      </w:pPr>
      <w:r>
        <w:rPr>
          <w:b/>
        </w:rPr>
        <w:t>Jour 7</w:t>
      </w:r>
      <w:r>
        <w:t xml:space="preserve"> — une reprise espacée, nuit complète avant toute certification.</w:t>
      </w:r>
    </w:p>
    <w:p>
      <w:pPr>
        <w:pStyle w:val="ListBullet"/>
      </w:pPr>
      <w:r>
        <w:rPr>
          <w:b/>
        </w:rPr>
        <w:t>Langage</w:t>
      </w:r>
      <w:r>
        <w:t xml:space="preserve"> — remplacer « révisez tard » par « dormez suffisamment : le cerveau consolide la nuit ».</w:t>
      </w:r>
    </w:p>
    <w:p>
      <w:pPr>
        <w:pStyle w:val="Heading2"/>
      </w:pPr>
      <w:r>
        <w:t>05 · Consolider — Trois phrases à emporter</w:t>
      </w:r>
    </w:p>
    <w:p>
      <w:r>
        <w:t>« On consolide en dormant, pas en veillant. » — La nuit fait le travail que la veillée défait.</w:t>
      </w:r>
    </w:p>
    <w:p>
      <w:r>
        <w:t>« La nuit même compte. » — Le transfert hippocampe → cortex n'attend pas la semaine suivante.</w:t>
      </w:r>
    </w:p>
    <w:p>
      <w:r>
        <w:t>« Le manque de sommeil coûte comme l'alcool. » — Après une longue veille, l'attention chute d'autant.</w:t>
      </w:r>
    </w:p>
    <w:p>
      <w:pPr>
        <w:pStyle w:val="Heading2"/>
      </w:pPr>
      <w:r>
        <w:t>06 · Transférer — Un seul geste, cette semaine</w:t>
      </w:r>
    </w:p>
    <w:p>
      <w:r>
        <w:rPr>
          <w:b/>
        </w:rPr>
        <w:t>À faire.</w:t>
      </w:r>
      <w:r>
        <w:t xml:space="preserve"> Sur un dispositif à venir, déplacez une session du soir vers la journée — ou ajoutez, en clôture, une consigne explicite : « dormez dessus ». Observez l'effet sur ce qui reste le lendemain.</w:t>
      </w:r>
    </w:p>
    <w:p>
      <w:pPr>
        <w:jc w:val="center"/>
      </w:pPr>
      <w:r>
        <w:t>________________________________________</w:t>
      </w:r>
    </w:p>
    <w:p>
      <w:pPr>
        <w:pStyle w:val="Heading1"/>
      </w:pPr>
      <w:r>
        <w:t>Bibliographie du parcours</w:t>
      </w:r>
    </w:p>
    <w:p>
      <w:r>
        <w:rPr>
          <w:i/>
        </w:rPr>
        <w:t>Toutes vérifiées (existence, auteurs, année, contenu). Les affirmations de science du parcours s'y rattachent ; les claims sans source réelle ont été retirés, non remplacés par des substituts.</w:t>
      </w:r>
    </w:p>
    <w:p>
      <w:pPr>
        <w:pStyle w:val="ListNumber"/>
      </w:pPr>
      <w:r>
        <w:rPr>
          <w:b/>
        </w:rPr>
        <w:t>[Livre]</w:t>
      </w:r>
      <w:r>
        <w:t xml:space="preserve"> Dehaene, S. (2018). </w:t>
      </w:r>
      <w:r>
        <w:rPr>
          <w:i/>
        </w:rPr>
        <w:t>Apprendre ! Les talents du cerveau, le défi des machines.</w:t>
      </w:r>
      <w:r>
        <w:t xml:space="preserve"> Odile Jacob.</w:t>
      </w:r>
    </w:p>
    <w:p>
      <w:pPr>
        <w:pStyle w:val="ListNumber"/>
      </w:pPr>
      <w:r>
        <w:rPr>
          <w:b/>
        </w:rPr>
        <w:t>[Fondateur]</w:t>
      </w:r>
      <w:r>
        <w:t xml:space="preserve"> Hebb, D. O. (1949). </w:t>
      </w:r>
      <w:r>
        <w:rPr>
          <w:i/>
        </w:rPr>
        <w:t>The Organization of Behavior.</w:t>
      </w:r>
      <w:r>
        <w:t xml:space="preserve"> Wiley.</w:t>
      </w:r>
    </w:p>
    <w:p>
      <w:pPr>
        <w:pStyle w:val="ListNumber"/>
      </w:pPr>
      <w:r>
        <w:rPr>
          <w:b/>
        </w:rPr>
        <w:t>[Acad.]</w:t>
      </w:r>
      <w:r>
        <w:t xml:space="preserve"> Miller, G. A. (1956). </w:t>
      </w:r>
      <w:r>
        <w:rPr>
          <w:i/>
        </w:rPr>
        <w:t>The magical number seven, plus or minus two.</w:t>
      </w:r>
      <w:r>
        <w:t xml:space="preserve"> Psychological Review, 63(2).</w:t>
      </w:r>
    </w:p>
    <w:p>
      <w:pPr>
        <w:pStyle w:val="ListNumber"/>
      </w:pPr>
      <w:r>
        <w:rPr>
          <w:b/>
        </w:rPr>
        <w:t>[Acad.]</w:t>
      </w:r>
      <w:r>
        <w:t xml:space="preserve"> Cowan, N. (2001). </w:t>
      </w:r>
      <w:r>
        <w:rPr>
          <w:i/>
        </w:rPr>
        <w:t>The magical number 4 in short-term memory.</w:t>
      </w:r>
      <w:r>
        <w:t xml:space="preserve"> Behavioral and Brain Sciences, 24(1).</w:t>
      </w:r>
    </w:p>
    <w:p>
      <w:pPr>
        <w:pStyle w:val="ListNumber"/>
      </w:pPr>
      <w:r>
        <w:rPr>
          <w:b/>
        </w:rPr>
        <w:t>[Acad.]</w:t>
      </w:r>
      <w:r>
        <w:t xml:space="preserve"> Baddeley, A. (2000). </w:t>
      </w:r>
      <w:r>
        <w:rPr>
          <w:i/>
        </w:rPr>
        <w:t>The episodic buffer: a new component of working memory?</w:t>
      </w:r>
      <w:r>
        <w:t xml:space="preserve"> Trends in Cognitive Sciences, 4(11).</w:t>
      </w:r>
    </w:p>
    <w:p>
      <w:pPr>
        <w:pStyle w:val="ListNumber"/>
      </w:pPr>
      <w:r>
        <w:rPr>
          <w:b/>
        </w:rPr>
        <w:t>[Fondateur]</w:t>
      </w:r>
      <w:r>
        <w:t xml:space="preserve"> Ebbinghaus, H. (1885). </w:t>
      </w:r>
      <w:r>
        <w:rPr>
          <w:i/>
        </w:rPr>
        <w:t>Über das Gedächtnis.</w:t>
      </w:r>
      <w:r>
        <w:t xml:space="preserve"> — courbe de l'oubli.</w:t>
      </w:r>
    </w:p>
    <w:p>
      <w:pPr>
        <w:pStyle w:val="ListNumber"/>
      </w:pPr>
      <w:r>
        <w:rPr>
          <w:b/>
        </w:rPr>
        <w:t>[Acad.]</w:t>
      </w:r>
      <w:r>
        <w:t xml:space="preserve"> Murre, J. M. J. &amp; Dros, J. (2015). </w:t>
      </w:r>
      <w:r>
        <w:rPr>
          <w:i/>
        </w:rPr>
        <w:t>Replication and Analysis of Ebbinghaus' Forgetting Curve.</w:t>
      </w:r>
      <w:r>
        <w:t xml:space="preserve"> PLOS ONE, 10(7). &lt;https://journals.plos.org/plosone/article?id=10.1371/journal.pone.0120644&gt;</w:t>
      </w:r>
    </w:p>
    <w:p>
      <w:pPr>
        <w:pStyle w:val="ListNumber"/>
      </w:pPr>
      <w:r>
        <w:rPr>
          <w:b/>
        </w:rPr>
        <w:t>[Acad.]</w:t>
      </w:r>
      <w:r>
        <w:t xml:space="preserve"> Cepeda, N. J., Pashler, H. et al. (2006). </w:t>
      </w:r>
      <w:r>
        <w:rPr>
          <w:i/>
        </w:rPr>
        <w:t>Distributed practice in verbal recall tasks: A review and quantitative synthesis.</w:t>
      </w:r>
      <w:r>
        <w:t xml:space="preserve"> Psychological Bulletin, 132(3).</w:t>
      </w:r>
    </w:p>
    <w:p>
      <w:pPr>
        <w:pStyle w:val="ListNumber"/>
      </w:pPr>
      <w:r>
        <w:rPr>
          <w:b/>
        </w:rPr>
        <w:t>[Acad.]</w:t>
      </w:r>
      <w:r>
        <w:t xml:space="preserve"> Roediger, H. L. &amp; Karpicke, J. D. (2006). </w:t>
      </w:r>
      <w:r>
        <w:rPr>
          <w:i/>
        </w:rPr>
        <w:t>Test-enhanced learning.</w:t>
      </w:r>
      <w:r>
        <w:t xml:space="preserve"> Psychological Science, 17(3).</w:t>
      </w:r>
    </w:p>
    <w:p>
      <w:pPr>
        <w:pStyle w:val="ListNumber"/>
      </w:pPr>
      <w:r>
        <w:rPr>
          <w:b/>
        </w:rPr>
        <w:t>[Acad.]</w:t>
      </w:r>
      <w:r>
        <w:t xml:space="preserve"> Bjork, R. A. (1994). </w:t>
      </w:r>
      <w:r>
        <w:rPr>
          <w:i/>
        </w:rPr>
        <w:t>Memory and metamemory considerations in the training of human beings.</w:t>
      </w:r>
      <w:r>
        <w:t xml:space="preserve"> — « difficultés désirables ».</w:t>
      </w:r>
    </w:p>
    <w:p>
      <w:pPr>
        <w:pStyle w:val="ListNumber"/>
      </w:pPr>
      <w:r>
        <w:rPr>
          <w:b/>
        </w:rPr>
        <w:t>[Acad.]</w:t>
      </w:r>
      <w:r>
        <w:t xml:space="preserve"> Bradbury, N. A. (2016). </w:t>
      </w:r>
      <w:r>
        <w:rPr>
          <w:i/>
        </w:rPr>
        <w:t>Attention span during lectures: 8 seconds, 10 minutes, or more?</w:t>
      </w:r>
      <w:r>
        <w:t xml:space="preserve"> Advances in Physiology Education, 40(4). &lt;https://journals.physiology.org/doi/full/10.1152/advan.00109.2016&gt;</w:t>
      </w:r>
    </w:p>
    <w:p>
      <w:pPr>
        <w:pStyle w:val="ListNumber"/>
      </w:pPr>
      <w:r>
        <w:rPr>
          <w:b/>
        </w:rPr>
        <w:t>[L&amp;D]</w:t>
      </w:r>
      <w:r>
        <w:t xml:space="preserve"> Maybin, S. (2017). </w:t>
      </w:r>
      <w:r>
        <w:rPr>
          <w:i/>
        </w:rPr>
        <w:t>Busting the attention span myth.</w:t>
      </w:r>
      <w:r>
        <w:t xml:space="preserve"> BBC — More or Less. &lt;https://www.bbc.com/news/health-38896790&gt;</w:t>
      </w:r>
    </w:p>
    <w:p>
      <w:pPr>
        <w:pStyle w:val="ListNumber"/>
      </w:pPr>
      <w:r>
        <w:rPr>
          <w:b/>
        </w:rPr>
        <w:t>[Acad.]</w:t>
      </w:r>
      <w:r>
        <w:t xml:space="preserve"> Mayer, R. E. </w:t>
      </w:r>
      <w:r>
        <w:rPr>
          <w:i/>
        </w:rPr>
        <w:t>Multimedia Learning.</w:t>
      </w:r>
      <w:r>
        <w:t xml:space="preserve"> Cambridge University Press — segmentation (d ≈ 0,52), multimédia (d ≈ 1,39).</w:t>
      </w:r>
    </w:p>
    <w:p>
      <w:pPr>
        <w:pStyle w:val="ListNumber"/>
      </w:pPr>
      <w:r>
        <w:rPr>
          <w:b/>
        </w:rPr>
        <w:t>[Acad.]</w:t>
      </w:r>
      <w:r>
        <w:t xml:space="preserve"> Posner, M. I. &amp; Petersen, S. E. (1990). </w:t>
      </w:r>
      <w:r>
        <w:rPr>
          <w:i/>
        </w:rPr>
        <w:t>The attention system of the human brain.</w:t>
      </w:r>
      <w:r>
        <w:t xml:space="preserve"> Annual Review of Neuroscience, 13.</w:t>
      </w:r>
    </w:p>
    <w:p>
      <w:pPr>
        <w:pStyle w:val="ListNumber"/>
      </w:pPr>
      <w:r>
        <w:rPr>
          <w:b/>
        </w:rPr>
        <w:t>[Acad.]</w:t>
      </w:r>
      <w:r>
        <w:t xml:space="preserve"> Deci, E. L. &amp; Ryan, R. M. — </w:t>
      </w:r>
      <w:r>
        <w:rPr>
          <w:i/>
        </w:rPr>
        <w:t>Self-Determination Theory</w:t>
      </w:r>
      <w:r>
        <w:t xml:space="preserve"> (autonomie, compétence, appartenance).</w:t>
      </w:r>
    </w:p>
    <w:p>
      <w:pPr>
        <w:pStyle w:val="ListNumber"/>
      </w:pPr>
      <w:r>
        <w:rPr>
          <w:b/>
        </w:rPr>
        <w:t>[Acad.]</w:t>
      </w:r>
      <w:r>
        <w:t xml:space="preserve"> Black, P. &amp; Wiliam, D. (1998). </w:t>
      </w:r>
      <w:r>
        <w:rPr>
          <w:i/>
        </w:rPr>
        <w:t>Assessment and Classroom Learning.</w:t>
      </w:r>
      <w:r>
        <w:t xml:space="preserve"> Assessment in Education, 5(1).</w:t>
      </w:r>
    </w:p>
    <w:p>
      <w:pPr>
        <w:pStyle w:val="ListNumber"/>
      </w:pPr>
      <w:r>
        <w:rPr>
          <w:b/>
        </w:rPr>
        <w:t>[Acad.]</w:t>
      </w:r>
      <w:r>
        <w:t xml:space="preserve"> Sisk, V. F. et al. (2018). </w:t>
      </w:r>
      <w:r>
        <w:rPr>
          <w:i/>
        </w:rPr>
        <w:t>…Growth Mind-Sets… Two Meta-Analyses.</w:t>
      </w:r>
      <w:r>
        <w:t xml:space="preserve"> Psychological Science, 29(4). &lt;https://journals.sagepub.com/doi/abs/10.1177/0956797617739704&gt;</w:t>
      </w:r>
    </w:p>
    <w:p>
      <w:pPr>
        <w:pStyle w:val="ListNumber"/>
      </w:pPr>
      <w:r>
        <w:rPr>
          <w:b/>
        </w:rPr>
        <w:t>[Acad.]</w:t>
      </w:r>
      <w:r>
        <w:t xml:space="preserve"> Pashler, H., McDaniel, M., Rohrer, D. &amp; Bjork, R. (2008). </w:t>
      </w:r>
      <w:r>
        <w:rPr>
          <w:i/>
        </w:rPr>
        <w:t>Learning Styles: Concepts and Evidence.</w:t>
      </w:r>
      <w:r>
        <w:t xml:space="preserve"> PSPI, 9(3). &lt;https://journals.sagepub.com/doi/10.1111/j.1539-6053.2009.01038.x&gt;</w:t>
      </w:r>
    </w:p>
    <w:p>
      <w:pPr>
        <w:pStyle w:val="ListNumber"/>
      </w:pPr>
      <w:r>
        <w:rPr>
          <w:b/>
        </w:rPr>
        <w:t>[Acad.]</w:t>
      </w:r>
      <w:r>
        <w:t xml:space="preserve"> Howard-Jones, P. (2014). </w:t>
      </w:r>
      <w:r>
        <w:rPr>
          <w:i/>
        </w:rPr>
        <w:t>Neuroscience and education: myths and messages.</w:t>
      </w:r>
      <w:r>
        <w:t xml:space="preserve"> Nature Reviews Neuroscience, 15(12). &lt;https://www.nature.com/articles/nrn3817&gt;</w:t>
      </w:r>
    </w:p>
    <w:p>
      <w:pPr>
        <w:pStyle w:val="ListNumber"/>
      </w:pPr>
      <w:r>
        <w:rPr>
          <w:b/>
        </w:rPr>
        <w:t>[Acad.]</w:t>
      </w:r>
      <w:r>
        <w:t xml:space="preserve"> Nieuwenhuis, S. (2024). </w:t>
      </w:r>
      <w:r>
        <w:rPr>
          <w:i/>
        </w:rPr>
        <w:t>Arousal and performance: revisiting the inverted-U-shaped curve.</w:t>
      </w:r>
      <w:r>
        <w:t xml:space="preserve"> Trends in Cognitive Sciences, 28(5). &lt;https://www.cell.com/trends/cognitive-sciences/fulltext/S1364-6613(24)00078-0&gt;</w:t>
      </w:r>
    </w:p>
    <w:p>
      <w:pPr>
        <w:pStyle w:val="ListNumber"/>
      </w:pPr>
      <w:r>
        <w:rPr>
          <w:b/>
        </w:rPr>
        <w:t>[Acad.]</w:t>
      </w:r>
      <w:r>
        <w:t xml:space="preserve"> McEwen, B. S., Nasca, C. &amp; Gray, J. D. (2016). </w:t>
      </w:r>
      <w:r>
        <w:rPr>
          <w:i/>
        </w:rPr>
        <w:t>Stress Effects on Neuronal Structure.</w:t>
      </w:r>
      <w:r>
        <w:t xml:space="preserve"> Neuropsychopharmacology, 41(1). &lt;https://www.nature.com/articles/npp2015171&gt;</w:t>
      </w:r>
    </w:p>
    <w:p>
      <w:pPr>
        <w:pStyle w:val="ListNumber"/>
      </w:pPr>
      <w:r>
        <w:rPr>
          <w:b/>
        </w:rPr>
        <w:t>[Livre]</w:t>
      </w:r>
      <w:r>
        <w:t xml:space="preserve"> Goleman, D. (1995). </w:t>
      </w:r>
      <w:r>
        <w:rPr>
          <w:i/>
        </w:rPr>
        <w:t>Emotional Intelligence.</w:t>
      </w:r>
      <w:r>
        <w:t xml:space="preserve"> Bantam — notion d'« amygdala hijack ».</w:t>
      </w:r>
    </w:p>
    <w:p>
      <w:pPr>
        <w:pStyle w:val="ListNumber"/>
      </w:pPr>
      <w:r>
        <w:rPr>
          <w:b/>
        </w:rPr>
        <w:t>[Livre]</w:t>
      </w:r>
      <w:r>
        <w:t xml:space="preserve"> Dweck, C. S. (2006). </w:t>
      </w:r>
      <w:r>
        <w:rPr>
          <w:i/>
        </w:rPr>
        <w:t>Mindset: The New Psychology of Success.</w:t>
      </w:r>
      <w:r>
        <w:t xml:space="preserve"> Random House.</w:t>
      </w:r>
    </w:p>
    <w:p>
      <w:pPr>
        <w:pStyle w:val="ListNumber"/>
      </w:pPr>
      <w:r>
        <w:rPr>
          <w:b/>
        </w:rPr>
        <w:t>[Livre]</w:t>
      </w:r>
      <w:r>
        <w:t xml:space="preserve"> Edmondson, A. C. (2018). </w:t>
      </w:r>
      <w:r>
        <w:rPr>
          <w:i/>
        </w:rPr>
        <w:t>The Fearless Organization.</w:t>
      </w:r>
      <w:r>
        <w:t xml:space="preserve"> Wiley — sécurité psychologique.</w:t>
      </w:r>
    </w:p>
    <w:p>
      <w:pPr>
        <w:pStyle w:val="ListNumber"/>
      </w:pPr>
      <w:r>
        <w:rPr>
          <w:b/>
        </w:rPr>
        <w:t>[Fondateur]</w:t>
      </w:r>
      <w:r>
        <w:t xml:space="preserve"> Vygotsky, L. S. (1978). </w:t>
      </w:r>
      <w:r>
        <w:rPr>
          <w:i/>
        </w:rPr>
        <w:t>Mind in Society.</w:t>
      </w:r>
      <w:r>
        <w:t xml:space="preserve"> Harvard University Press — zone proximale de développement.</w:t>
      </w:r>
    </w:p>
    <w:p>
      <w:pPr>
        <w:pStyle w:val="ListNumber"/>
      </w:pPr>
      <w:r>
        <w:rPr>
          <w:b/>
        </w:rPr>
        <w:t>[Acad.]</w:t>
      </w:r>
      <w:r>
        <w:t xml:space="preserve"> Wery, J. J. &amp; Diliberto, J. A. (2017). </w:t>
      </w:r>
      <w:r>
        <w:rPr>
          <w:i/>
        </w:rPr>
        <w:t>The effect of a specialized dyslexia font, OpenDyslexic, on reading rate and accuracy.</w:t>
      </w:r>
      <w:r>
        <w:t xml:space="preserve"> Annals of Dyslexia, 67(2). &lt;https://link.springer.com/article/10.1007/s11881-016-0127-1&gt;</w:t>
      </w:r>
    </w:p>
    <w:p>
      <w:pPr>
        <w:pStyle w:val="ListNumber"/>
      </w:pPr>
      <w:r>
        <w:rPr>
          <w:b/>
        </w:rPr>
        <w:t>[Acad.]</w:t>
      </w:r>
      <w:r>
        <w:t xml:space="preserve"> Rello, L. &amp; Baeza-Yates, R. (2013). </w:t>
      </w:r>
      <w:r>
        <w:rPr>
          <w:i/>
        </w:rPr>
        <w:t>Good fonts for dyslexia.</w:t>
      </w:r>
      <w:r>
        <w:t xml:space="preserve"> ASSETS '13.</w:t>
      </w:r>
    </w:p>
    <w:p>
      <w:pPr>
        <w:pStyle w:val="ListNumber"/>
      </w:pPr>
      <w:r>
        <w:rPr>
          <w:b/>
        </w:rPr>
        <w:t>[Cadre]</w:t>
      </w:r>
      <w:r>
        <w:t xml:space="preserve"> CAST (2018). </w:t>
      </w:r>
      <w:r>
        <w:rPr>
          <w:i/>
        </w:rPr>
        <w:t>Universal Design for Learning Guidelines version 2.2.</w:t>
      </w:r>
      <w:r>
        <w:t xml:space="preserve"> &lt;https://udlguidelines.cast.org/&gt;</w:t>
      </w:r>
    </w:p>
    <w:p>
      <w:pPr>
        <w:pStyle w:val="ListNumber"/>
      </w:pPr>
      <w:r>
        <w:rPr>
          <w:b/>
        </w:rPr>
        <w:t>[Fondateur]</w:t>
      </w:r>
      <w:r>
        <w:t xml:space="preserve"> Singer, J. (années 1990). — origine du terme « neurodiversité ».</w:t>
      </w:r>
    </w:p>
    <w:p>
      <w:pPr>
        <w:pStyle w:val="ListNumber"/>
      </w:pPr>
      <w:r>
        <w:rPr>
          <w:b/>
        </w:rPr>
        <w:t>[Acad.]</w:t>
      </w:r>
      <w:r>
        <w:t xml:space="preserve"> Sweller, J. (1988). </w:t>
      </w:r>
      <w:r>
        <w:rPr>
          <w:i/>
        </w:rPr>
        <w:t>Cognitive load during problem solving: Effects on learning.</w:t>
      </w:r>
      <w:r>
        <w:t xml:space="preserve"> Cognitive Science, 12(2).</w:t>
      </w:r>
    </w:p>
    <w:p>
      <w:pPr>
        <w:pStyle w:val="ListNumber"/>
      </w:pPr>
      <w:r>
        <w:rPr>
          <w:b/>
        </w:rPr>
        <w:t>[Fondateur]</w:t>
      </w:r>
      <w:r>
        <w:t xml:space="preserve"> Paivio, A. (1971). </w:t>
      </w:r>
      <w:r>
        <w:rPr>
          <w:i/>
        </w:rPr>
        <w:t>Imagery and Verbal Processes.</w:t>
      </w:r>
      <w:r>
        <w:t xml:space="preserve"> — dual coding.</w:t>
      </w:r>
    </w:p>
    <w:p>
      <w:pPr>
        <w:pStyle w:val="ListNumber"/>
      </w:pPr>
      <w:r>
        <w:rPr>
          <w:b/>
        </w:rPr>
        <w:t>[Acad.]</w:t>
      </w:r>
      <w:r>
        <w:t xml:space="preserve"> Kalyuga, S., Chandler, P. &amp; Sweller, J. (2004). </w:t>
      </w:r>
      <w:r>
        <w:rPr>
          <w:i/>
        </w:rPr>
        <w:t>When Redundant On-Screen Text in Multimedia Instruction Can Interfere With Learning.</w:t>
      </w:r>
      <w:r>
        <w:t xml:space="preserve"> Human Factors, 46(3). &lt;https://journals.sagepub.com/doi/10.1518/hfes.46.3.567.50405&gt;</w:t>
      </w:r>
    </w:p>
    <w:p>
      <w:pPr>
        <w:pStyle w:val="ListNumber"/>
      </w:pPr>
      <w:r>
        <w:rPr>
          <w:b/>
        </w:rPr>
        <w:t>[Acad.]</w:t>
      </w:r>
      <w:r>
        <w:t xml:space="preserve"> Diekelmann, S. &amp; Born, J. (2010). </w:t>
      </w:r>
      <w:r>
        <w:rPr>
          <w:i/>
        </w:rPr>
        <w:t>The memory function of sleep.</w:t>
      </w:r>
      <w:r>
        <w:t xml:space="preserve"> Nature Reviews Neuroscience, 11(2). &lt;https://www.nature.com/articles/nrn2762&gt;</w:t>
      </w:r>
    </w:p>
    <w:p>
      <w:pPr>
        <w:pStyle w:val="ListNumber"/>
      </w:pPr>
      <w:r>
        <w:rPr>
          <w:b/>
        </w:rPr>
        <w:t>[Acad.]</w:t>
      </w:r>
      <w:r>
        <w:t xml:space="preserve"> Xie, L. et al. (2013). </w:t>
      </w:r>
      <w:r>
        <w:rPr>
          <w:i/>
        </w:rPr>
        <w:t>Sleep Drives Metabolite Clearance from the Adult Brain.</w:t>
      </w:r>
      <w:r>
        <w:t xml:space="preserve"> Science, 342(6156).</w:t>
      </w:r>
    </w:p>
    <w:p>
      <w:pPr>
        <w:pStyle w:val="ListNumber"/>
      </w:pPr>
      <w:r>
        <w:rPr>
          <w:b/>
        </w:rPr>
        <w:t>[Acad.]</w:t>
      </w:r>
      <w:r>
        <w:t xml:space="preserve"> Williamson, A. M. &amp; Feyer, A.-M. (2000). </w:t>
      </w:r>
      <w:r>
        <w:rPr>
          <w:i/>
        </w:rPr>
        <w:t>Moderate sleep deprivation produces impairments equivalent to legally prescribed levels of alcohol intoxication.</w:t>
      </w:r>
      <w:r>
        <w:t xml:space="preserve"> Occupational and Environmental Medicine, 57(10).</w:t>
      </w:r>
    </w:p>
    <w:p>
      <w:pPr>
        <w:pStyle w:val="ListNumber"/>
      </w:pPr>
      <w:r>
        <w:rPr>
          <w:b/>
        </w:rPr>
        <w:t>[Acad.]</w:t>
      </w:r>
      <w:r>
        <w:t xml:space="preserve"> Mednick, S., Nakayama, K. &amp; Stickgold, R. (2003). </w:t>
      </w:r>
      <w:r>
        <w:rPr>
          <w:i/>
        </w:rPr>
        <w:t>Sleep-dependent learning: a nap is as good as a night.</w:t>
      </w:r>
      <w:r>
        <w:t xml:space="preserve"> Nature Neuroscience, 6(7).</w:t>
      </w:r>
    </w:p>
    <w:p>
      <w:pPr>
        <w:pStyle w:val="ListNumber"/>
      </w:pPr>
      <w:r>
        <w:rPr>
          <w:b/>
        </w:rPr>
        <w:t>[Fondateur]</w:t>
      </w:r>
      <w:r>
        <w:t xml:space="preserve"> Gick, M. L. &amp; Holyoak, K. J. (1980). </w:t>
      </w:r>
      <w:r>
        <w:rPr>
          <w:i/>
        </w:rPr>
        <w:t>Analogical problem solving.</w:t>
      </w:r>
      <w:r>
        <w:t xml:space="preserve"> Cognitive Psychology, 12(3).</w:t>
      </w:r>
    </w:p>
    <w:p>
      <w:pPr>
        <w:pStyle w:val="ListNumber"/>
      </w:pPr>
      <w:r>
        <w:rPr>
          <w:b/>
        </w:rPr>
        <w:t>[Acad.]</w:t>
      </w:r>
      <w:r>
        <w:t xml:space="preserve"> Barnett, S. M. &amp; Ceci, S. J. (2002). </w:t>
      </w:r>
      <w:r>
        <w:rPr>
          <w:i/>
        </w:rPr>
        <w:t>When and where do we apply what we learn? A taxonomy for far transfer.</w:t>
      </w:r>
      <w:r>
        <w:t xml:space="preserve"> Psychological Bulletin, 128(4).</w:t>
      </w:r>
    </w:p>
    <w:p>
      <w:r>
        <w:rPr>
          <w:i/>
        </w:rPr>
        <w:t>The Learning Society · Parcours Neuro-Éducation · réécrit &amp; fact-checké, juillet 2026 · 10 modules — parcours complet.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