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NEURO-ÉDUCATION · Module 9 — Transfert des apprentissages</w:t>
      </w:r>
    </w:p>
    <w:p>
      <w:pPr>
        <w:pStyle w:val="IntenseQuote"/>
      </w:pPr>
      <w:r>
        <w:rPr>
          <w:b/>
        </w:rPr>
        <w:t>Version réécrite et fact-checkée.</w:t>
      </w:r>
      <w:r>
        <w:t xml:space="preserve"> Ce module fait partie du parcours</w:t>
      </w:r>
    </w:p>
    <w:p>
      <w:pPr>
        <w:pStyle w:val="IntenseQuote"/>
      </w:pPr>
      <w:r>
        <w:t>Neuro-Éducation entièrement réécrit : mythes retirés, affirmations rattachées à</w:t>
      </w:r>
    </w:p>
    <w:p>
      <w:pPr>
        <w:pStyle w:val="IntenseQuote"/>
      </w:pPr>
      <w:r>
        <w:t>des sources vérifiées (existence, auteurs, année, contenu). Les affirmations</w:t>
      </w:r>
    </w:p>
    <w:p>
      <w:pPr>
        <w:pStyle w:val="IntenseQuote"/>
      </w:pPr>
      <w:r>
        <w:t>sans source réelle ont été supprimées, jamais remplacées par un substitut.</w:t>
      </w:r>
    </w:p>
    <w:p>
      <w:pPr>
        <w:pStyle w:val="IntenseQuote"/>
      </w:pPr>
      <w:r>
        <w:t>Bibliographie complète en fin de document.</w:t>
      </w:r>
    </w:p>
    <w:p>
      <w:pPr>
        <w:pStyle w:val="IntenseQuote"/>
      </w:pPr>
    </w:p>
    <w:p>
      <w:pPr>
        <w:pStyle w:val="IntenseQuote"/>
      </w:pPr>
      <w:r>
        <w:rPr>
          <w:i/>
        </w:rPr>
        <w:t>Découpé en module autonome le 2026-07-24, à partir du parcours réécrit.</w:t>
      </w:r>
    </w:p>
    <w:p>
      <w:pPr>
        <w:jc w:val="center"/>
      </w:pPr>
      <w:r>
        <w:t>________________________________________</w:t>
      </w:r>
    </w:p>
    <w:p>
      <w:r>
        <w:rPr>
          <w:i/>
        </w:rPr>
        <w:t>Une formation qu'on n'applique jamais n'a rien transmis. Rapprocher l'apprentissage du terrain — et concevoir le transfert au lieu de l'espérer.</w:t>
      </w:r>
    </w:p>
    <w:p>
      <w:r>
        <w:rPr>
          <w:b/>
        </w:rPr>
        <w:t>Ce que vous saurez faire</w:t>
      </w:r>
    </w:p>
    <w:p>
      <w:pPr>
        <w:pStyle w:val="ListBullet"/>
      </w:pPr>
      <w:r>
        <w:rPr>
          <w:b/>
        </w:rPr>
        <w:t>Distinguer</w:t>
      </w:r>
      <w:r>
        <w:t xml:space="preserve"> transfert proche et transfert lointain.</w:t>
      </w:r>
    </w:p>
    <w:p>
      <w:pPr>
        <w:pStyle w:val="ListBullet"/>
      </w:pPr>
      <w:r>
        <w:rPr>
          <w:b/>
        </w:rPr>
        <w:t>Repérer</w:t>
      </w:r>
      <w:r>
        <w:t xml:space="preserve"> les obstacles au transfert (savoir inerte, exemple unique).</w:t>
      </w:r>
    </w:p>
    <w:p>
      <w:pPr>
        <w:pStyle w:val="ListBullet"/>
      </w:pPr>
      <w:r>
        <w:rPr>
          <w:b/>
        </w:rPr>
        <w:t>Utiliser</w:t>
      </w:r>
      <w:r>
        <w:t xml:space="preserve"> analogies explicites et variété d'exemples.</w:t>
      </w:r>
    </w:p>
    <w:p>
      <w:pPr>
        <w:pStyle w:val="ListBullet"/>
      </w:pPr>
      <w:r>
        <w:rPr>
          <w:b/>
        </w:rPr>
        <w:t>Évaluer</w:t>
      </w:r>
      <w:r>
        <w:t xml:space="preserve"> le transfert à distance, pas à chaud.</w:t>
      </w:r>
    </w:p>
    <w:p>
      <w:pPr>
        <w:pStyle w:val="Heading2"/>
      </w:pPr>
      <w:r>
        <w:t>01 · Engagement — Un savoir qui reste en salle, ou qui passe sur le terrain</w:t>
      </w:r>
    </w:p>
    <w:p>
      <w:r>
        <w:t>On peut réussir tous les exercices d'une formation et ne rien en faire au bureau. Le vrai critère de succès n'est pas le score en fin de session : c'est l'usage, des semaines plus tard.</w:t>
      </w:r>
    </w:p>
    <w:p>
      <w:r>
        <w:rPr>
          <w:b/>
        </w:rPr>
        <w:t>Approche A · en vase clos — le savoir reste inerte</w:t>
      </w:r>
    </w:p>
    <w:p>
      <w:pPr>
        <w:pStyle w:val="ListBullet"/>
      </w:pPr>
      <w:r>
        <w:t>Un seul exemple, toujours le même contexte</w:t>
      </w:r>
    </w:p>
    <w:p>
      <w:pPr>
        <w:pStyle w:val="ListBullet"/>
      </w:pPr>
      <w:r>
        <w:t>Contenu abstrait, éloigné du réel</w:t>
      </w:r>
    </w:p>
    <w:p>
      <w:pPr>
        <w:pStyle w:val="ListBullet"/>
      </w:pPr>
      <w:r>
        <w:t>Analogies laissées implicites</w:t>
      </w:r>
    </w:p>
    <w:p>
      <w:pPr>
        <w:pStyle w:val="ListBullet"/>
      </w:pPr>
      <w:r>
        <w:t>Évaluation le dernier jour, puis plus rien</w:t>
      </w:r>
    </w:p>
    <w:p>
      <w:r>
        <w:rPr>
          <w:b/>
        </w:rPr>
        <w:t>Approche B · pensée pour le terrain — le savoir voyage</w:t>
      </w:r>
    </w:p>
    <w:p>
      <w:pPr>
        <w:pStyle w:val="ListBullet"/>
      </w:pPr>
      <w:r>
        <w:t>Plusieurs exemples, contextes variés</w:t>
      </w:r>
    </w:p>
    <w:p>
      <w:pPr>
        <w:pStyle w:val="ListBullet"/>
      </w:pPr>
      <w:r>
        <w:t>Cas réels, problèmes mal définis</w:t>
      </w:r>
    </w:p>
    <w:p>
      <w:pPr>
        <w:pStyle w:val="ListBullet"/>
      </w:pPr>
      <w:r>
        <w:t>Structure commune rendue explicite</w:t>
      </w:r>
    </w:p>
    <w:p>
      <w:pPr>
        <w:pStyle w:val="ListBullet"/>
      </w:pPr>
      <w:r>
        <w:t>Un point d'usage quelques mois plus tard</w:t>
      </w:r>
    </w:p>
    <w:p>
      <w:r>
        <w:rPr>
          <w:b/>
        </w:rPr>
        <w:t>Scénario illustratif.</w:t>
      </w:r>
      <w:r>
        <w:t xml:space="preserve"> Les taux chiffrés (« +50 % de transfert », « 60-70 % d'application ») de la version d'origine ont été retirés. Les leviers — variété, analogies explicites, évaluation différée — sont, eux, étayés.</w:t>
      </w:r>
    </w:p>
    <w:p>
      <w:r>
        <w:rPr>
          <w:b/>
        </w:rPr>
        <w:t>Question clé.</w:t>
      </w:r>
      <w:r>
        <w:t xml:space="preserve"> Mes formations préparent-elles l'usage au-delà de la salle ? Ou produisent-elles un savoir qui ne sort jamais du contexte d'apprentissage ?</w:t>
      </w:r>
    </w:p>
    <w:p>
      <w:pPr>
        <w:pStyle w:val="Heading2"/>
      </w:pPr>
      <w:r>
        <w:t>02 · Découvrir — Concevoir le transfert</w:t>
      </w:r>
    </w:p>
    <w:p>
      <w:pPr>
        <w:pStyle w:val="Heading3"/>
      </w:pPr>
      <w:r>
        <w:t>Proche ou lointain</w:t>
      </w:r>
    </w:p>
    <w:p>
      <w:r>
        <w:t xml:space="preserve">Le </w:t>
      </w:r>
      <w:r>
        <w:rPr>
          <w:b/>
        </w:rPr>
        <w:t>transfert proche</w:t>
      </w:r>
      <w:r>
        <w:t xml:space="preserve"> — appliquer dans un contexte qui ressemble — est relativement facile. Le </w:t>
      </w:r>
      <w:r>
        <w:rPr>
          <w:b/>
        </w:rPr>
        <w:t>transfert lointain</w:t>
      </w:r>
      <w:r>
        <w:t xml:space="preserve"> — vers un contexte éloigné — est difficile, et demande de l'aide. L'étude classique de Gick &amp; Holyoak l'a montré : face à un problème résoluble par analogie, très peu de personnes font le pont spontanément ; il suffit pourtant de signaler l'analogie pour que la plupart y parviennent (Gick &amp; Holyoak, 1980).</w:t>
      </w:r>
    </w:p>
    <w:p>
      <w:pPr>
        <w:pStyle w:val="Heading3"/>
      </w:pPr>
      <w:r>
        <w:t>Pourquoi le transfert échoue</w:t>
      </w:r>
    </w:p>
    <w:p>
      <w:pPr>
        <w:pStyle w:val="ListBullet"/>
      </w:pPr>
      <w:r>
        <w:rPr>
          <w:b/>
        </w:rPr>
        <w:t>Le savoir inerte</w:t>
      </w:r>
      <w:r>
        <w:t xml:space="preserve"> — appris collé à son contexte, il paraît « pas applicable ici » ailleurs.</w:t>
      </w:r>
    </w:p>
    <w:p>
      <w:pPr>
        <w:pStyle w:val="ListBullet"/>
      </w:pPr>
      <w:r>
        <w:rPr>
          <w:b/>
        </w:rPr>
        <w:t>L'exemple unique</w:t>
      </w:r>
      <w:r>
        <w:t xml:space="preserve"> — un seul cas enferme ; l'apprenant sur-ajuste à ses détails de surface.</w:t>
      </w:r>
    </w:p>
    <w:p>
      <w:pPr>
        <w:pStyle w:val="ListBullet"/>
      </w:pPr>
      <w:r>
        <w:rPr>
          <w:b/>
        </w:rPr>
        <w:t>L'analogie implicite</w:t>
      </w:r>
      <w:r>
        <w:t xml:space="preserve"> — on suppose que le lien sera vu ; il ne l'est pas.</w:t>
      </w:r>
    </w:p>
    <w:p>
      <w:pPr>
        <w:pStyle w:val="ListBullet"/>
      </w:pPr>
      <w:r>
        <w:rPr>
          <w:b/>
        </w:rPr>
        <w:t>Le « quand » manquant</w:t>
      </w:r>
      <w:r>
        <w:t xml:space="preserve"> — on enseigne comment, pas quand mobiliser la technique.</w:t>
      </w:r>
    </w:p>
    <w:p>
      <w:pPr>
        <w:pStyle w:val="Heading3"/>
      </w:pPr>
      <w:r>
        <w:t>Les leviers</w:t>
      </w:r>
    </w:p>
    <w:p>
      <w:pPr>
        <w:pStyle w:val="ListNumber"/>
      </w:pPr>
      <w:r>
        <w:rPr>
          <w:b/>
        </w:rPr>
        <w:t>Varier les exemples</w:t>
      </w:r>
      <w:r>
        <w:t xml:space="preserve"> — plusieurs contextes très différents font apparaître la structure commune.</w:t>
      </w:r>
    </w:p>
    <w:p>
      <w:pPr>
        <w:pStyle w:val="ListNumber"/>
      </w:pPr>
      <w:r>
        <w:rPr>
          <w:b/>
        </w:rPr>
        <w:t>Expliciter l'analogie</w:t>
      </w:r>
      <w:r>
        <w:t xml:space="preserve"> — montrer, côte à côte, ce que deux cas éloignés partagent en profondeur.</w:t>
      </w:r>
    </w:p>
    <w:p>
      <w:pPr>
        <w:pStyle w:val="ListNumber"/>
      </w:pPr>
      <w:r>
        <w:rPr>
          <w:b/>
        </w:rPr>
        <w:t>Enseigner le transfert</w:t>
      </w:r>
      <w:r>
        <w:t xml:space="preserve"> — une séquence dédiée : « où, ailleurs, pourriez-vous utiliser ceci ? »</w:t>
      </w:r>
    </w:p>
    <w:p>
      <w:pPr>
        <w:pStyle w:val="ListNumber"/>
      </w:pPr>
      <w:r>
        <w:rPr>
          <w:b/>
        </w:rPr>
        <w:t>Évaluer à distance</w:t>
      </w:r>
      <w:r>
        <w:t xml:space="preserve"> — quelques mois plus tard, pas dans l'euphorie de fin de stage (Barnett &amp; Ceci, 2002).</w:t>
      </w:r>
    </w:p>
    <w:p>
      <w:pPr>
        <w:pStyle w:val="Heading2"/>
      </w:pPr>
      <w:r>
        <w:t>03 · Réfléchir — Cinq questions pour vérifier</w:t>
      </w:r>
    </w:p>
    <w:p>
      <w:r>
        <w:rPr>
          <w:b/>
        </w:rPr>
        <w:t>Q1.</w:t>
      </w:r>
      <w:r>
        <w:t xml:space="preserve"> Transfert lointain ? ✓ </w:t>
      </w:r>
      <w:r>
        <w:rPr>
          <w:b/>
        </w:rPr>
        <w:t>Vers un contexte très différent</w:t>
      </w:r>
      <w:r>
        <w:t xml:space="preserve"> — difficile, demande de l'aide.</w:t>
      </w:r>
    </w:p>
    <w:p>
      <w:r>
        <w:rPr>
          <w:b/>
        </w:rPr>
        <w:t>Q2.</w:t>
      </w:r>
      <w:r>
        <w:t xml:space="preserve"> Ce que montre Gick &amp; Holyoak (1980) ? ✓ </w:t>
      </w:r>
      <w:r>
        <w:rPr>
          <w:b/>
        </w:rPr>
        <w:t>Le transfert lointain est rare sans indice</w:t>
      </w:r>
      <w:r>
        <w:t xml:space="preserve"> ; signaler l'analogie le débloque.</w:t>
      </w:r>
    </w:p>
    <w:p>
      <w:r>
        <w:rPr>
          <w:b/>
        </w:rPr>
        <w:t>Q3.</w:t>
      </w:r>
      <w:r>
        <w:t xml:space="preserve"> Le savoir « inerte » ? ✓ </w:t>
      </w:r>
      <w:r>
        <w:rPr>
          <w:b/>
        </w:rPr>
        <w:t>Un savoir collé à son contexte</w:t>
      </w:r>
      <w:r>
        <w:t>, qu'on ne réutilise pas ailleurs.</w:t>
      </w:r>
    </w:p>
    <w:p>
      <w:r>
        <w:rPr>
          <w:b/>
        </w:rPr>
        <w:t>Q4.</w:t>
      </w:r>
      <w:r>
        <w:t xml:space="preserve"> Un seul exemple, ou plusieurs ? ✓ </w:t>
      </w:r>
      <w:r>
        <w:rPr>
          <w:b/>
        </w:rPr>
        <w:t>Plusieurs, variés</w:t>
      </w:r>
      <w:r>
        <w:t xml:space="preserve"> — pour dégager la structure au-delà du contexte.</w:t>
      </w:r>
    </w:p>
    <w:p>
      <w:r>
        <w:rPr>
          <w:b/>
        </w:rPr>
        <w:t>Q5.</w:t>
      </w:r>
      <w:r>
        <w:t xml:space="preserve"> Quand évaluer le transfert ? ✓ </w:t>
      </w:r>
      <w:r>
        <w:rPr>
          <w:b/>
        </w:rPr>
        <w:t>À distance</w:t>
      </w:r>
      <w:r>
        <w:t xml:space="preserve"> (quelques mois), pas à chaud (Barnett &amp; Ceci, 2002).</w:t>
      </w:r>
    </w:p>
    <w:p>
      <w:pPr>
        <w:pStyle w:val="Heading2"/>
      </w:pPr>
      <w:r>
        <w:t>04 · Appliquer — Rendre la structure visible</w:t>
      </w:r>
    </w:p>
    <w:p>
      <w:r>
        <w:t>Mission (~12 min) : prenez un concept que vous enseignez et outillez-le pour le transfert.</w:t>
      </w:r>
    </w:p>
    <w:p>
      <w:r>
        <w:rPr>
          <w:b/>
        </w:rPr>
        <w:t>Trame</w:t>
      </w:r>
    </w:p>
    <w:p>
      <w:pPr>
        <w:pStyle w:val="ListBullet"/>
      </w:pPr>
      <w:r>
        <w:rPr>
          <w:b/>
        </w:rPr>
        <w:t>Nommer la structure profonde</w:t>
      </w:r>
      <w:r>
        <w:t xml:space="preserve"> — l'essentiel, une fois retiré le décor du contexte.</w:t>
      </w:r>
    </w:p>
    <w:p>
      <w:pPr>
        <w:pStyle w:val="ListBullet"/>
      </w:pPr>
      <w:r>
        <w:rPr>
          <w:b/>
        </w:rPr>
        <w:t>Trouver 3-4 contextes très différents</w:t>
      </w:r>
      <w:r>
        <w:t xml:space="preserve"> qui partagent cette structure.</w:t>
      </w:r>
    </w:p>
    <w:p>
      <w:pPr>
        <w:pStyle w:val="ListBullet"/>
      </w:pPr>
      <w:r>
        <w:rPr>
          <w:b/>
        </w:rPr>
        <w:t>Expliciter l'analogie</w:t>
      </w:r>
      <w:r>
        <w:t xml:space="preserve"> — côte à côte, dire ce qui est identique en profondeur.</w:t>
      </w:r>
    </w:p>
    <w:p>
      <w:pPr>
        <w:pStyle w:val="ListBullet"/>
      </w:pPr>
      <w:r>
        <w:rPr>
          <w:b/>
        </w:rPr>
        <w:t>Prévoir un point d'usage</w:t>
      </w:r>
      <w:r>
        <w:t xml:space="preserve"> à quelques mois : « l'as-tu utilisé ? où ? »</w:t>
      </w:r>
    </w:p>
    <w:p>
      <w:pPr>
        <w:pStyle w:val="Heading2"/>
      </w:pPr>
      <w:r>
        <w:t>05 · Consolider — Trois phrases à emporter</w:t>
      </w:r>
    </w:p>
    <w:p>
      <w:r>
        <w:t>« Le transfert se conçoit, il ne s'espère pas. » — Sans intention, le savoir reste dans la salle.</w:t>
      </w:r>
    </w:p>
    <w:p>
      <w:r>
        <w:t>« Un seul exemple enferme ; plusieurs libèrent. » — La variété fait apparaître la structure.</w:t>
      </w:r>
    </w:p>
    <w:p>
      <w:r>
        <w:t>« Rendre la structure visible. » — Ce qui est explicite se transfère ; ce qui est implicite se perd.</w:t>
      </w:r>
    </w:p>
    <w:p>
      <w:pPr>
        <w:pStyle w:val="Heading2"/>
      </w:pPr>
      <w:r>
        <w:t>06 · Transférer — Un seul geste, cette semaine</w:t>
      </w:r>
    </w:p>
    <w:p>
      <w:r>
        <w:rPr>
          <w:b/>
        </w:rPr>
        <w:t>À faire.</w:t>
      </w:r>
      <w:r>
        <w:t xml:space="preserve"> Ajoutez à un contenu un deuxième exemple, dans un contexte volontairement éloigné, et dites à voix haute ce que les deux ont en commun. Observez si le lien devient évident pour le groupe.</w:t>
      </w:r>
    </w:p>
    <w:p>
      <w:pPr>
        <w:jc w:val="center"/>
      </w:pPr>
      <w:r>
        <w:t>________________________________________</w:t>
      </w:r>
    </w:p>
    <w:p>
      <w:pPr>
        <w:pStyle w:val="Heading1"/>
      </w:pPr>
      <w:r>
        <w:t>Bibliographie du parcours</w:t>
      </w:r>
    </w:p>
    <w:p>
      <w:r>
        <w:rPr>
          <w:i/>
        </w:rPr>
        <w:t>Toutes vérifiées (existence, auteurs, année, contenu). Les affirmations de science du parcours s'y rattachent ; les claims sans source réelle ont été retirés, non remplacés par des substituts.</w:t>
      </w:r>
    </w:p>
    <w:p>
      <w:pPr>
        <w:pStyle w:val="ListNumber"/>
      </w:pPr>
      <w:r>
        <w:rPr>
          <w:b/>
        </w:rPr>
        <w:t>[Livre]</w:t>
      </w:r>
      <w:r>
        <w:t xml:space="preserve"> Dehaene, S. (2018). </w:t>
      </w:r>
      <w:r>
        <w:rPr>
          <w:i/>
        </w:rPr>
        <w:t>Apprendre ! Les talents du cerveau, le défi des machines.</w:t>
      </w:r>
      <w:r>
        <w:t xml:space="preserve"> Odile Jacob.</w:t>
      </w:r>
    </w:p>
    <w:p>
      <w:pPr>
        <w:pStyle w:val="ListNumber"/>
      </w:pPr>
      <w:r>
        <w:rPr>
          <w:b/>
        </w:rPr>
        <w:t>[Fondateur]</w:t>
      </w:r>
      <w:r>
        <w:t xml:space="preserve"> Hebb, D. O. (1949). </w:t>
      </w:r>
      <w:r>
        <w:rPr>
          <w:i/>
        </w:rPr>
        <w:t>The Organization of Behavior.</w:t>
      </w:r>
      <w:r>
        <w:t xml:space="preserve"> Wiley.</w:t>
      </w:r>
    </w:p>
    <w:p>
      <w:pPr>
        <w:pStyle w:val="ListNumber"/>
      </w:pPr>
      <w:r>
        <w:rPr>
          <w:b/>
        </w:rPr>
        <w:t>[Acad.]</w:t>
      </w:r>
      <w:r>
        <w:t xml:space="preserve"> Miller, G. A. (1956). </w:t>
      </w:r>
      <w:r>
        <w:rPr>
          <w:i/>
        </w:rPr>
        <w:t>The magical number seven, plus or minus two.</w:t>
      </w:r>
      <w:r>
        <w:t xml:space="preserve"> Psychological Review, 63(2).</w:t>
      </w:r>
    </w:p>
    <w:p>
      <w:pPr>
        <w:pStyle w:val="ListNumber"/>
      </w:pPr>
      <w:r>
        <w:rPr>
          <w:b/>
        </w:rPr>
        <w:t>[Acad.]</w:t>
      </w:r>
      <w:r>
        <w:t xml:space="preserve"> Cowan, N. (2001). </w:t>
      </w:r>
      <w:r>
        <w:rPr>
          <w:i/>
        </w:rPr>
        <w:t>The magical number 4 in short-term memory.</w:t>
      </w:r>
      <w:r>
        <w:t xml:space="preserve"> Behavioral and Brain Sciences, 24(1).</w:t>
      </w:r>
    </w:p>
    <w:p>
      <w:pPr>
        <w:pStyle w:val="ListNumber"/>
      </w:pPr>
      <w:r>
        <w:rPr>
          <w:b/>
        </w:rPr>
        <w:t>[Acad.]</w:t>
      </w:r>
      <w:r>
        <w:t xml:space="preserve"> Baddeley, A. (2000). </w:t>
      </w:r>
      <w:r>
        <w:rPr>
          <w:i/>
        </w:rPr>
        <w:t>The episodic buffer: a new component of working memory?</w:t>
      </w:r>
      <w:r>
        <w:t xml:space="preserve"> Trends in Cognitive Sciences, 4(11).</w:t>
      </w:r>
    </w:p>
    <w:p>
      <w:pPr>
        <w:pStyle w:val="ListNumber"/>
      </w:pPr>
      <w:r>
        <w:rPr>
          <w:b/>
        </w:rPr>
        <w:t>[Fondateur]</w:t>
      </w:r>
      <w:r>
        <w:t xml:space="preserve"> Ebbinghaus, H. (1885). </w:t>
      </w:r>
      <w:r>
        <w:rPr>
          <w:i/>
        </w:rPr>
        <w:t>Über das Gedächtnis.</w:t>
      </w:r>
      <w:r>
        <w:t xml:space="preserve"> — courbe de l'oubli.</w:t>
      </w:r>
    </w:p>
    <w:p>
      <w:pPr>
        <w:pStyle w:val="ListNumber"/>
      </w:pPr>
      <w:r>
        <w:rPr>
          <w:b/>
        </w:rPr>
        <w:t>[Acad.]</w:t>
      </w:r>
      <w:r>
        <w:t xml:space="preserve"> Murre, J. M. J. &amp; Dros, J. (2015). </w:t>
      </w:r>
      <w:r>
        <w:rPr>
          <w:i/>
        </w:rPr>
        <w:t>Replication and Analysis of Ebbinghaus' Forgetting Curve.</w:t>
      </w:r>
      <w:r>
        <w:t xml:space="preserve"> PLOS ONE, 10(7). &lt;https://journals.plos.org/plosone/article?id=10.1371/journal.pone.0120644&gt;</w:t>
      </w:r>
    </w:p>
    <w:p>
      <w:pPr>
        <w:pStyle w:val="ListNumber"/>
      </w:pPr>
      <w:r>
        <w:rPr>
          <w:b/>
        </w:rPr>
        <w:t>[Acad.]</w:t>
      </w:r>
      <w:r>
        <w:t xml:space="preserve"> Cepeda, N. J., Pashler, H. et al. (2006). </w:t>
      </w:r>
      <w:r>
        <w:rPr>
          <w:i/>
        </w:rPr>
        <w:t>Distributed practice in verbal recall tasks: A review and quantitative synthesis.</w:t>
      </w:r>
      <w:r>
        <w:t xml:space="preserve"> Psychological Bulletin, 132(3).</w:t>
      </w:r>
    </w:p>
    <w:p>
      <w:pPr>
        <w:pStyle w:val="ListNumber"/>
      </w:pPr>
      <w:r>
        <w:rPr>
          <w:b/>
        </w:rPr>
        <w:t>[Acad.]</w:t>
      </w:r>
      <w:r>
        <w:t xml:space="preserve"> Roediger, H. L. &amp; Karpicke, J. D. (2006). </w:t>
      </w:r>
      <w:r>
        <w:rPr>
          <w:i/>
        </w:rPr>
        <w:t>Test-enhanced learning.</w:t>
      </w:r>
      <w:r>
        <w:t xml:space="preserve"> Psychological Science, 17(3).</w:t>
      </w:r>
    </w:p>
    <w:p>
      <w:pPr>
        <w:pStyle w:val="ListNumber"/>
      </w:pPr>
      <w:r>
        <w:rPr>
          <w:b/>
        </w:rPr>
        <w:t>[Acad.]</w:t>
      </w:r>
      <w:r>
        <w:t xml:space="preserve"> Bjork, R. A. (1994). </w:t>
      </w:r>
      <w:r>
        <w:rPr>
          <w:i/>
        </w:rPr>
        <w:t>Memory and metamemory considerations in the training of human beings.</w:t>
      </w:r>
      <w:r>
        <w:t xml:space="preserve"> — « difficultés désirables ».</w:t>
      </w:r>
    </w:p>
    <w:p>
      <w:pPr>
        <w:pStyle w:val="ListNumber"/>
      </w:pPr>
      <w:r>
        <w:rPr>
          <w:b/>
        </w:rPr>
        <w:t>[Acad.]</w:t>
      </w:r>
      <w:r>
        <w:t xml:space="preserve"> Bradbury, N. A. (2016). </w:t>
      </w:r>
      <w:r>
        <w:rPr>
          <w:i/>
        </w:rPr>
        <w:t>Attention span during lectures: 8 seconds, 10 minutes, or more?</w:t>
      </w:r>
      <w:r>
        <w:t xml:space="preserve"> Advances in Physiology Education, 40(4). &lt;https://journals.physiology.org/doi/full/10.1152/advan.00109.2016&gt;</w:t>
      </w:r>
    </w:p>
    <w:p>
      <w:pPr>
        <w:pStyle w:val="ListNumber"/>
      </w:pPr>
      <w:r>
        <w:rPr>
          <w:b/>
        </w:rPr>
        <w:t>[L&amp;D]</w:t>
      </w:r>
      <w:r>
        <w:t xml:space="preserve"> Maybin, S. (2017). </w:t>
      </w:r>
      <w:r>
        <w:rPr>
          <w:i/>
        </w:rPr>
        <w:t>Busting the attention span myth.</w:t>
      </w:r>
      <w:r>
        <w:t xml:space="preserve"> BBC — More or Less. &lt;https://www.bbc.com/news/health-38896790&gt;</w:t>
      </w:r>
    </w:p>
    <w:p>
      <w:pPr>
        <w:pStyle w:val="ListNumber"/>
      </w:pPr>
      <w:r>
        <w:rPr>
          <w:b/>
        </w:rPr>
        <w:t>[Acad.]</w:t>
      </w:r>
      <w:r>
        <w:t xml:space="preserve"> Mayer, R. E. </w:t>
      </w:r>
      <w:r>
        <w:rPr>
          <w:i/>
        </w:rPr>
        <w:t>Multimedia Learning.</w:t>
      </w:r>
      <w:r>
        <w:t xml:space="preserve"> Cambridge University Press — segmentation (d ≈ 0,52), multimédia (d ≈ 1,39).</w:t>
      </w:r>
    </w:p>
    <w:p>
      <w:pPr>
        <w:pStyle w:val="ListNumber"/>
      </w:pPr>
      <w:r>
        <w:rPr>
          <w:b/>
        </w:rPr>
        <w:t>[Acad.]</w:t>
      </w:r>
      <w:r>
        <w:t xml:space="preserve"> Posner, M. I. &amp; Petersen, S. E. (1990). </w:t>
      </w:r>
      <w:r>
        <w:rPr>
          <w:i/>
        </w:rPr>
        <w:t>The attention system of the human brain.</w:t>
      </w:r>
      <w:r>
        <w:t xml:space="preserve"> Annual Review of Neuroscience, 13.</w:t>
      </w:r>
    </w:p>
    <w:p>
      <w:pPr>
        <w:pStyle w:val="ListNumber"/>
      </w:pPr>
      <w:r>
        <w:rPr>
          <w:b/>
        </w:rPr>
        <w:t>[Acad.]</w:t>
      </w:r>
      <w:r>
        <w:t xml:space="preserve"> Deci, E. L. &amp; Ryan, R. M. — </w:t>
      </w:r>
      <w:r>
        <w:rPr>
          <w:i/>
        </w:rPr>
        <w:t>Self-Determination Theory</w:t>
      </w:r>
      <w:r>
        <w:t xml:space="preserve"> (autonomie, compétence, appartenance).</w:t>
      </w:r>
    </w:p>
    <w:p>
      <w:pPr>
        <w:pStyle w:val="ListNumber"/>
      </w:pPr>
      <w:r>
        <w:rPr>
          <w:b/>
        </w:rPr>
        <w:t>[Acad.]</w:t>
      </w:r>
      <w:r>
        <w:t xml:space="preserve"> Black, P. &amp; Wiliam, D. (1998). </w:t>
      </w:r>
      <w:r>
        <w:rPr>
          <w:i/>
        </w:rPr>
        <w:t>Assessment and Classroom Learning.</w:t>
      </w:r>
      <w:r>
        <w:t xml:space="preserve"> Assessment in Education, 5(1).</w:t>
      </w:r>
    </w:p>
    <w:p>
      <w:pPr>
        <w:pStyle w:val="ListNumber"/>
      </w:pPr>
      <w:r>
        <w:rPr>
          <w:b/>
        </w:rPr>
        <w:t>[Acad.]</w:t>
      </w:r>
      <w:r>
        <w:t xml:space="preserve"> Sisk, V. F. et al. (2018). </w:t>
      </w:r>
      <w:r>
        <w:rPr>
          <w:i/>
        </w:rPr>
        <w:t>…Growth Mind-Sets… Two Meta-Analyses.</w:t>
      </w:r>
      <w:r>
        <w:t xml:space="preserve"> Psychological Science, 29(4). &lt;https://journals.sagepub.com/doi/abs/10.1177/0956797617739704&gt;</w:t>
      </w:r>
    </w:p>
    <w:p>
      <w:pPr>
        <w:pStyle w:val="ListNumber"/>
      </w:pPr>
      <w:r>
        <w:rPr>
          <w:b/>
        </w:rPr>
        <w:t>[Acad.]</w:t>
      </w:r>
      <w:r>
        <w:t xml:space="preserve"> Pashler, H., McDaniel, M., Rohrer, D. &amp; Bjork, R. (2008). </w:t>
      </w:r>
      <w:r>
        <w:rPr>
          <w:i/>
        </w:rPr>
        <w:t>Learning Styles: Concepts and Evidence.</w:t>
      </w:r>
      <w:r>
        <w:t xml:space="preserve"> PSPI, 9(3). &lt;https://journals.sagepub.com/doi/10.1111/j.1539-6053.2009.01038.x&gt;</w:t>
      </w:r>
    </w:p>
    <w:p>
      <w:pPr>
        <w:pStyle w:val="ListNumber"/>
      </w:pPr>
      <w:r>
        <w:rPr>
          <w:b/>
        </w:rPr>
        <w:t>[Acad.]</w:t>
      </w:r>
      <w:r>
        <w:t xml:space="preserve"> Howard-Jones, P. (2014). </w:t>
      </w:r>
      <w:r>
        <w:rPr>
          <w:i/>
        </w:rPr>
        <w:t>Neuroscience and education: myths and messages.</w:t>
      </w:r>
      <w:r>
        <w:t xml:space="preserve"> Nature Reviews Neuroscience, 15(12). &lt;https://www.nature.com/articles/nrn3817&gt;</w:t>
      </w:r>
    </w:p>
    <w:p>
      <w:pPr>
        <w:pStyle w:val="ListNumber"/>
      </w:pPr>
      <w:r>
        <w:rPr>
          <w:b/>
        </w:rPr>
        <w:t>[Acad.]</w:t>
      </w:r>
      <w:r>
        <w:t xml:space="preserve"> Nieuwenhuis, S. (2024). </w:t>
      </w:r>
      <w:r>
        <w:rPr>
          <w:i/>
        </w:rPr>
        <w:t>Arousal and performance: revisiting the inverted-U-shaped curve.</w:t>
      </w:r>
      <w:r>
        <w:t xml:space="preserve"> Trends in Cognitive Sciences, 28(5). &lt;https://www.cell.com/trends/cognitive-sciences/fulltext/S1364-6613(24)00078-0&gt;</w:t>
      </w:r>
    </w:p>
    <w:p>
      <w:pPr>
        <w:pStyle w:val="ListNumber"/>
      </w:pPr>
      <w:r>
        <w:rPr>
          <w:b/>
        </w:rPr>
        <w:t>[Acad.]</w:t>
      </w:r>
      <w:r>
        <w:t xml:space="preserve"> McEwen, B. S., Nasca, C. &amp; Gray, J. D. (2016). </w:t>
      </w:r>
      <w:r>
        <w:rPr>
          <w:i/>
        </w:rPr>
        <w:t>Stress Effects on Neuronal Structure.</w:t>
      </w:r>
      <w:r>
        <w:t xml:space="preserve"> Neuropsychopharmacology, 41(1). &lt;https://www.nature.com/articles/npp2015171&gt;</w:t>
      </w:r>
    </w:p>
    <w:p>
      <w:pPr>
        <w:pStyle w:val="ListNumber"/>
      </w:pPr>
      <w:r>
        <w:rPr>
          <w:b/>
        </w:rPr>
        <w:t>[Livre]</w:t>
      </w:r>
      <w:r>
        <w:t xml:space="preserve"> Goleman, D. (1995). </w:t>
      </w:r>
      <w:r>
        <w:rPr>
          <w:i/>
        </w:rPr>
        <w:t>Emotional Intelligence.</w:t>
      </w:r>
      <w:r>
        <w:t xml:space="preserve"> Bantam — notion d'« amygdala hijack ».</w:t>
      </w:r>
    </w:p>
    <w:p>
      <w:pPr>
        <w:pStyle w:val="ListNumber"/>
      </w:pPr>
      <w:r>
        <w:rPr>
          <w:b/>
        </w:rPr>
        <w:t>[Livre]</w:t>
      </w:r>
      <w:r>
        <w:t xml:space="preserve"> Dweck, C. S. (2006). </w:t>
      </w:r>
      <w:r>
        <w:rPr>
          <w:i/>
        </w:rPr>
        <w:t>Mindset: The New Psychology of Success.</w:t>
      </w:r>
      <w:r>
        <w:t xml:space="preserve"> Random House.</w:t>
      </w:r>
    </w:p>
    <w:p>
      <w:pPr>
        <w:pStyle w:val="ListNumber"/>
      </w:pPr>
      <w:r>
        <w:rPr>
          <w:b/>
        </w:rPr>
        <w:t>[Livre]</w:t>
      </w:r>
      <w:r>
        <w:t xml:space="preserve"> Edmondson, A. C. (2018). </w:t>
      </w:r>
      <w:r>
        <w:rPr>
          <w:i/>
        </w:rPr>
        <w:t>The Fearless Organization.</w:t>
      </w:r>
      <w:r>
        <w:t xml:space="preserve"> Wiley — sécurité psychologique.</w:t>
      </w:r>
    </w:p>
    <w:p>
      <w:pPr>
        <w:pStyle w:val="ListNumber"/>
      </w:pPr>
      <w:r>
        <w:rPr>
          <w:b/>
        </w:rPr>
        <w:t>[Fondateur]</w:t>
      </w:r>
      <w:r>
        <w:t xml:space="preserve"> Vygotsky, L. S. (1978). </w:t>
      </w:r>
      <w:r>
        <w:rPr>
          <w:i/>
        </w:rPr>
        <w:t>Mind in Society.</w:t>
      </w:r>
      <w:r>
        <w:t xml:space="preserve"> Harvard University Press — zone proximale de développement.</w:t>
      </w:r>
    </w:p>
    <w:p>
      <w:pPr>
        <w:pStyle w:val="ListNumber"/>
      </w:pPr>
      <w:r>
        <w:rPr>
          <w:b/>
        </w:rPr>
        <w:t>[Acad.]</w:t>
      </w:r>
      <w:r>
        <w:t xml:space="preserve"> Wery, J. J. &amp; Diliberto, J. A. (2017). </w:t>
      </w:r>
      <w:r>
        <w:rPr>
          <w:i/>
        </w:rPr>
        <w:t>The effect of a specialized dyslexia font, OpenDyslexic, on reading rate and accuracy.</w:t>
      </w:r>
      <w:r>
        <w:t xml:space="preserve"> Annals of Dyslexia, 67(2). &lt;https://link.springer.com/article/10.1007/s11881-016-0127-1&gt;</w:t>
      </w:r>
    </w:p>
    <w:p>
      <w:pPr>
        <w:pStyle w:val="ListNumber"/>
      </w:pPr>
      <w:r>
        <w:rPr>
          <w:b/>
        </w:rPr>
        <w:t>[Acad.]</w:t>
      </w:r>
      <w:r>
        <w:t xml:space="preserve"> Rello, L. &amp; Baeza-Yates, R. (2013). </w:t>
      </w:r>
      <w:r>
        <w:rPr>
          <w:i/>
        </w:rPr>
        <w:t>Good fonts for dyslexia.</w:t>
      </w:r>
      <w:r>
        <w:t xml:space="preserve"> ASSETS '13.</w:t>
      </w:r>
    </w:p>
    <w:p>
      <w:pPr>
        <w:pStyle w:val="ListNumber"/>
      </w:pPr>
      <w:r>
        <w:rPr>
          <w:b/>
        </w:rPr>
        <w:t>[Cadre]</w:t>
      </w:r>
      <w:r>
        <w:t xml:space="preserve"> CAST (2018). </w:t>
      </w:r>
      <w:r>
        <w:rPr>
          <w:i/>
        </w:rPr>
        <w:t>Universal Design for Learning Guidelines version 2.2.</w:t>
      </w:r>
      <w:r>
        <w:t xml:space="preserve"> &lt;https://udlguidelines.cast.org/&gt;</w:t>
      </w:r>
    </w:p>
    <w:p>
      <w:pPr>
        <w:pStyle w:val="ListNumber"/>
      </w:pPr>
      <w:r>
        <w:rPr>
          <w:b/>
        </w:rPr>
        <w:t>[Fondateur]</w:t>
      </w:r>
      <w:r>
        <w:t xml:space="preserve"> Singer, J. (années 1990). — origine du terme « neurodiversité ».</w:t>
      </w:r>
    </w:p>
    <w:p>
      <w:pPr>
        <w:pStyle w:val="ListNumber"/>
      </w:pPr>
      <w:r>
        <w:rPr>
          <w:b/>
        </w:rPr>
        <w:t>[Acad.]</w:t>
      </w:r>
      <w:r>
        <w:t xml:space="preserve"> Sweller, J. (1988). </w:t>
      </w:r>
      <w:r>
        <w:rPr>
          <w:i/>
        </w:rPr>
        <w:t>Cognitive load during problem solving: Effects on learning.</w:t>
      </w:r>
      <w:r>
        <w:t xml:space="preserve"> Cognitive Science, 12(2).</w:t>
      </w:r>
    </w:p>
    <w:p>
      <w:pPr>
        <w:pStyle w:val="ListNumber"/>
      </w:pPr>
      <w:r>
        <w:rPr>
          <w:b/>
        </w:rPr>
        <w:t>[Fondateur]</w:t>
      </w:r>
      <w:r>
        <w:t xml:space="preserve"> Paivio, A. (1971). </w:t>
      </w:r>
      <w:r>
        <w:rPr>
          <w:i/>
        </w:rPr>
        <w:t>Imagery and Verbal Processes.</w:t>
      </w:r>
      <w:r>
        <w:t xml:space="preserve"> — dual coding.</w:t>
      </w:r>
    </w:p>
    <w:p>
      <w:pPr>
        <w:pStyle w:val="ListNumber"/>
      </w:pPr>
      <w:r>
        <w:rPr>
          <w:b/>
        </w:rPr>
        <w:t>[Acad.]</w:t>
      </w:r>
      <w:r>
        <w:t xml:space="preserve"> Kalyuga, S., Chandler, P. &amp; Sweller, J. (2004). </w:t>
      </w:r>
      <w:r>
        <w:rPr>
          <w:i/>
        </w:rPr>
        <w:t>When Redundant On-Screen Text in Multimedia Instruction Can Interfere With Learning.</w:t>
      </w:r>
      <w:r>
        <w:t xml:space="preserve"> Human Factors, 46(3). &lt;https://journals.sagepub.com/doi/10.1518/hfes.46.3.567.50405&gt;</w:t>
      </w:r>
    </w:p>
    <w:p>
      <w:pPr>
        <w:pStyle w:val="ListNumber"/>
      </w:pPr>
      <w:r>
        <w:rPr>
          <w:b/>
        </w:rPr>
        <w:t>[Acad.]</w:t>
      </w:r>
      <w:r>
        <w:t xml:space="preserve"> Diekelmann, S. &amp; Born, J. (2010). </w:t>
      </w:r>
      <w:r>
        <w:rPr>
          <w:i/>
        </w:rPr>
        <w:t>The memory function of sleep.</w:t>
      </w:r>
      <w:r>
        <w:t xml:space="preserve"> Nature Reviews Neuroscience, 11(2). &lt;https://www.nature.com/articles/nrn2762&gt;</w:t>
      </w:r>
    </w:p>
    <w:p>
      <w:pPr>
        <w:pStyle w:val="ListNumber"/>
      </w:pPr>
      <w:r>
        <w:rPr>
          <w:b/>
        </w:rPr>
        <w:t>[Acad.]</w:t>
      </w:r>
      <w:r>
        <w:t xml:space="preserve"> Xie, L. et al. (2013). </w:t>
      </w:r>
      <w:r>
        <w:rPr>
          <w:i/>
        </w:rPr>
        <w:t>Sleep Drives Metabolite Clearance from the Adult Brain.</w:t>
      </w:r>
      <w:r>
        <w:t xml:space="preserve"> Science, 342(6156).</w:t>
      </w:r>
    </w:p>
    <w:p>
      <w:pPr>
        <w:pStyle w:val="ListNumber"/>
      </w:pPr>
      <w:r>
        <w:rPr>
          <w:b/>
        </w:rPr>
        <w:t>[Acad.]</w:t>
      </w:r>
      <w:r>
        <w:t xml:space="preserve"> Williamson, A. M. &amp; Feyer, A.-M. (2000). </w:t>
      </w:r>
      <w:r>
        <w:rPr>
          <w:i/>
        </w:rPr>
        <w:t>Moderate sleep deprivation produces impairments equivalent to legally prescribed levels of alcohol intoxication.</w:t>
      </w:r>
      <w:r>
        <w:t xml:space="preserve"> Occupational and Environmental Medicine, 57(10).</w:t>
      </w:r>
    </w:p>
    <w:p>
      <w:pPr>
        <w:pStyle w:val="ListNumber"/>
      </w:pPr>
      <w:r>
        <w:rPr>
          <w:b/>
        </w:rPr>
        <w:t>[Acad.]</w:t>
      </w:r>
      <w:r>
        <w:t xml:space="preserve"> Mednick, S., Nakayama, K. &amp; Stickgold, R. (2003). </w:t>
      </w:r>
      <w:r>
        <w:rPr>
          <w:i/>
        </w:rPr>
        <w:t>Sleep-dependent learning: a nap is as good as a night.</w:t>
      </w:r>
      <w:r>
        <w:t xml:space="preserve"> Nature Neuroscience, 6(7).</w:t>
      </w:r>
    </w:p>
    <w:p>
      <w:pPr>
        <w:pStyle w:val="ListNumber"/>
      </w:pPr>
      <w:r>
        <w:rPr>
          <w:b/>
        </w:rPr>
        <w:t>[Fondateur]</w:t>
      </w:r>
      <w:r>
        <w:t xml:space="preserve"> Gick, M. L. &amp; Holyoak, K. J. (1980). </w:t>
      </w:r>
      <w:r>
        <w:rPr>
          <w:i/>
        </w:rPr>
        <w:t>Analogical problem solving.</w:t>
      </w:r>
      <w:r>
        <w:t xml:space="preserve"> Cognitive Psychology, 12(3).</w:t>
      </w:r>
    </w:p>
    <w:p>
      <w:pPr>
        <w:pStyle w:val="ListNumber"/>
      </w:pPr>
      <w:r>
        <w:rPr>
          <w:b/>
        </w:rPr>
        <w:t>[Acad.]</w:t>
      </w:r>
      <w:r>
        <w:t xml:space="preserve"> Barnett, S. M. &amp; Ceci, S. J. (2002). </w:t>
      </w:r>
      <w:r>
        <w:rPr>
          <w:i/>
        </w:rPr>
        <w:t>When and where do we apply what we learn? A taxonomy for far transfer.</w:t>
      </w:r>
      <w:r>
        <w:t xml:space="preserve"> Psychological Bulletin, 128(4).</w:t>
      </w:r>
    </w:p>
    <w:p>
      <w:r>
        <w:rPr>
          <w:i/>
        </w:rPr>
        <w:t>The Learning Society · Parcours Neuro-Éducation · réécrit &amp; fact-checké, juillet 2026 · 10 modules — parcours complet.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