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NEURO-ÉDUCATION · Module 3 — Attention &amp; engagement : capter sans mythes</w:t>
      </w:r>
    </w:p>
    <w:p>
      <w:pPr>
        <w:pStyle w:val="IntenseQuote"/>
      </w:pPr>
      <w:r>
        <w:rPr>
          <w:b/>
        </w:rPr>
        <w:t>Version réécrite et fact-checkée.</w:t>
      </w:r>
      <w:r>
        <w:t xml:space="preserve"> Ce module fait partie du parcours</w:t>
      </w:r>
    </w:p>
    <w:p>
      <w:pPr>
        <w:pStyle w:val="IntenseQuote"/>
      </w:pPr>
      <w:r>
        <w:t>Neuro-Éducation entièrement réécrit : mythes retirés, affirmations rattachées à</w:t>
      </w:r>
    </w:p>
    <w:p>
      <w:pPr>
        <w:pStyle w:val="IntenseQuote"/>
      </w:pPr>
      <w:r>
        <w:t>des sources vérifiées (existence, auteurs, année, contenu). Les affirmations</w:t>
      </w:r>
    </w:p>
    <w:p>
      <w:pPr>
        <w:pStyle w:val="IntenseQuote"/>
      </w:pPr>
      <w:r>
        <w:t>sans source réelle ont été supprimées, jamais remplacées par un substitut.</w:t>
      </w:r>
    </w:p>
    <w:p>
      <w:pPr>
        <w:pStyle w:val="IntenseQuote"/>
      </w:pPr>
      <w:r>
        <w:t>Bibliographie complète en fin de document.</w:t>
      </w:r>
    </w:p>
    <w:p>
      <w:pPr>
        <w:pStyle w:val="IntenseQuote"/>
      </w:pPr>
    </w:p>
    <w:p>
      <w:pPr>
        <w:pStyle w:val="IntenseQuote"/>
      </w:pPr>
      <w:r>
        <w:rPr>
          <w:i/>
        </w:rPr>
        <w:t>Découpé en module autonome le 2026-07-24, à partir du parcours réécrit.</w:t>
      </w:r>
    </w:p>
    <w:p>
      <w:pPr>
        <w:jc w:val="center"/>
      </w:pPr>
      <w:r>
        <w:t>________________________________________</w:t>
      </w:r>
    </w:p>
    <w:p>
      <w:r>
        <w:rPr>
          <w:i/>
        </w:rPr>
        <w:t>Ni poisson rouge, ni minuteur interne. Ce qui fait vraiment décrocher, et les leviers — segmentation, motivation intrinsèque, pauses — pour tenir l'attention.</w:t>
      </w:r>
    </w:p>
    <w:p>
      <w:r>
        <w:rPr>
          <w:b/>
        </w:rPr>
        <w:t>Ce que vous saurez faire</w:t>
      </w:r>
    </w:p>
    <w:p>
      <w:pPr>
        <w:pStyle w:val="ListBullet"/>
      </w:pPr>
      <w:r>
        <w:rPr>
          <w:b/>
        </w:rPr>
        <w:t>Distinguer</w:t>
      </w:r>
      <w:r>
        <w:t xml:space="preserve"> segmentation utile et faux « seuil d'attention ».</w:t>
      </w:r>
    </w:p>
    <w:p>
      <w:pPr>
        <w:pStyle w:val="ListBullet"/>
      </w:pPr>
      <w:r>
        <w:rPr>
          <w:b/>
        </w:rPr>
        <w:t>Concevoir</w:t>
      </w:r>
      <w:r>
        <w:t xml:space="preserve"> une ouverture qui capte en quelques minutes.</w:t>
      </w:r>
    </w:p>
    <w:p>
      <w:pPr>
        <w:pStyle w:val="ListBullet"/>
      </w:pPr>
      <w:r>
        <w:rPr>
          <w:b/>
        </w:rPr>
        <w:t>Activer</w:t>
      </w:r>
      <w:r>
        <w:t xml:space="preserve"> la motivation intrinsèque (autonomie, compétence, lien).</w:t>
      </w:r>
    </w:p>
    <w:p>
      <w:pPr>
        <w:pStyle w:val="ListBullet"/>
      </w:pPr>
      <w:r>
        <w:rPr>
          <w:b/>
        </w:rPr>
        <w:t>Intégrer</w:t>
      </w:r>
      <w:r>
        <w:t xml:space="preserve"> variété et pauses sans gadget.</w:t>
      </w:r>
    </w:p>
    <w:p>
      <w:pPr>
        <w:pStyle w:val="Heading2"/>
      </w:pPr>
      <w:r>
        <w:t>01 · Engagement — 3h30 d'exposé, ou des blocs actifs</w:t>
      </w:r>
    </w:p>
    <w:p>
      <w:r>
        <w:t>Une formation « Excel avancé ». D'un côté, l'expert partage son écran pendant trois heures et demie ; de l'autre, la même matière découpée en séquences courtes où chacun manipule. Le contenu est identique — pas l'expérience.</w:t>
      </w:r>
    </w:p>
    <w:p>
      <w:r>
        <w:rPr>
          <w:b/>
        </w:rPr>
        <w:t>Approche A · exposé continu — regarder faire</w:t>
      </w:r>
    </w:p>
    <w:p>
      <w:pPr>
        <w:pStyle w:val="ListBullet"/>
      </w:pPr>
      <w:r>
        <w:t>3h30 sans réelle pause</w:t>
      </w:r>
    </w:p>
    <w:p>
      <w:pPr>
        <w:pStyle w:val="ListBullet"/>
      </w:pPr>
      <w:r>
        <w:t>95 diapositives, voix monocorde</w:t>
      </w:r>
    </w:p>
    <w:p>
      <w:pPr>
        <w:pStyle w:val="ListBullet"/>
      </w:pPr>
      <w:r>
        <w:t>Aucune manipulation en direct</w:t>
      </w:r>
    </w:p>
    <w:p>
      <w:pPr>
        <w:pStyle w:val="ListBullet"/>
      </w:pPr>
      <w:r>
        <w:t>« Il faut apprendre Excel » pour seule raison</w:t>
      </w:r>
    </w:p>
    <w:p>
      <w:r>
        <w:rPr>
          <w:b/>
        </w:rPr>
        <w:t>Approche B · séquences actives — faire pour comprendre</w:t>
      </w:r>
    </w:p>
    <w:p>
      <w:pPr>
        <w:pStyle w:val="ListBullet"/>
      </w:pPr>
      <w:r>
        <w:t>Ouverture sur un problème concret et parlant</w:t>
      </w:r>
    </w:p>
    <w:p>
      <w:pPr>
        <w:pStyle w:val="ListBullet"/>
      </w:pPr>
      <w:r>
        <w:t>Séquences courtes : expliquer → pratiquer → vérifier</w:t>
      </w:r>
    </w:p>
    <w:p>
      <w:pPr>
        <w:pStyle w:val="ListBullet"/>
      </w:pPr>
      <w:r>
        <w:t>Variété des formats, pauses régulières</w:t>
      </w:r>
    </w:p>
    <w:p>
      <w:pPr>
        <w:pStyle w:val="ListBullet"/>
      </w:pPr>
      <w:r>
        <w:t>Un fil rouge choisi par l'apprenant (ses données)</w:t>
      </w:r>
    </w:p>
    <w:p>
      <w:r>
        <w:rPr>
          <w:b/>
        </w:rPr>
        <w:t>Scénario illustratif.</w:t>
      </w:r>
      <w:r>
        <w:t xml:space="preserve"> On compare des choix de conception. Les métriques « avant/après » de la version d'origine (attention « +125 % », application « +917 % ») ont été retirées : elles n'étaient pas mesurées.</w:t>
      </w:r>
    </w:p>
    <w:p>
      <w:r>
        <w:rPr>
          <w:b/>
        </w:rPr>
        <w:t>Question clé.</w:t>
      </w:r>
      <w:r>
        <w:t xml:space="preserve"> Mes séquences alternent-elles les modes (dire, faire, vérifier) ? Ou est-ce trois heures d'exposé en espérant que ça suive ?</w:t>
      </w:r>
    </w:p>
    <w:p>
      <w:pPr>
        <w:pStyle w:val="Heading2"/>
      </w:pPr>
      <w:r>
        <w:t>02 · Découvrir — L'attention, sans les légendes</w:t>
      </w:r>
    </w:p>
    <w:p>
      <w:pPr>
        <w:pStyle w:val="Heading3"/>
      </w:pPr>
      <w:r>
        <w:t>Le poisson rouge n'existe pas</w:t>
      </w:r>
    </w:p>
    <w:p>
      <w:r>
        <w:t xml:space="preserve">❌ </w:t>
      </w:r>
      <w:r>
        <w:rPr>
          <w:b/>
        </w:rPr>
        <w:t>Idée reçue :</w:t>
      </w:r>
      <w:r>
        <w:t xml:space="preserve"> « L'attention moyenne est tombée à 8 secondes — moins qu'un poisson rouge. »</w:t>
      </w:r>
    </w:p>
    <w:p>
      <w:r>
        <w:t xml:space="preserve">✅ </w:t>
      </w:r>
      <w:r>
        <w:rPr>
          <w:b/>
        </w:rPr>
        <w:t>Ce que dit la recherche :</w:t>
      </w:r>
      <w:r>
        <w:t xml:space="preserve"> Ce chiffre vient d'un site commercial, sans aucune étude derrière, relayé puis démonté par la BBC en 2017 (Maybin, 2017). La comparaison au poisson rouge n'a aucune base. Il n'existe pas de « durée d'attention moyenne » universelle : l'attention dépend de la tâche, de l'intérêt et du contexte.</w:t>
      </w:r>
    </w:p>
    <w:p>
      <w:pPr>
        <w:pStyle w:val="Heading3"/>
      </w:pPr>
      <w:r>
        <w:t>Découper, oui — mais pour la bonne raison</w:t>
      </w:r>
    </w:p>
    <w:p>
      <w:r>
        <w:t xml:space="preserve">❌ </w:t>
      </w:r>
      <w:r>
        <w:rPr>
          <w:b/>
        </w:rPr>
        <w:t>Idée reçue :</w:t>
      </w:r>
      <w:r>
        <w:t xml:space="preserve"> « L'attention soutenue plafonne à 8-10 minutes : il faut des blocs de 10-15 min. »</w:t>
      </w:r>
    </w:p>
    <w:p>
      <w:r>
        <w:t xml:space="preserve">✅ </w:t>
      </w:r>
      <w:r>
        <w:rPr>
          <w:b/>
        </w:rPr>
        <w:t>Ce que dit la recherche :</w:t>
      </w:r>
      <w:r>
        <w:t xml:space="preserve"> Pas de seuil biologique fixe (Bradbury, 2016). Découper reste utile, mais parce que la segmentation réduit la charge cognitive (Mayer, d ≈ 0,52), pas parce qu'un minuteur interne se déclencherait à la dixième minute.</w:t>
      </w:r>
    </w:p>
    <w:p>
      <w:pPr>
        <w:pStyle w:val="Heading3"/>
      </w:pPr>
      <w:r>
        <w:t>Trois systèmes attentionnels</w:t>
      </w:r>
    </w:p>
    <w:p>
      <w:r>
        <w:t>L'attention n'est pas un bloc unique. On en distingue trois fonctions complémentaires (Posner &amp; Petersen, 1990) :</w:t>
      </w:r>
    </w:p>
    <w:p>
      <w:pPr>
        <w:pStyle w:val="ListBullet"/>
      </w:pPr>
      <w:r>
        <w:rPr>
          <w:b/>
        </w:rPr>
        <w:t>L'alerte</w:t>
      </w:r>
      <w:r>
        <w:t xml:space="preserve"> — être disponible, réagir à un stimulus saillant.</w:t>
      </w:r>
    </w:p>
    <w:p>
      <w:pPr>
        <w:pStyle w:val="ListBullet"/>
      </w:pPr>
      <w:r>
        <w:rPr>
          <w:b/>
        </w:rPr>
        <w:t>L'orientation</w:t>
      </w:r>
      <w:r>
        <w:t xml:space="preserve"> — diriger le « projecteur » vers ce qui compte.</w:t>
      </w:r>
    </w:p>
    <w:p>
      <w:pPr>
        <w:pStyle w:val="ListBullet"/>
      </w:pPr>
      <w:r>
        <w:rPr>
          <w:b/>
        </w:rPr>
        <w:t>Le contrôle exécutif</w:t>
      </w:r>
      <w:r>
        <w:t xml:space="preserve"> — inhiber les distracteurs, tenir le cap malgré les tentations (une notification, par exemple).</w:t>
      </w:r>
    </w:p>
    <w:p>
      <w:pPr>
        <w:pStyle w:val="Heading3"/>
      </w:pPr>
      <w:r>
        <w:t>La dopamine et ce qui motive vraiment</w:t>
      </w:r>
    </w:p>
    <w:p>
      <w:r>
        <w:t xml:space="preserve">La dopamine se libère surtout en </w:t>
      </w:r>
      <w:r>
        <w:rPr>
          <w:b/>
        </w:rPr>
        <w:t>anticipation</w:t>
      </w:r>
      <w:r>
        <w:t xml:space="preserve"> d'une récompense : c'est le carburant de l'engagement. Mais la motivation durable ne s'achète pas. La théorie de l'autodétermination (Deci &amp; Ryan) identifie trois besoins :</w:t>
      </w:r>
    </w:p>
    <w:p>
      <w:pPr>
        <w:pStyle w:val="ListBullet"/>
      </w:pPr>
      <w:r>
        <w:rPr>
          <w:b/>
        </w:rPr>
        <w:t>Autonomie</w:t>
      </w:r>
      <w:r>
        <w:t xml:space="preserve"> — avoir des choix, un contrôle sur sa manière de faire.</w:t>
      </w:r>
    </w:p>
    <w:p>
      <w:pPr>
        <w:pStyle w:val="ListBullet"/>
      </w:pPr>
      <w:r>
        <w:rPr>
          <w:b/>
        </w:rPr>
        <w:t>Compétence</w:t>
      </w:r>
      <w:r>
        <w:t xml:space="preserve"> — sentir qu'on progresse, par des défis ajustés.</w:t>
      </w:r>
    </w:p>
    <w:p>
      <w:pPr>
        <w:pStyle w:val="ListBullet"/>
      </w:pPr>
      <w:r>
        <w:rPr>
          <w:b/>
        </w:rPr>
        <w:t>Appartenance</w:t>
      </w:r>
      <w:r>
        <w:t xml:space="preserve"> — apprendre avec et par les autres.</w:t>
      </w:r>
    </w:p>
    <w:p>
      <w:r>
        <w:t xml:space="preserve">La récompense purement extrinsèque (note, prime) fonctionne à court terme et peut même </w:t>
      </w:r>
      <w:r>
        <w:rPr>
          <w:b/>
        </w:rPr>
        <w:t>éroder</w:t>
      </w:r>
      <w:r>
        <w:t xml:space="preserve"> la motivation intrinsèque. Une gamification utile soutient les trois besoins ; elle ne les remplace pas par des points.</w:t>
      </w:r>
    </w:p>
    <w:p>
      <w:pPr>
        <w:pStyle w:val="Heading3"/>
      </w:pPr>
      <w:r>
        <w:t>« Multitâche » : en réalité, un va-et-vient coûteux</w:t>
      </w:r>
    </w:p>
    <w:p>
      <w:r>
        <w:t xml:space="preserve">Le cerveau ne mène pas deux tâches attentionnelles en parallèle : il </w:t>
      </w:r>
      <w:r>
        <w:rPr>
          <w:b/>
        </w:rPr>
        <w:t>bascule</w:t>
      </w:r>
      <w:r>
        <w:t xml:space="preserve"> de l'une à l'autre, et chaque bascule a un coût (temps de reprise, erreurs). D'où l'intérêt de protéger des plages sans interruption plutôt que de croire à un vrai « multitâche ».</w:t>
      </w:r>
    </w:p>
    <w:p>
      <w:pPr>
        <w:pStyle w:val="Heading2"/>
      </w:pPr>
      <w:r>
        <w:t>03 · Réfléchir — Six questions pour vérifier</w:t>
      </w:r>
    </w:p>
    <w:p>
      <w:r>
        <w:rPr>
          <w:b/>
        </w:rPr>
        <w:t>Q1.</w:t>
      </w:r>
      <w:r>
        <w:t xml:space="preserve"> « L'attention soutenue plafonne à 8-10 min. » ✓ </w:t>
      </w:r>
      <w:r>
        <w:rPr>
          <w:b/>
        </w:rPr>
        <w:t>Faux.</w:t>
      </w:r>
      <w:r>
        <w:t xml:space="preserve"> Pas de seuil fixe ; on segmente pour alléger la charge (Bradbury, 2016).</w:t>
      </w:r>
    </w:p>
    <w:p>
      <w:r>
        <w:rPr>
          <w:b/>
        </w:rPr>
        <w:t>Q2.</w:t>
      </w:r>
      <w:r>
        <w:t xml:space="preserve"> Le « 8 secondes, moins qu'un poisson rouge » ? ✓ </w:t>
      </w:r>
      <w:r>
        <w:rPr>
          <w:b/>
        </w:rPr>
        <w:t>Mythe</w:t>
      </w:r>
      <w:r>
        <w:t xml:space="preserve"> sans étude, démonté par la BBC (Maybin, 2017).</w:t>
      </w:r>
    </w:p>
    <w:p>
      <w:r>
        <w:rPr>
          <w:b/>
        </w:rPr>
        <w:t>Q3.</w:t>
      </w:r>
      <w:r>
        <w:t xml:space="preserve"> Les trois besoins de la motivation intrinsèque ? ✓ </w:t>
      </w:r>
      <w:r>
        <w:rPr>
          <w:b/>
        </w:rPr>
        <w:t>Autonomie, compétence, appartenance</w:t>
      </w:r>
      <w:r>
        <w:t xml:space="preserve"> (Deci &amp; Ryan).</w:t>
      </w:r>
    </w:p>
    <w:p>
      <w:r>
        <w:rPr>
          <w:b/>
        </w:rPr>
        <w:t>Q4.</w:t>
      </w:r>
      <w:r>
        <w:t xml:space="preserve"> La récompense extrinsèque (note, prime) ? ✓ </w:t>
      </w:r>
      <w:r>
        <w:rPr>
          <w:b/>
        </w:rPr>
        <w:t>Effet court terme</w:t>
      </w:r>
      <w:r>
        <w:t>, et peut éroder la motivation intrinsèque.</w:t>
      </w:r>
    </w:p>
    <w:p>
      <w:r>
        <w:rPr>
          <w:b/>
        </w:rPr>
        <w:t>Q5.</w:t>
      </w:r>
      <w:r>
        <w:t xml:space="preserve"> Le « multitâche » attentionnel ? ✓ </w:t>
      </w:r>
      <w:r>
        <w:rPr>
          <w:b/>
        </w:rPr>
        <w:t>Un va-et-vient</w:t>
      </w:r>
      <w:r>
        <w:t xml:space="preserve"> coûteux, pas un parallélisme réel.</w:t>
      </w:r>
    </w:p>
    <w:p>
      <w:r>
        <w:rPr>
          <w:b/>
        </w:rPr>
        <w:t>Q6.</w:t>
      </w:r>
      <w:r>
        <w:t xml:space="preserve"> Une ouverture qui capte ? ✓ </w:t>
      </w:r>
      <w:r>
        <w:rPr>
          <w:b/>
        </w:rPr>
        <w:t>Un problème réel</w:t>
      </w:r>
      <w:r>
        <w:t xml:space="preserve"> + une démonstration parlante, mieux qu'une liste d'objectifs.</w:t>
      </w:r>
    </w:p>
    <w:p>
      <w:pPr>
        <w:pStyle w:val="Heading2"/>
      </w:pPr>
      <w:r>
        <w:t>04 · Appliquer — Rythmer une séance de 2 heures</w:t>
      </w:r>
    </w:p>
    <w:p>
      <w:r>
        <w:t>Mission (~12 min) : transformez un bloc de deux heures en séquences actives — non pour « éviter le décrochage », mais pour varier les modes et laisser respirer.</w:t>
      </w:r>
    </w:p>
    <w:p>
      <w:r>
        <w:rPr>
          <w:b/>
        </w:rPr>
        <w:t>Trame</w:t>
      </w:r>
    </w:p>
    <w:p>
      <w:pPr>
        <w:pStyle w:val="ListBullet"/>
      </w:pPr>
      <w:r>
        <w:rPr>
          <w:b/>
        </w:rPr>
        <w:t>Ouvrir fort</w:t>
      </w:r>
      <w:r>
        <w:t xml:space="preserve"> — un problème concret, une démonstration, une question.</w:t>
      </w:r>
    </w:p>
    <w:p>
      <w:pPr>
        <w:pStyle w:val="ListBullet"/>
      </w:pPr>
      <w:r>
        <w:rPr>
          <w:b/>
        </w:rPr>
        <w:t>Séquences courtes</w:t>
      </w:r>
      <w:r>
        <w:t xml:space="preserve"> — expliquer bref → pratiquer → vérifier, en variant les formats.</w:t>
      </w:r>
    </w:p>
    <w:p>
      <w:pPr>
        <w:pStyle w:val="ListBullet"/>
      </w:pPr>
      <w:r>
        <w:rPr>
          <w:b/>
        </w:rPr>
        <w:t>Pauses réelles</w:t>
      </w:r>
      <w:r>
        <w:t xml:space="preserve"> — de courtes respirations, une plus longue à mi-parcours.</w:t>
      </w:r>
    </w:p>
    <w:p>
      <w:pPr>
        <w:pStyle w:val="ListBullet"/>
      </w:pPr>
      <w:r>
        <w:rPr>
          <w:b/>
        </w:rPr>
        <w:t>Fil rouge choisi</w:t>
      </w:r>
      <w:r>
        <w:t xml:space="preserve"> — un projet sur les données ou le cas de l'apprenant (autonomie).</w:t>
      </w:r>
    </w:p>
    <w:p>
      <w:pPr>
        <w:pStyle w:val="Heading2"/>
      </w:pPr>
      <w:r>
        <w:t>05 · Consolider — Trois phrases à emporter</w:t>
      </w:r>
    </w:p>
    <w:p>
      <w:r>
        <w:t>« L'attention se soigne, elle ne se décrète pas. » — Pas de minuteur interne : on la gagne par l'intérêt et le rythme.</w:t>
      </w:r>
    </w:p>
    <w:p>
      <w:r>
        <w:t>« Autonomie, compétence, lien. » — Le trio qui nourrit une motivation durable.</w:t>
      </w:r>
    </w:p>
    <w:p>
      <w:r>
        <w:t>« Ouvrir fort. » — Les premières minutes donnent — ou non — envie de suivre.</w:t>
      </w:r>
    </w:p>
    <w:p>
      <w:pPr>
        <w:pStyle w:val="Heading2"/>
      </w:pPr>
      <w:r>
        <w:t>06 · Transférer — Un seul geste, cette semaine</w:t>
      </w:r>
    </w:p>
    <w:p>
      <w:r>
        <w:rPr>
          <w:b/>
        </w:rPr>
        <w:t>À faire.</w:t>
      </w:r>
      <w:r>
        <w:t xml:space="preserve"> Sur une séance à venir, remplacez la diapositive d'objectifs par une vraie ouverture : un problème concret que l'apprenant reconnaît, suivi d'une démonstration de 30 secondes. Observez la différence d'entrée dans la séance.</w:t>
      </w:r>
    </w:p>
    <w:p>
      <w:pPr>
        <w:jc w:val="center"/>
      </w:pPr>
      <w:r>
        <w:t>________________________________________</w:t>
      </w:r>
    </w:p>
    <w:p>
      <w:pPr>
        <w:pStyle w:val="Heading1"/>
      </w:pPr>
      <w:r>
        <w:t>Bibliographie du parcours</w:t>
      </w:r>
    </w:p>
    <w:p>
      <w:r>
        <w:rPr>
          <w:i/>
        </w:rPr>
        <w:t>Toutes vérifiées (existence, auteurs, année, contenu). Les affirmations de science du parcours s'y rattachent ; les claims sans source réelle ont été retirés, non remplacés par des substituts.</w:t>
      </w:r>
    </w:p>
    <w:p>
      <w:pPr>
        <w:pStyle w:val="ListNumber"/>
      </w:pPr>
      <w:r>
        <w:rPr>
          <w:b/>
        </w:rPr>
        <w:t>[Livre]</w:t>
      </w:r>
      <w:r>
        <w:t xml:space="preserve"> Dehaene, S. (2018). </w:t>
      </w:r>
      <w:r>
        <w:rPr>
          <w:i/>
        </w:rPr>
        <w:t>Apprendre ! Les talents du cerveau, le défi des machines.</w:t>
      </w:r>
      <w:r>
        <w:t xml:space="preserve"> Odile Jacob.</w:t>
      </w:r>
    </w:p>
    <w:p>
      <w:pPr>
        <w:pStyle w:val="ListNumber"/>
      </w:pPr>
      <w:r>
        <w:rPr>
          <w:b/>
        </w:rPr>
        <w:t>[Fondateur]</w:t>
      </w:r>
      <w:r>
        <w:t xml:space="preserve"> Hebb, D. O. (1949). </w:t>
      </w:r>
      <w:r>
        <w:rPr>
          <w:i/>
        </w:rPr>
        <w:t>The Organization of Behavior.</w:t>
      </w:r>
      <w:r>
        <w:t xml:space="preserve"> Wiley.</w:t>
      </w:r>
    </w:p>
    <w:p>
      <w:pPr>
        <w:pStyle w:val="ListNumber"/>
      </w:pPr>
      <w:r>
        <w:rPr>
          <w:b/>
        </w:rPr>
        <w:t>[Acad.]</w:t>
      </w:r>
      <w:r>
        <w:t xml:space="preserve"> Miller, G. A. (1956). </w:t>
      </w:r>
      <w:r>
        <w:rPr>
          <w:i/>
        </w:rPr>
        <w:t>The magical number seven, plus or minus two.</w:t>
      </w:r>
      <w:r>
        <w:t xml:space="preserve"> Psychological Review, 63(2).</w:t>
      </w:r>
    </w:p>
    <w:p>
      <w:pPr>
        <w:pStyle w:val="ListNumber"/>
      </w:pPr>
      <w:r>
        <w:rPr>
          <w:b/>
        </w:rPr>
        <w:t>[Acad.]</w:t>
      </w:r>
      <w:r>
        <w:t xml:space="preserve"> Cowan, N. (2001). </w:t>
      </w:r>
      <w:r>
        <w:rPr>
          <w:i/>
        </w:rPr>
        <w:t>The magical number 4 in short-term memory.</w:t>
      </w:r>
      <w:r>
        <w:t xml:space="preserve"> Behavioral and Brain Sciences, 24(1).</w:t>
      </w:r>
    </w:p>
    <w:p>
      <w:pPr>
        <w:pStyle w:val="ListNumber"/>
      </w:pPr>
      <w:r>
        <w:rPr>
          <w:b/>
        </w:rPr>
        <w:t>[Acad.]</w:t>
      </w:r>
      <w:r>
        <w:t xml:space="preserve"> Baddeley, A. (2000). </w:t>
      </w:r>
      <w:r>
        <w:rPr>
          <w:i/>
        </w:rPr>
        <w:t>The episodic buffer: a new component of working memory?</w:t>
      </w:r>
      <w:r>
        <w:t xml:space="preserve"> Trends in Cognitive Sciences, 4(11).</w:t>
      </w:r>
    </w:p>
    <w:p>
      <w:pPr>
        <w:pStyle w:val="ListNumber"/>
      </w:pPr>
      <w:r>
        <w:rPr>
          <w:b/>
        </w:rPr>
        <w:t>[Fondateur]</w:t>
      </w:r>
      <w:r>
        <w:t xml:space="preserve"> Ebbinghaus, H. (1885). </w:t>
      </w:r>
      <w:r>
        <w:rPr>
          <w:i/>
        </w:rPr>
        <w:t>Über das Gedächtnis.</w:t>
      </w:r>
      <w:r>
        <w:t xml:space="preserve"> — courbe de l'oubli.</w:t>
      </w:r>
    </w:p>
    <w:p>
      <w:pPr>
        <w:pStyle w:val="ListNumber"/>
      </w:pPr>
      <w:r>
        <w:rPr>
          <w:b/>
        </w:rPr>
        <w:t>[Acad.]</w:t>
      </w:r>
      <w:r>
        <w:t xml:space="preserve"> Murre, J. M. J. &amp; Dros, J. (2015). </w:t>
      </w:r>
      <w:r>
        <w:rPr>
          <w:i/>
        </w:rPr>
        <w:t>Replication and Analysis of Ebbinghaus' Forgetting Curve.</w:t>
      </w:r>
      <w:r>
        <w:t xml:space="preserve"> PLOS ONE, 10(7). &lt;https://journals.plos.org/plosone/article?id=10.1371/journal.pone.0120644&gt;</w:t>
      </w:r>
    </w:p>
    <w:p>
      <w:pPr>
        <w:pStyle w:val="ListNumber"/>
      </w:pPr>
      <w:r>
        <w:rPr>
          <w:b/>
        </w:rPr>
        <w:t>[Acad.]</w:t>
      </w:r>
      <w:r>
        <w:t xml:space="preserve"> Cepeda, N. J., Pashler, H. et al. (2006). </w:t>
      </w:r>
      <w:r>
        <w:rPr>
          <w:i/>
        </w:rPr>
        <w:t>Distributed practice in verbal recall tasks: A review and quantitative synthesis.</w:t>
      </w:r>
      <w:r>
        <w:t xml:space="preserve"> Psychological Bulletin, 132(3).</w:t>
      </w:r>
    </w:p>
    <w:p>
      <w:pPr>
        <w:pStyle w:val="ListNumber"/>
      </w:pPr>
      <w:r>
        <w:rPr>
          <w:b/>
        </w:rPr>
        <w:t>[Acad.]</w:t>
      </w:r>
      <w:r>
        <w:t xml:space="preserve"> Roediger, H. L. &amp; Karpicke, J. D. (2006). </w:t>
      </w:r>
      <w:r>
        <w:rPr>
          <w:i/>
        </w:rPr>
        <w:t>Test-enhanced learning.</w:t>
      </w:r>
      <w:r>
        <w:t xml:space="preserve"> Psychological Science, 17(3).</w:t>
      </w:r>
    </w:p>
    <w:p>
      <w:pPr>
        <w:pStyle w:val="ListNumber"/>
      </w:pPr>
      <w:r>
        <w:rPr>
          <w:b/>
        </w:rPr>
        <w:t>[Acad.]</w:t>
      </w:r>
      <w:r>
        <w:t xml:space="preserve"> Bjork, R. A. (1994). </w:t>
      </w:r>
      <w:r>
        <w:rPr>
          <w:i/>
        </w:rPr>
        <w:t>Memory and metamemory considerations in the training of human beings.</w:t>
      </w:r>
      <w:r>
        <w:t xml:space="preserve"> — « difficultés désirables ».</w:t>
      </w:r>
    </w:p>
    <w:p>
      <w:pPr>
        <w:pStyle w:val="ListNumber"/>
      </w:pPr>
      <w:r>
        <w:rPr>
          <w:b/>
        </w:rPr>
        <w:t>[Acad.]</w:t>
      </w:r>
      <w:r>
        <w:t xml:space="preserve"> Bradbury, N. A. (2016). </w:t>
      </w:r>
      <w:r>
        <w:rPr>
          <w:i/>
        </w:rPr>
        <w:t>Attention span during lectures: 8 seconds, 10 minutes, or more?</w:t>
      </w:r>
      <w:r>
        <w:t xml:space="preserve"> Advances in Physiology Education, 40(4). &lt;https://journals.physiology.org/doi/full/10.1152/advan.00109.2016&gt;</w:t>
      </w:r>
    </w:p>
    <w:p>
      <w:pPr>
        <w:pStyle w:val="ListNumber"/>
      </w:pPr>
      <w:r>
        <w:rPr>
          <w:b/>
        </w:rPr>
        <w:t>[L&amp;D]</w:t>
      </w:r>
      <w:r>
        <w:t xml:space="preserve"> Maybin, S. (2017). </w:t>
      </w:r>
      <w:r>
        <w:rPr>
          <w:i/>
        </w:rPr>
        <w:t>Busting the attention span myth.</w:t>
      </w:r>
      <w:r>
        <w:t xml:space="preserve"> BBC — More or Less. &lt;https://www.bbc.com/news/health-38896790&gt;</w:t>
      </w:r>
    </w:p>
    <w:p>
      <w:pPr>
        <w:pStyle w:val="ListNumber"/>
      </w:pPr>
      <w:r>
        <w:rPr>
          <w:b/>
        </w:rPr>
        <w:t>[Acad.]</w:t>
      </w:r>
      <w:r>
        <w:t xml:space="preserve"> Mayer, R. E. </w:t>
      </w:r>
      <w:r>
        <w:rPr>
          <w:i/>
        </w:rPr>
        <w:t>Multimedia Learning.</w:t>
      </w:r>
      <w:r>
        <w:t xml:space="preserve"> Cambridge University Press — segmentation (d ≈ 0,52), multimédia (d ≈ 1,39).</w:t>
      </w:r>
    </w:p>
    <w:p>
      <w:pPr>
        <w:pStyle w:val="ListNumber"/>
      </w:pPr>
      <w:r>
        <w:rPr>
          <w:b/>
        </w:rPr>
        <w:t>[Acad.]</w:t>
      </w:r>
      <w:r>
        <w:t xml:space="preserve"> Posner, M. I. &amp; Petersen, S. E. (1990). </w:t>
      </w:r>
      <w:r>
        <w:rPr>
          <w:i/>
        </w:rPr>
        <w:t>The attention system of the human brain.</w:t>
      </w:r>
      <w:r>
        <w:t xml:space="preserve"> Annual Review of Neuroscience, 13.</w:t>
      </w:r>
    </w:p>
    <w:p>
      <w:pPr>
        <w:pStyle w:val="ListNumber"/>
      </w:pPr>
      <w:r>
        <w:rPr>
          <w:b/>
        </w:rPr>
        <w:t>[Acad.]</w:t>
      </w:r>
      <w:r>
        <w:t xml:space="preserve"> Deci, E. L. &amp; Ryan, R. M. — </w:t>
      </w:r>
      <w:r>
        <w:rPr>
          <w:i/>
        </w:rPr>
        <w:t>Self-Determination Theory</w:t>
      </w:r>
      <w:r>
        <w:t xml:space="preserve"> (autonomie, compétence, appartenance).</w:t>
      </w:r>
    </w:p>
    <w:p>
      <w:pPr>
        <w:pStyle w:val="ListNumber"/>
      </w:pPr>
      <w:r>
        <w:rPr>
          <w:b/>
        </w:rPr>
        <w:t>[Acad.]</w:t>
      </w:r>
      <w:r>
        <w:t xml:space="preserve"> Black, P. &amp; Wiliam, D. (1998). </w:t>
      </w:r>
      <w:r>
        <w:rPr>
          <w:i/>
        </w:rPr>
        <w:t>Assessment and Classroom Learning.</w:t>
      </w:r>
      <w:r>
        <w:t xml:space="preserve"> Assessment in Education, 5(1).</w:t>
      </w:r>
    </w:p>
    <w:p>
      <w:pPr>
        <w:pStyle w:val="ListNumber"/>
      </w:pPr>
      <w:r>
        <w:rPr>
          <w:b/>
        </w:rPr>
        <w:t>[Acad.]</w:t>
      </w:r>
      <w:r>
        <w:t xml:space="preserve"> Sisk, V. F. et al. (2018). </w:t>
      </w:r>
      <w:r>
        <w:rPr>
          <w:i/>
        </w:rPr>
        <w:t>…Growth Mind-Sets… Two Meta-Analyses.</w:t>
      </w:r>
      <w:r>
        <w:t xml:space="preserve"> Psychological Science, 29(4). &lt;https://journals.sagepub.com/doi/abs/10.1177/0956797617739704&gt;</w:t>
      </w:r>
    </w:p>
    <w:p>
      <w:pPr>
        <w:pStyle w:val="ListNumber"/>
      </w:pPr>
      <w:r>
        <w:rPr>
          <w:b/>
        </w:rPr>
        <w:t>[Acad.]</w:t>
      </w:r>
      <w:r>
        <w:t xml:space="preserve"> Pashler, H., McDaniel, M., Rohrer, D. &amp; Bjork, R. (2008). </w:t>
      </w:r>
      <w:r>
        <w:rPr>
          <w:i/>
        </w:rPr>
        <w:t>Learning Styles: Concepts and Evidence.</w:t>
      </w:r>
      <w:r>
        <w:t xml:space="preserve"> PSPI, 9(3). &lt;https://journals.sagepub.com/doi/10.1111/j.1539-6053.2009.01038.x&gt;</w:t>
      </w:r>
    </w:p>
    <w:p>
      <w:pPr>
        <w:pStyle w:val="ListNumber"/>
      </w:pPr>
      <w:r>
        <w:rPr>
          <w:b/>
        </w:rPr>
        <w:t>[Acad.]</w:t>
      </w:r>
      <w:r>
        <w:t xml:space="preserve"> Howard-Jones, P. (2014). </w:t>
      </w:r>
      <w:r>
        <w:rPr>
          <w:i/>
        </w:rPr>
        <w:t>Neuroscience and education: myths and messages.</w:t>
      </w:r>
      <w:r>
        <w:t xml:space="preserve"> Nature Reviews Neuroscience, 15(12). &lt;https://www.nature.com/articles/nrn3817&gt;</w:t>
      </w:r>
    </w:p>
    <w:p>
      <w:pPr>
        <w:pStyle w:val="ListNumber"/>
      </w:pPr>
      <w:r>
        <w:rPr>
          <w:b/>
        </w:rPr>
        <w:t>[Acad.]</w:t>
      </w:r>
      <w:r>
        <w:t xml:space="preserve"> Nieuwenhuis, S. (2024). </w:t>
      </w:r>
      <w:r>
        <w:rPr>
          <w:i/>
        </w:rPr>
        <w:t>Arousal and performance: revisiting the inverted-U-shaped curve.</w:t>
      </w:r>
      <w:r>
        <w:t xml:space="preserve"> Trends in Cognitive Sciences, 28(5). &lt;https://www.cell.com/trends/cognitive-sciences/fulltext/S1364-6613(24)00078-0&gt;</w:t>
      </w:r>
    </w:p>
    <w:p>
      <w:pPr>
        <w:pStyle w:val="ListNumber"/>
      </w:pPr>
      <w:r>
        <w:rPr>
          <w:b/>
        </w:rPr>
        <w:t>[Acad.]</w:t>
      </w:r>
      <w:r>
        <w:t xml:space="preserve"> McEwen, B. S., Nasca, C. &amp; Gray, J. D. (2016). </w:t>
      </w:r>
      <w:r>
        <w:rPr>
          <w:i/>
        </w:rPr>
        <w:t>Stress Effects on Neuronal Structure.</w:t>
      </w:r>
      <w:r>
        <w:t xml:space="preserve"> Neuropsychopharmacology, 41(1). &lt;https://www.nature.com/articles/npp2015171&gt;</w:t>
      </w:r>
    </w:p>
    <w:p>
      <w:pPr>
        <w:pStyle w:val="ListNumber"/>
      </w:pPr>
      <w:r>
        <w:rPr>
          <w:b/>
        </w:rPr>
        <w:t>[Livre]</w:t>
      </w:r>
      <w:r>
        <w:t xml:space="preserve"> Goleman, D. (1995). </w:t>
      </w:r>
      <w:r>
        <w:rPr>
          <w:i/>
        </w:rPr>
        <w:t>Emotional Intelligence.</w:t>
      </w:r>
      <w:r>
        <w:t xml:space="preserve"> Bantam — notion d'« amygdala hijack ».</w:t>
      </w:r>
    </w:p>
    <w:p>
      <w:pPr>
        <w:pStyle w:val="ListNumber"/>
      </w:pPr>
      <w:r>
        <w:rPr>
          <w:b/>
        </w:rPr>
        <w:t>[Livre]</w:t>
      </w:r>
      <w:r>
        <w:t xml:space="preserve"> Dweck, C. S. (2006). </w:t>
      </w:r>
      <w:r>
        <w:rPr>
          <w:i/>
        </w:rPr>
        <w:t>Mindset: The New Psychology of Success.</w:t>
      </w:r>
      <w:r>
        <w:t xml:space="preserve"> Random House.</w:t>
      </w:r>
    </w:p>
    <w:p>
      <w:pPr>
        <w:pStyle w:val="ListNumber"/>
      </w:pPr>
      <w:r>
        <w:rPr>
          <w:b/>
        </w:rPr>
        <w:t>[Livre]</w:t>
      </w:r>
      <w:r>
        <w:t xml:space="preserve"> Edmondson, A. C. (2018). </w:t>
      </w:r>
      <w:r>
        <w:rPr>
          <w:i/>
        </w:rPr>
        <w:t>The Fearless Organization.</w:t>
      </w:r>
      <w:r>
        <w:t xml:space="preserve"> Wiley — sécurité psychologique.</w:t>
      </w:r>
    </w:p>
    <w:p>
      <w:pPr>
        <w:pStyle w:val="ListNumber"/>
      </w:pPr>
      <w:r>
        <w:rPr>
          <w:b/>
        </w:rPr>
        <w:t>[Fondateur]</w:t>
      </w:r>
      <w:r>
        <w:t xml:space="preserve"> Vygotsky, L. S. (1978). </w:t>
      </w:r>
      <w:r>
        <w:rPr>
          <w:i/>
        </w:rPr>
        <w:t>Mind in Society.</w:t>
      </w:r>
      <w:r>
        <w:t xml:space="preserve"> Harvard University Press — zone proximale de développement.</w:t>
      </w:r>
    </w:p>
    <w:p>
      <w:pPr>
        <w:pStyle w:val="ListNumber"/>
      </w:pPr>
      <w:r>
        <w:rPr>
          <w:b/>
        </w:rPr>
        <w:t>[Acad.]</w:t>
      </w:r>
      <w:r>
        <w:t xml:space="preserve"> Wery, J. J. &amp; Diliberto, J. A. (2017). </w:t>
      </w:r>
      <w:r>
        <w:rPr>
          <w:i/>
        </w:rPr>
        <w:t>The effect of a specialized dyslexia font, OpenDyslexic, on reading rate and accuracy.</w:t>
      </w:r>
      <w:r>
        <w:t xml:space="preserve"> Annals of Dyslexia, 67(2). &lt;https://link.springer.com/article/10.1007/s11881-016-0127-1&gt;</w:t>
      </w:r>
    </w:p>
    <w:p>
      <w:pPr>
        <w:pStyle w:val="ListNumber"/>
      </w:pPr>
      <w:r>
        <w:rPr>
          <w:b/>
        </w:rPr>
        <w:t>[Acad.]</w:t>
      </w:r>
      <w:r>
        <w:t xml:space="preserve"> Rello, L. &amp; Baeza-Yates, R. (2013). </w:t>
      </w:r>
      <w:r>
        <w:rPr>
          <w:i/>
        </w:rPr>
        <w:t>Good fonts for dyslexia.</w:t>
      </w:r>
      <w:r>
        <w:t xml:space="preserve"> ASSETS '13.</w:t>
      </w:r>
    </w:p>
    <w:p>
      <w:pPr>
        <w:pStyle w:val="ListNumber"/>
      </w:pPr>
      <w:r>
        <w:rPr>
          <w:b/>
        </w:rPr>
        <w:t>[Cadre]</w:t>
      </w:r>
      <w:r>
        <w:t xml:space="preserve"> CAST (2018). </w:t>
      </w:r>
      <w:r>
        <w:rPr>
          <w:i/>
        </w:rPr>
        <w:t>Universal Design for Learning Guidelines version 2.2.</w:t>
      </w:r>
      <w:r>
        <w:t xml:space="preserve"> &lt;https://udlguidelines.cast.org/&gt;</w:t>
      </w:r>
    </w:p>
    <w:p>
      <w:pPr>
        <w:pStyle w:val="ListNumber"/>
      </w:pPr>
      <w:r>
        <w:rPr>
          <w:b/>
        </w:rPr>
        <w:t>[Fondateur]</w:t>
      </w:r>
      <w:r>
        <w:t xml:space="preserve"> Singer, J. (années 1990). — origine du terme « neurodiversité ».</w:t>
      </w:r>
    </w:p>
    <w:p>
      <w:pPr>
        <w:pStyle w:val="ListNumber"/>
      </w:pPr>
      <w:r>
        <w:rPr>
          <w:b/>
        </w:rPr>
        <w:t>[Acad.]</w:t>
      </w:r>
      <w:r>
        <w:t xml:space="preserve"> Sweller, J. (1988). </w:t>
      </w:r>
      <w:r>
        <w:rPr>
          <w:i/>
        </w:rPr>
        <w:t>Cognitive load during problem solving: Effects on learning.</w:t>
      </w:r>
      <w:r>
        <w:t xml:space="preserve"> Cognitive Science, 12(2).</w:t>
      </w:r>
    </w:p>
    <w:p>
      <w:pPr>
        <w:pStyle w:val="ListNumber"/>
      </w:pPr>
      <w:r>
        <w:rPr>
          <w:b/>
        </w:rPr>
        <w:t>[Fondateur]</w:t>
      </w:r>
      <w:r>
        <w:t xml:space="preserve"> Paivio, A. (1971). </w:t>
      </w:r>
      <w:r>
        <w:rPr>
          <w:i/>
        </w:rPr>
        <w:t>Imagery and Verbal Processes.</w:t>
      </w:r>
      <w:r>
        <w:t xml:space="preserve"> — dual coding.</w:t>
      </w:r>
    </w:p>
    <w:p>
      <w:pPr>
        <w:pStyle w:val="ListNumber"/>
      </w:pPr>
      <w:r>
        <w:rPr>
          <w:b/>
        </w:rPr>
        <w:t>[Acad.]</w:t>
      </w:r>
      <w:r>
        <w:t xml:space="preserve"> Kalyuga, S., Chandler, P. &amp; Sweller, J. (2004). </w:t>
      </w:r>
      <w:r>
        <w:rPr>
          <w:i/>
        </w:rPr>
        <w:t>When Redundant On-Screen Text in Multimedia Instruction Can Interfere With Learning.</w:t>
      </w:r>
      <w:r>
        <w:t xml:space="preserve"> Human Factors, 46(3). &lt;https://journals.sagepub.com/doi/10.1518/hfes.46.3.567.50405&gt;</w:t>
      </w:r>
    </w:p>
    <w:p>
      <w:pPr>
        <w:pStyle w:val="ListNumber"/>
      </w:pPr>
      <w:r>
        <w:rPr>
          <w:b/>
        </w:rPr>
        <w:t>[Acad.]</w:t>
      </w:r>
      <w:r>
        <w:t xml:space="preserve"> Diekelmann, S. &amp; Born, J. (2010). </w:t>
      </w:r>
      <w:r>
        <w:rPr>
          <w:i/>
        </w:rPr>
        <w:t>The memory function of sleep.</w:t>
      </w:r>
      <w:r>
        <w:t xml:space="preserve"> Nature Reviews Neuroscience, 11(2). &lt;https://www.nature.com/articles/nrn2762&gt;</w:t>
      </w:r>
    </w:p>
    <w:p>
      <w:pPr>
        <w:pStyle w:val="ListNumber"/>
      </w:pPr>
      <w:r>
        <w:rPr>
          <w:b/>
        </w:rPr>
        <w:t>[Acad.]</w:t>
      </w:r>
      <w:r>
        <w:t xml:space="preserve"> Xie, L. et al. (2013). </w:t>
      </w:r>
      <w:r>
        <w:rPr>
          <w:i/>
        </w:rPr>
        <w:t>Sleep Drives Metabolite Clearance from the Adult Brain.</w:t>
      </w:r>
      <w:r>
        <w:t xml:space="preserve"> Science, 342(6156).</w:t>
      </w:r>
    </w:p>
    <w:p>
      <w:pPr>
        <w:pStyle w:val="ListNumber"/>
      </w:pPr>
      <w:r>
        <w:rPr>
          <w:b/>
        </w:rPr>
        <w:t>[Acad.]</w:t>
      </w:r>
      <w:r>
        <w:t xml:space="preserve"> Williamson, A. M. &amp; Feyer, A.-M. (2000). </w:t>
      </w:r>
      <w:r>
        <w:rPr>
          <w:i/>
        </w:rPr>
        <w:t>Moderate sleep deprivation produces impairments equivalent to legally prescribed levels of alcohol intoxication.</w:t>
      </w:r>
      <w:r>
        <w:t xml:space="preserve"> Occupational and Environmental Medicine, 57(10).</w:t>
      </w:r>
    </w:p>
    <w:p>
      <w:pPr>
        <w:pStyle w:val="ListNumber"/>
      </w:pPr>
      <w:r>
        <w:rPr>
          <w:b/>
        </w:rPr>
        <w:t>[Acad.]</w:t>
      </w:r>
      <w:r>
        <w:t xml:space="preserve"> Mednick, S., Nakayama, K. &amp; Stickgold, R. (2003). </w:t>
      </w:r>
      <w:r>
        <w:rPr>
          <w:i/>
        </w:rPr>
        <w:t>Sleep-dependent learning: a nap is as good as a night.</w:t>
      </w:r>
      <w:r>
        <w:t xml:space="preserve"> Nature Neuroscience, 6(7).</w:t>
      </w:r>
    </w:p>
    <w:p>
      <w:pPr>
        <w:pStyle w:val="ListNumber"/>
      </w:pPr>
      <w:r>
        <w:rPr>
          <w:b/>
        </w:rPr>
        <w:t>[Fondateur]</w:t>
      </w:r>
      <w:r>
        <w:t xml:space="preserve"> Gick, M. L. &amp; Holyoak, K. J. (1980). </w:t>
      </w:r>
      <w:r>
        <w:rPr>
          <w:i/>
        </w:rPr>
        <w:t>Analogical problem solving.</w:t>
      </w:r>
      <w:r>
        <w:t xml:space="preserve"> Cognitive Psychology, 12(3).</w:t>
      </w:r>
    </w:p>
    <w:p>
      <w:pPr>
        <w:pStyle w:val="ListNumber"/>
      </w:pPr>
      <w:r>
        <w:rPr>
          <w:b/>
        </w:rPr>
        <w:t>[Acad.]</w:t>
      </w:r>
      <w:r>
        <w:t xml:space="preserve"> Barnett, S. M. &amp; Ceci, S. J. (2002). </w:t>
      </w:r>
      <w:r>
        <w:rPr>
          <w:i/>
        </w:rPr>
        <w:t>When and where do we apply what we learn? A taxonomy for far transfer.</w:t>
      </w:r>
      <w:r>
        <w:t xml:space="preserve"> Psychological Bulletin, 128(4).</w:t>
      </w:r>
    </w:p>
    <w:p>
      <w:r>
        <w:rPr>
          <w:i/>
        </w:rPr>
        <w:t>The Learning Society · Parcours Neuro-Éducation · réécrit &amp; fact-checké, juillet 2026 · 10 modules — parcours complet.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