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NEURO-ÉDUCATION · Module 4 — Feedback &amp; évaluation formative</w:t>
      </w:r>
    </w:p>
    <w:p>
      <w:pPr>
        <w:pStyle w:val="IntenseQuote"/>
      </w:pPr>
      <w:r>
        <w:rPr>
          <w:b/>
        </w:rPr>
        <w:t>Version réécrite et fact-checkée.</w:t>
      </w:r>
      <w:r>
        <w:t xml:space="preserve"> Ce module fait partie du parcours</w:t>
      </w:r>
    </w:p>
    <w:p>
      <w:pPr>
        <w:pStyle w:val="IntenseQuote"/>
      </w:pPr>
      <w:r>
        <w:t>Neuro-Éducation entièrement réécrit : mythes retirés, affirmations rattachées à</w:t>
      </w:r>
    </w:p>
    <w:p>
      <w:pPr>
        <w:pStyle w:val="IntenseQuote"/>
      </w:pPr>
      <w:r>
        <w:t>des sources vérifiées (existence, auteurs, année, contenu). Les affirmations</w:t>
      </w:r>
    </w:p>
    <w:p>
      <w:pPr>
        <w:pStyle w:val="IntenseQuote"/>
      </w:pPr>
      <w:r>
        <w:t>sans source réelle ont été supprimées, jamais remplacées par un substitut.</w:t>
      </w:r>
    </w:p>
    <w:p>
      <w:pPr>
        <w:pStyle w:val="IntenseQuote"/>
      </w:pPr>
      <w:r>
        <w:t>Bibliographie complète en fin de document.</w:t>
      </w:r>
    </w:p>
    <w:p>
      <w:pPr>
        <w:pStyle w:val="IntenseQuote"/>
      </w:pPr>
    </w:p>
    <w:p>
      <w:pPr>
        <w:pStyle w:val="IntenseQuote"/>
      </w:pPr>
      <w:r>
        <w:rPr>
          <w:i/>
        </w:rPr>
        <w:t>Découpé en module autonome le 2026-07-24, à partir du parcours réécrit.</w:t>
      </w:r>
    </w:p>
    <w:p>
      <w:pPr>
        <w:jc w:val="center"/>
      </w:pPr>
      <w:r>
        <w:t>________________________________________</w:t>
      </w:r>
    </w:p>
    <w:p>
      <w:r>
        <w:rPr>
          <w:i/>
        </w:rPr>
        <w:t>Évaluer pour apprendre, pas seulement mesurer. Récupération active, feedback qui sert à quelque chose, et la boucle diagnostic → feedback → réessai.</w:t>
      </w:r>
    </w:p>
    <w:p>
      <w:r>
        <w:rPr>
          <w:b/>
        </w:rPr>
        <w:t>Ce que vous saurez faire</w:t>
      </w:r>
    </w:p>
    <w:p>
      <w:pPr>
        <w:pStyle w:val="ListBullet"/>
      </w:pPr>
      <w:r>
        <w:rPr>
          <w:b/>
        </w:rPr>
        <w:t>Distinguer</w:t>
      </w:r>
      <w:r>
        <w:t xml:space="preserve"> évaluation formative (pour apprendre) et sommative (certifier).</w:t>
      </w:r>
    </w:p>
    <w:p>
      <w:pPr>
        <w:pStyle w:val="ListBullet"/>
      </w:pPr>
      <w:r>
        <w:rPr>
          <w:b/>
        </w:rPr>
        <w:t>Donner</w:t>
      </w:r>
      <w:r>
        <w:t xml:space="preserve"> un feedback spécifique, actionnable, à temps.</w:t>
      </w:r>
    </w:p>
    <w:p>
      <w:pPr>
        <w:pStyle w:val="ListBullet"/>
      </w:pPr>
      <w:r>
        <w:rPr>
          <w:b/>
        </w:rPr>
        <w:t>Mettre en place</w:t>
      </w:r>
      <w:r>
        <w:t xml:space="preserve"> une boucle diagnostic → feedback → réessai.</w:t>
      </w:r>
    </w:p>
    <w:p>
      <w:pPr>
        <w:pStyle w:val="ListBullet"/>
      </w:pPr>
      <w:r>
        <w:rPr>
          <w:b/>
        </w:rPr>
        <w:t>Concevoir</w:t>
      </w:r>
      <w:r>
        <w:t xml:space="preserve"> des quiz de récupération à faible enjeu.</w:t>
      </w:r>
    </w:p>
    <w:p>
      <w:pPr>
        <w:pStyle w:val="Heading2"/>
      </w:pPr>
      <w:r>
        <w:t>01 · Engagement — Une note finale, ou une boucle qui fait progresser</w:t>
      </w:r>
    </w:p>
    <w:p>
      <w:r>
        <w:t>Une formation « data analytics » sur quatre semaines. Dans un cas, tout se joue sur un examen final ; dans l'autre, l'évaluation est continue et sert à apprendre, pas seulement à classer.</w:t>
      </w:r>
    </w:p>
    <w:p>
      <w:r>
        <w:rPr>
          <w:b/>
        </w:rPr>
        <w:t>Approche A · sommative seule — on mesure à la fin</w:t>
      </w:r>
    </w:p>
    <w:p>
      <w:pPr>
        <w:pStyle w:val="ListBullet"/>
      </w:pPr>
      <w:r>
        <w:t>Trois semaines sans test intermédiaire</w:t>
      </w:r>
    </w:p>
    <w:p>
      <w:pPr>
        <w:pStyle w:val="ListBullet"/>
      </w:pPr>
      <w:r>
        <w:t>Examen final unique (100 % de la note)</w:t>
      </w:r>
    </w:p>
    <w:p>
      <w:pPr>
        <w:pStyle w:val="ListBullet"/>
      </w:pPr>
      <w:r>
        <w:t>Correction deux semaines plus tard</w:t>
      </w:r>
    </w:p>
    <w:p>
      <w:pPr>
        <w:pStyle w:val="ListBullet"/>
      </w:pPr>
      <w:r>
        <w:t>Une note globale, sans détail exploitable</w:t>
      </w:r>
    </w:p>
    <w:p>
      <w:pPr>
        <w:pStyle w:val="ListBullet"/>
      </w:pPr>
      <w:r>
        <w:t>Aucun réessai possible</w:t>
      </w:r>
    </w:p>
    <w:p>
      <w:r>
        <w:rPr>
          <w:b/>
        </w:rPr>
        <w:t>Approche B · formative continue — on guide en chemin</w:t>
      </w:r>
    </w:p>
    <w:p>
      <w:pPr>
        <w:pStyle w:val="ListBullet"/>
      </w:pPr>
      <w:r>
        <w:t>Quiz de récupération réguliers, sans note</w:t>
      </w:r>
    </w:p>
    <w:p>
      <w:pPr>
        <w:pStyle w:val="ListBullet"/>
      </w:pPr>
      <w:r>
        <w:t>Feedback rapide, précis, actionnable</w:t>
      </w:r>
    </w:p>
    <w:p>
      <w:pPr>
        <w:pStyle w:val="ListBullet"/>
      </w:pPr>
      <w:r>
        <w:t>Feedback entre pairs (s'expliquer mutuellement)</w:t>
      </w:r>
    </w:p>
    <w:p>
      <w:pPr>
        <w:pStyle w:val="ListBullet"/>
      </w:pPr>
      <w:r>
        <w:t>Un réessai structuré après retour</w:t>
      </w:r>
    </w:p>
    <w:p>
      <w:pPr>
        <w:pStyle w:val="ListBullet"/>
      </w:pPr>
      <w:r>
        <w:t>La certification reste, mais préparée en continu</w:t>
      </w:r>
    </w:p>
    <w:p>
      <w:r>
        <w:rPr>
          <w:b/>
        </w:rPr>
        <w:t>Scénario illustratif.</w:t>
      </w:r>
      <w:r>
        <w:t xml:space="preserve"> Comparaison de méthode. Les chiffres de résultats (« +433 % », « growth mindset 32→81 % ») de la version d'origine ont été retirés (non mesurés).</w:t>
      </w:r>
    </w:p>
    <w:p>
      <w:r>
        <w:rPr>
          <w:b/>
        </w:rPr>
        <w:t>Question clé.</w:t>
      </w:r>
      <w:r>
        <w:t xml:space="preserve"> Mes évaluations facilitent-elles l'apprentissage ? Ou se contentent-elles de le mesurer et de classer ?</w:t>
      </w:r>
    </w:p>
    <w:p>
      <w:pPr>
        <w:pStyle w:val="Heading2"/>
      </w:pPr>
      <w:r>
        <w:t>02 · Découvrir — Évaluer pour apprendre</w:t>
      </w:r>
    </w:p>
    <w:p>
      <w:pPr>
        <w:pStyle w:val="Heading3"/>
      </w:pPr>
      <w:r>
        <w:t>Formative ou sommative ?</w:t>
      </w:r>
    </w:p>
    <w:p>
      <w:r>
        <w:t>L'</w:t>
      </w:r>
      <w:r>
        <w:rPr>
          <w:b/>
        </w:rPr>
        <w:t>évaluation sommative</w:t>
      </w:r>
      <w:r>
        <w:t xml:space="preserve"> arrive à la fin : elle certifie, classe (examen, certification). L'</w:t>
      </w:r>
      <w:r>
        <w:rPr>
          <w:b/>
        </w:rPr>
        <w:t>évaluation formative</w:t>
      </w:r>
      <w:r>
        <w:t xml:space="preserve"> se déroule pendant l'apprentissage : elle diagnostique, guide, ajuste. La synthèse fondatrice de Black &amp; Wiliam montre que l'évaluation formative compte parmi les leviers pédagogiques les plus efficaces, surtout pour les apprenants les plus fragiles (Black &amp; Wiliam, 1998). Les deux sont utiles ; la clé est d'enrichir la sommative d'éléments formatifs (projet annoncé tôt, brouillons commentés, critères transparents).</w:t>
      </w:r>
    </w:p>
    <w:p>
      <w:pPr>
        <w:pStyle w:val="Heading3"/>
      </w:pPr>
      <w:r>
        <w:t>Se tester renforce la mémoire</w:t>
      </w:r>
    </w:p>
    <w:p>
      <w:r>
        <w:t>Le module 2 l'a posé : récupérer bat relire (Roediger &amp; Karpicke, 2006). En évaluation, cela veut dire multiplier les occasions de rappel à faible enjeu (non notées), plutôt qu'un unique contrôle terminal. L'effort de récupération — une « difficulté désirable » (Bjork, 1994) — est précisément ce qui consolide.</w:t>
      </w:r>
    </w:p>
    <w:p>
      <w:pPr>
        <w:pStyle w:val="Heading3"/>
      </w:pPr>
      <w:r>
        <w:t>Un feedback qui sert à quelque chose</w:t>
      </w:r>
    </w:p>
    <w:p>
      <w:r>
        <w:t>Un bon feedback n'est pas une note ; c'est une information exploitable. En général, plus il est proche de l'action, mieux il est intégré : le contexte est encore frais. Quatre critères :</w:t>
      </w:r>
    </w:p>
    <w:p>
      <w:pPr>
        <w:pStyle w:val="ListBullet"/>
      </w:pPr>
      <w:r>
        <w:rPr>
          <w:b/>
        </w:rPr>
        <w:t>Spécifique</w:t>
      </w:r>
      <w:r>
        <w:t xml:space="preserve"> — « ton indentation ligne 5 casse la boucle », pas « à améliorer ».</w:t>
      </w:r>
    </w:p>
    <w:p>
      <w:pPr>
        <w:pStyle w:val="ListBullet"/>
      </w:pPr>
      <w:r>
        <w:rPr>
          <w:b/>
        </w:rPr>
        <w:t>Actionnable</w:t>
      </w:r>
      <w:r>
        <w:t xml:space="preserve"> — il dit comment avancer (une piste, une ressource).</w:t>
      </w:r>
    </w:p>
    <w:p>
      <w:pPr>
        <w:pStyle w:val="ListBullet"/>
      </w:pPr>
      <w:r>
        <w:rPr>
          <w:b/>
        </w:rPr>
        <w:t>Centré sur le processus</w:t>
      </w:r>
      <w:r>
        <w:t xml:space="preserve"> — la stratégie employée, pas seulement le résultat.</w:t>
      </w:r>
    </w:p>
    <w:p>
      <w:pPr>
        <w:pStyle w:val="ListBullet"/>
      </w:pPr>
      <w:r>
        <w:rPr>
          <w:b/>
        </w:rPr>
        <w:t>Bienveillant</w:t>
      </w:r>
      <w:r>
        <w:t xml:space="preserve"> — l'erreur est une étape, pas un jugement sur la personne.</w:t>
      </w:r>
    </w:p>
    <w:p>
      <w:pPr>
        <w:pStyle w:val="Heading3"/>
      </w:pPr>
      <w:r>
        <w:t>La boucle évaluative</w:t>
      </w:r>
    </w:p>
    <w:p>
      <w:r>
        <w:t>Le cœur pratique du module : un cycle qui rend le progrès visible.</w:t>
      </w:r>
    </w:p>
    <w:p>
      <w:pPr>
        <w:pStyle w:val="ListNumber"/>
      </w:pPr>
      <w:r>
        <w:rPr>
          <w:b/>
        </w:rPr>
        <w:t>Diagnostic</w:t>
      </w:r>
      <w:r>
        <w:t xml:space="preserve"> — une tâche, un retour rapide (par exemple un code couleur : acquis / en cours / à revoir).</w:t>
      </w:r>
    </w:p>
    <w:p>
      <w:pPr>
        <w:pStyle w:val="ListNumber"/>
      </w:pPr>
      <w:r>
        <w:rPr>
          <w:b/>
        </w:rPr>
        <w:t>Feedback entre pairs</w:t>
      </w:r>
      <w:r>
        <w:t xml:space="preserve"> — ceux qui maîtrisent expliquent ; expliquer consolide aussi celui qui aide.</w:t>
      </w:r>
    </w:p>
    <w:p>
      <w:pPr>
        <w:pStyle w:val="ListNumber"/>
      </w:pPr>
      <w:r>
        <w:rPr>
          <w:b/>
        </w:rPr>
        <w:t>Amélioration</w:t>
      </w:r>
      <w:r>
        <w:t xml:space="preserve"> — l'apprenant refait, sans pression de note.</w:t>
      </w:r>
    </w:p>
    <w:p>
      <w:pPr>
        <w:pStyle w:val="ListNumber"/>
      </w:pPr>
      <w:r>
        <w:rPr>
          <w:b/>
        </w:rPr>
        <w:t>Certification</w:t>
      </w:r>
      <w:r>
        <w:t xml:space="preserve"> — la version finale, cette fois évaluée, avec la progression rendue lisible.</w:t>
      </w:r>
    </w:p>
    <w:p>
      <w:r>
        <w:rPr>
          <w:b/>
        </w:rPr>
        <w:t>Nuance utile.</w:t>
      </w:r>
      <w:r>
        <w:t xml:space="preserve"> Le réessai encourage un état d'esprit de progrès. Attention cependant à ne pas survendre le « growth mindset » : son effet moyen sur les résultats est réel mais faible et débattu (Sisk et al., 2018). Ce qui fait le travail ici, c'est la structure (récupération, feedback, réessai), pas une formule d'encouragement.</w:t>
      </w:r>
    </w:p>
    <w:p>
      <w:pPr>
        <w:pStyle w:val="Heading2"/>
      </w:pPr>
      <w:r>
        <w:t>03 · Réfléchir — Six questions pour vérifier</w:t>
      </w:r>
    </w:p>
    <w:p>
      <w:r>
        <w:rPr>
          <w:b/>
        </w:rPr>
        <w:t>Q1.</w:t>
      </w:r>
      <w:r>
        <w:t xml:space="preserve"> Formative vs sommative ? ✓ </w:t>
      </w:r>
      <w:r>
        <w:rPr>
          <w:b/>
        </w:rPr>
        <w:t>Formative = pendant, pour apprendre ; sommative = à la fin, pour certifier.</w:t>
      </w:r>
    </w:p>
    <w:p>
      <w:r>
        <w:rPr>
          <w:b/>
        </w:rPr>
        <w:t>Q2.</w:t>
      </w:r>
      <w:r>
        <w:t xml:space="preserve"> Le meilleur allié mémoire d'une évaluation ? ✓ </w:t>
      </w:r>
      <w:r>
        <w:rPr>
          <w:b/>
        </w:rPr>
        <w:t>La récupération active</w:t>
      </w:r>
      <w:r>
        <w:t>, répétée et à faible enjeu (Roediger &amp; Karpicke, 2006).</w:t>
      </w:r>
    </w:p>
    <w:p>
      <w:r>
        <w:rPr>
          <w:b/>
        </w:rPr>
        <w:t>Q3.</w:t>
      </w:r>
      <w:r>
        <w:t xml:space="preserve"> Un feedback efficace, en trois mots ? ✓ </w:t>
      </w:r>
      <w:r>
        <w:rPr>
          <w:b/>
        </w:rPr>
        <w:t>Spécifique, actionnable, à temps.</w:t>
      </w:r>
    </w:p>
    <w:p>
      <w:r>
        <w:rPr>
          <w:b/>
        </w:rPr>
        <w:t>Q4.</w:t>
      </w:r>
      <w:r>
        <w:t xml:space="preserve"> La boucle évaluative ? ✓ </w:t>
      </w:r>
      <w:r>
        <w:rPr>
          <w:b/>
        </w:rPr>
        <w:t>Diagnostic → feedback → amélioration → certification.</w:t>
      </w:r>
    </w:p>
    <w:p>
      <w:r>
        <w:rPr>
          <w:b/>
        </w:rPr>
        <w:t>Q5.</w:t>
      </w:r>
      <w:r>
        <w:t xml:space="preserve"> Ce que dit Black &amp; Wiliam (1998) ? ✓ </w:t>
      </w:r>
      <w:r>
        <w:rPr>
          <w:b/>
        </w:rPr>
        <w:t>L'évaluation formative</w:t>
      </w:r>
      <w:r>
        <w:t xml:space="preserve"> est un des leviers les plus efficaces, surtout pour les plus fragiles.</w:t>
      </w:r>
    </w:p>
    <w:p>
      <w:r>
        <w:rPr>
          <w:b/>
        </w:rPr>
        <w:t>Q6.</w:t>
      </w:r>
      <w:r>
        <w:t xml:space="preserve"> Le « growth mindset » comme levier de résultats ? ✓ </w:t>
      </w:r>
      <w:r>
        <w:rPr>
          <w:b/>
        </w:rPr>
        <w:t>Effet réel mais faible et débattu</w:t>
      </w:r>
      <w:r>
        <w:t xml:space="preserve"> (Sisk et al., 2018) : c'est la structure qui compte.</w:t>
      </w:r>
    </w:p>
    <w:p>
      <w:pPr>
        <w:pStyle w:val="Heading2"/>
      </w:pPr>
      <w:r>
        <w:t>04 · Appliquer — Construire une boucle évaluative</w:t>
      </w:r>
    </w:p>
    <w:p>
      <w:r>
        <w:t>Mission (~14 min) : pour une formation existante, dessinez la boucle complète.</w:t>
      </w:r>
    </w:p>
    <w:p>
      <w:r>
        <w:rPr>
          <w:b/>
        </w:rPr>
        <w:t>Trame</w:t>
      </w:r>
    </w:p>
    <w:p>
      <w:pPr>
        <w:pStyle w:val="ListBullet"/>
      </w:pPr>
      <w:r>
        <w:rPr>
          <w:b/>
        </w:rPr>
        <w:t>Récupération régulière</w:t>
      </w:r>
      <w:r>
        <w:t xml:space="preserve"> — quiz de début, de milieu et de fin de séance, sans note.</w:t>
      </w:r>
    </w:p>
    <w:p>
      <w:pPr>
        <w:pStyle w:val="ListBullet"/>
      </w:pPr>
      <w:r>
        <w:rPr>
          <w:b/>
        </w:rPr>
        <w:t>Diagnostic</w:t>
      </w:r>
      <w:r>
        <w:t xml:space="preserve"> — une tâche, un retour rapide par code couleur (acquis / en cours / à revoir).</w:t>
      </w:r>
    </w:p>
    <w:p>
      <w:pPr>
        <w:pStyle w:val="ListBullet"/>
      </w:pPr>
      <w:r>
        <w:rPr>
          <w:b/>
        </w:rPr>
        <w:t>Feedback entre pairs</w:t>
      </w:r>
      <w:r>
        <w:t xml:space="preserve"> — ceux en vert expliquent leur démarche.</w:t>
      </w:r>
    </w:p>
    <w:p>
      <w:pPr>
        <w:pStyle w:val="ListBullet"/>
      </w:pPr>
      <w:r>
        <w:rPr>
          <w:b/>
        </w:rPr>
        <w:t>Amélioration</w:t>
      </w:r>
      <w:r>
        <w:t xml:space="preserve"> — l'apprenant refait avec les ressources ciblées.</w:t>
      </w:r>
    </w:p>
    <w:p>
      <w:pPr>
        <w:pStyle w:val="ListBullet"/>
      </w:pPr>
      <w:r>
        <w:rPr>
          <w:b/>
        </w:rPr>
        <w:t>Certification</w:t>
      </w:r>
      <w:r>
        <w:t xml:space="preserve"> — version finale évaluée, progression rendue visible.</w:t>
      </w:r>
    </w:p>
    <w:p>
      <w:pPr>
        <w:pStyle w:val="Heading2"/>
      </w:pPr>
      <w:r>
        <w:t>05 · Consolider — Trois phrases à emporter</w:t>
      </w:r>
    </w:p>
    <w:p>
      <w:r>
        <w:t>« Évaluer pour apprendre, pas seulement pour classer. » — La formative guide ; la sommative certifie. Les deux, bien combinées.</w:t>
      </w:r>
    </w:p>
    <w:p>
      <w:r>
        <w:t>« Un feedback, c'est une information — pas une note. » — Spécifique, actionnable, proche de l'action.</w:t>
      </w:r>
    </w:p>
    <w:p>
      <w:r>
        <w:t>« Le réessai fait progresser. » — C'est la structure qui compte, pas la formule d'encouragement.</w:t>
      </w:r>
    </w:p>
    <w:p>
      <w:pPr>
        <w:pStyle w:val="Heading2"/>
      </w:pPr>
      <w:r>
        <w:t>06 · Transférer — Un seul geste, cette semaine</w:t>
      </w:r>
    </w:p>
    <w:p>
      <w:r>
        <w:rPr>
          <w:b/>
        </w:rPr>
        <w:t>À faire.</w:t>
      </w:r>
      <w:r>
        <w:t xml:space="preserve"> Remplacez une note globale par un retour à trois critères (acquis / en cours / à revoir), chacun assorti d'une piste concrète. Comparez ce que l'apprenant peut en faire, par rapport à un simple « 12/20 ».</w:t>
      </w:r>
    </w:p>
    <w:p>
      <w:pPr>
        <w:jc w:val="center"/>
      </w:pPr>
      <w:r>
        <w:t>________________________________________</w:t>
      </w:r>
    </w:p>
    <w:p>
      <w:pPr>
        <w:pStyle w:val="Heading1"/>
      </w:pPr>
      <w:r>
        <w:t>Bibliographie du parcours</w:t>
      </w:r>
    </w:p>
    <w:p>
      <w:r>
        <w:rPr>
          <w:i/>
        </w:rPr>
        <w:t>Toutes vérifiées (existence, auteurs, année, contenu). Les affirmations de science du parcours s'y rattachent ; les claims sans source réelle ont été retirés, non remplacés par des substituts.</w:t>
      </w:r>
    </w:p>
    <w:p>
      <w:pPr>
        <w:pStyle w:val="ListNumber"/>
      </w:pPr>
      <w:r>
        <w:rPr>
          <w:b/>
        </w:rPr>
        <w:t>[Livre]</w:t>
      </w:r>
      <w:r>
        <w:t xml:space="preserve"> Dehaene, S. (2018). </w:t>
      </w:r>
      <w:r>
        <w:rPr>
          <w:i/>
        </w:rPr>
        <w:t>Apprendre ! Les talents du cerveau, le défi des machines.</w:t>
      </w:r>
      <w:r>
        <w:t xml:space="preserve"> Odile Jacob.</w:t>
      </w:r>
    </w:p>
    <w:p>
      <w:pPr>
        <w:pStyle w:val="ListNumber"/>
      </w:pPr>
      <w:r>
        <w:rPr>
          <w:b/>
        </w:rPr>
        <w:t>[Fondateur]</w:t>
      </w:r>
      <w:r>
        <w:t xml:space="preserve"> Hebb, D. O. (1949). </w:t>
      </w:r>
      <w:r>
        <w:rPr>
          <w:i/>
        </w:rPr>
        <w:t>The Organization of Behavior.</w:t>
      </w:r>
      <w:r>
        <w:t xml:space="preserve"> Wiley.</w:t>
      </w:r>
    </w:p>
    <w:p>
      <w:pPr>
        <w:pStyle w:val="ListNumber"/>
      </w:pPr>
      <w:r>
        <w:rPr>
          <w:b/>
        </w:rPr>
        <w:t>[Acad.]</w:t>
      </w:r>
      <w:r>
        <w:t xml:space="preserve"> Miller, G. A. (1956). </w:t>
      </w:r>
      <w:r>
        <w:rPr>
          <w:i/>
        </w:rPr>
        <w:t>The magical number seven, plus or minus two.</w:t>
      </w:r>
      <w:r>
        <w:t xml:space="preserve"> Psychological Review, 63(2).</w:t>
      </w:r>
    </w:p>
    <w:p>
      <w:pPr>
        <w:pStyle w:val="ListNumber"/>
      </w:pPr>
      <w:r>
        <w:rPr>
          <w:b/>
        </w:rPr>
        <w:t>[Acad.]</w:t>
      </w:r>
      <w:r>
        <w:t xml:space="preserve"> Cowan, N. (2001). </w:t>
      </w:r>
      <w:r>
        <w:rPr>
          <w:i/>
        </w:rPr>
        <w:t>The magical number 4 in short-term memory.</w:t>
      </w:r>
      <w:r>
        <w:t xml:space="preserve"> Behavioral and Brain Sciences, 24(1).</w:t>
      </w:r>
    </w:p>
    <w:p>
      <w:pPr>
        <w:pStyle w:val="ListNumber"/>
      </w:pPr>
      <w:r>
        <w:rPr>
          <w:b/>
        </w:rPr>
        <w:t>[Acad.]</w:t>
      </w:r>
      <w:r>
        <w:t xml:space="preserve"> Baddeley, A. (2000). </w:t>
      </w:r>
      <w:r>
        <w:rPr>
          <w:i/>
        </w:rPr>
        <w:t>The episodic buffer: a new component of working memory?</w:t>
      </w:r>
      <w:r>
        <w:t xml:space="preserve"> Trends in Cognitive Sciences, 4(11).</w:t>
      </w:r>
    </w:p>
    <w:p>
      <w:pPr>
        <w:pStyle w:val="ListNumber"/>
      </w:pPr>
      <w:r>
        <w:rPr>
          <w:b/>
        </w:rPr>
        <w:t>[Fondateur]</w:t>
      </w:r>
      <w:r>
        <w:t xml:space="preserve"> Ebbinghaus, H. (1885). </w:t>
      </w:r>
      <w:r>
        <w:rPr>
          <w:i/>
        </w:rPr>
        <w:t>Über das Gedächtnis.</w:t>
      </w:r>
      <w:r>
        <w:t xml:space="preserve"> — courbe de l'oubli.</w:t>
      </w:r>
    </w:p>
    <w:p>
      <w:pPr>
        <w:pStyle w:val="ListNumber"/>
      </w:pPr>
      <w:r>
        <w:rPr>
          <w:b/>
        </w:rPr>
        <w:t>[Acad.]</w:t>
      </w:r>
      <w:r>
        <w:t xml:space="preserve"> Murre, J. M. J. &amp; Dros, J. (2015). </w:t>
      </w:r>
      <w:r>
        <w:rPr>
          <w:i/>
        </w:rPr>
        <w:t>Replication and Analysis of Ebbinghaus' Forgetting Curve.</w:t>
      </w:r>
      <w:r>
        <w:t xml:space="preserve"> PLOS ONE, 10(7). &lt;https://journals.plos.org/plosone/article?id=10.1371/journal.pone.0120644&gt;</w:t>
      </w:r>
    </w:p>
    <w:p>
      <w:pPr>
        <w:pStyle w:val="ListNumber"/>
      </w:pPr>
      <w:r>
        <w:rPr>
          <w:b/>
        </w:rPr>
        <w:t>[Acad.]</w:t>
      </w:r>
      <w:r>
        <w:t xml:space="preserve"> Cepeda, N. J., Pashler, H. et al. (2006). </w:t>
      </w:r>
      <w:r>
        <w:rPr>
          <w:i/>
        </w:rPr>
        <w:t>Distributed practice in verbal recall tasks: A review and quantitative synthesis.</w:t>
      </w:r>
      <w:r>
        <w:t xml:space="preserve"> Psychological Bulletin, 132(3).</w:t>
      </w:r>
    </w:p>
    <w:p>
      <w:pPr>
        <w:pStyle w:val="ListNumber"/>
      </w:pPr>
      <w:r>
        <w:rPr>
          <w:b/>
        </w:rPr>
        <w:t>[Acad.]</w:t>
      </w:r>
      <w:r>
        <w:t xml:space="preserve"> Roediger, H. L. &amp; Karpicke, J. D. (2006). </w:t>
      </w:r>
      <w:r>
        <w:rPr>
          <w:i/>
        </w:rPr>
        <w:t>Test-enhanced learning.</w:t>
      </w:r>
      <w:r>
        <w:t xml:space="preserve"> Psychological Science, 17(3).</w:t>
      </w:r>
    </w:p>
    <w:p>
      <w:pPr>
        <w:pStyle w:val="ListNumber"/>
      </w:pPr>
      <w:r>
        <w:rPr>
          <w:b/>
        </w:rPr>
        <w:t>[Acad.]</w:t>
      </w:r>
      <w:r>
        <w:t xml:space="preserve"> Bjork, R. A. (1994). </w:t>
      </w:r>
      <w:r>
        <w:rPr>
          <w:i/>
        </w:rPr>
        <w:t>Memory and metamemory considerations in the training of human beings.</w:t>
      </w:r>
      <w:r>
        <w:t xml:space="preserve"> — « difficultés désirables ».</w:t>
      </w:r>
    </w:p>
    <w:p>
      <w:pPr>
        <w:pStyle w:val="ListNumber"/>
      </w:pPr>
      <w:r>
        <w:rPr>
          <w:b/>
        </w:rPr>
        <w:t>[Acad.]</w:t>
      </w:r>
      <w:r>
        <w:t xml:space="preserve"> Bradbury, N. A. (2016). </w:t>
      </w:r>
      <w:r>
        <w:rPr>
          <w:i/>
        </w:rPr>
        <w:t>Attention span during lectures: 8 seconds, 10 minutes, or more?</w:t>
      </w:r>
      <w:r>
        <w:t xml:space="preserve"> Advances in Physiology Education, 40(4). &lt;https://journals.physiology.org/doi/full/10.1152/advan.00109.2016&gt;</w:t>
      </w:r>
    </w:p>
    <w:p>
      <w:pPr>
        <w:pStyle w:val="ListNumber"/>
      </w:pPr>
      <w:r>
        <w:rPr>
          <w:b/>
        </w:rPr>
        <w:t>[L&amp;D]</w:t>
      </w:r>
      <w:r>
        <w:t xml:space="preserve"> Maybin, S. (2017). </w:t>
      </w:r>
      <w:r>
        <w:rPr>
          <w:i/>
        </w:rPr>
        <w:t>Busting the attention span myth.</w:t>
      </w:r>
      <w:r>
        <w:t xml:space="preserve"> BBC — More or Less. &lt;https://www.bbc.com/news/health-38896790&gt;</w:t>
      </w:r>
    </w:p>
    <w:p>
      <w:pPr>
        <w:pStyle w:val="ListNumber"/>
      </w:pPr>
      <w:r>
        <w:rPr>
          <w:b/>
        </w:rPr>
        <w:t>[Acad.]</w:t>
      </w:r>
      <w:r>
        <w:t xml:space="preserve"> Mayer, R. E. </w:t>
      </w:r>
      <w:r>
        <w:rPr>
          <w:i/>
        </w:rPr>
        <w:t>Multimedia Learning.</w:t>
      </w:r>
      <w:r>
        <w:t xml:space="preserve"> Cambridge University Press — segmentation (d ≈ 0,52), multimédia (d ≈ 1,39).</w:t>
      </w:r>
    </w:p>
    <w:p>
      <w:pPr>
        <w:pStyle w:val="ListNumber"/>
      </w:pPr>
      <w:r>
        <w:rPr>
          <w:b/>
        </w:rPr>
        <w:t>[Acad.]</w:t>
      </w:r>
      <w:r>
        <w:t xml:space="preserve"> Posner, M. I. &amp; Petersen, S. E. (1990). </w:t>
      </w:r>
      <w:r>
        <w:rPr>
          <w:i/>
        </w:rPr>
        <w:t>The attention system of the human brain.</w:t>
      </w:r>
      <w:r>
        <w:t xml:space="preserve"> Annual Review of Neuroscience, 13.</w:t>
      </w:r>
    </w:p>
    <w:p>
      <w:pPr>
        <w:pStyle w:val="ListNumber"/>
      </w:pPr>
      <w:r>
        <w:rPr>
          <w:b/>
        </w:rPr>
        <w:t>[Acad.]</w:t>
      </w:r>
      <w:r>
        <w:t xml:space="preserve"> Deci, E. L. &amp; Ryan, R. M. — </w:t>
      </w:r>
      <w:r>
        <w:rPr>
          <w:i/>
        </w:rPr>
        <w:t>Self-Determination Theory</w:t>
      </w:r>
      <w:r>
        <w:t xml:space="preserve"> (autonomie, compétence, appartenance).</w:t>
      </w:r>
    </w:p>
    <w:p>
      <w:pPr>
        <w:pStyle w:val="ListNumber"/>
      </w:pPr>
      <w:r>
        <w:rPr>
          <w:b/>
        </w:rPr>
        <w:t>[Acad.]</w:t>
      </w:r>
      <w:r>
        <w:t xml:space="preserve"> Black, P. &amp; Wiliam, D. (1998). </w:t>
      </w:r>
      <w:r>
        <w:rPr>
          <w:i/>
        </w:rPr>
        <w:t>Assessment and Classroom Learning.</w:t>
      </w:r>
      <w:r>
        <w:t xml:space="preserve"> Assessment in Education, 5(1).</w:t>
      </w:r>
    </w:p>
    <w:p>
      <w:pPr>
        <w:pStyle w:val="ListNumber"/>
      </w:pPr>
      <w:r>
        <w:rPr>
          <w:b/>
        </w:rPr>
        <w:t>[Acad.]</w:t>
      </w:r>
      <w:r>
        <w:t xml:space="preserve"> Sisk, V. F. et al. (2018). </w:t>
      </w:r>
      <w:r>
        <w:rPr>
          <w:i/>
        </w:rPr>
        <w:t>…Growth Mind-Sets… Two Meta-Analyses.</w:t>
      </w:r>
      <w:r>
        <w:t xml:space="preserve"> Psychological Science, 29(4). &lt;https://journals.sagepub.com/doi/abs/10.1177/0956797617739704&gt;</w:t>
      </w:r>
    </w:p>
    <w:p>
      <w:pPr>
        <w:pStyle w:val="ListNumber"/>
      </w:pPr>
      <w:r>
        <w:rPr>
          <w:b/>
        </w:rPr>
        <w:t>[Acad.]</w:t>
      </w:r>
      <w:r>
        <w:t xml:space="preserve"> Pashler, H., McDaniel, M., Rohrer, D. &amp; Bjork, R. (2008). </w:t>
      </w:r>
      <w:r>
        <w:rPr>
          <w:i/>
        </w:rPr>
        <w:t>Learning Styles: Concepts and Evidence.</w:t>
      </w:r>
      <w:r>
        <w:t xml:space="preserve"> PSPI, 9(3). &lt;https://journals.sagepub.com/doi/10.1111/j.1539-6053.2009.01038.x&gt;</w:t>
      </w:r>
    </w:p>
    <w:p>
      <w:pPr>
        <w:pStyle w:val="ListNumber"/>
      </w:pPr>
      <w:r>
        <w:rPr>
          <w:b/>
        </w:rPr>
        <w:t>[Acad.]</w:t>
      </w:r>
      <w:r>
        <w:t xml:space="preserve"> Howard-Jones, P. (2014). </w:t>
      </w:r>
      <w:r>
        <w:rPr>
          <w:i/>
        </w:rPr>
        <w:t>Neuroscience and education: myths and messages.</w:t>
      </w:r>
      <w:r>
        <w:t xml:space="preserve"> Nature Reviews Neuroscience, 15(12). &lt;https://www.nature.com/articles/nrn3817&gt;</w:t>
      </w:r>
    </w:p>
    <w:p>
      <w:pPr>
        <w:pStyle w:val="ListNumber"/>
      </w:pPr>
      <w:r>
        <w:rPr>
          <w:b/>
        </w:rPr>
        <w:t>[Acad.]</w:t>
      </w:r>
      <w:r>
        <w:t xml:space="preserve"> Nieuwenhuis, S. (2024). </w:t>
      </w:r>
      <w:r>
        <w:rPr>
          <w:i/>
        </w:rPr>
        <w:t>Arousal and performance: revisiting the inverted-U-shaped curve.</w:t>
      </w:r>
      <w:r>
        <w:t xml:space="preserve"> Trends in Cognitive Sciences, 28(5). &lt;https://www.cell.com/trends/cognitive-sciences/fulltext/S1364-6613(24)00078-0&gt;</w:t>
      </w:r>
    </w:p>
    <w:p>
      <w:pPr>
        <w:pStyle w:val="ListNumber"/>
      </w:pPr>
      <w:r>
        <w:rPr>
          <w:b/>
        </w:rPr>
        <w:t>[Acad.]</w:t>
      </w:r>
      <w:r>
        <w:t xml:space="preserve"> McEwen, B. S., Nasca, C. &amp; Gray, J. D. (2016). </w:t>
      </w:r>
      <w:r>
        <w:rPr>
          <w:i/>
        </w:rPr>
        <w:t>Stress Effects on Neuronal Structure.</w:t>
      </w:r>
      <w:r>
        <w:t xml:space="preserve"> Neuropsychopharmacology, 41(1). &lt;https://www.nature.com/articles/npp2015171&gt;</w:t>
      </w:r>
    </w:p>
    <w:p>
      <w:pPr>
        <w:pStyle w:val="ListNumber"/>
      </w:pPr>
      <w:r>
        <w:rPr>
          <w:b/>
        </w:rPr>
        <w:t>[Livre]</w:t>
      </w:r>
      <w:r>
        <w:t xml:space="preserve"> Goleman, D. (1995). </w:t>
      </w:r>
      <w:r>
        <w:rPr>
          <w:i/>
        </w:rPr>
        <w:t>Emotional Intelligence.</w:t>
      </w:r>
      <w:r>
        <w:t xml:space="preserve"> Bantam — notion d'« amygdala hijack ».</w:t>
      </w:r>
    </w:p>
    <w:p>
      <w:pPr>
        <w:pStyle w:val="ListNumber"/>
      </w:pPr>
      <w:r>
        <w:rPr>
          <w:b/>
        </w:rPr>
        <w:t>[Livre]</w:t>
      </w:r>
      <w:r>
        <w:t xml:space="preserve"> Dweck, C. S. (2006). </w:t>
      </w:r>
      <w:r>
        <w:rPr>
          <w:i/>
        </w:rPr>
        <w:t>Mindset: The New Psychology of Success.</w:t>
      </w:r>
      <w:r>
        <w:t xml:space="preserve"> Random House.</w:t>
      </w:r>
    </w:p>
    <w:p>
      <w:pPr>
        <w:pStyle w:val="ListNumber"/>
      </w:pPr>
      <w:r>
        <w:rPr>
          <w:b/>
        </w:rPr>
        <w:t>[Livre]</w:t>
      </w:r>
      <w:r>
        <w:t xml:space="preserve"> Edmondson, A. C. (2018). </w:t>
      </w:r>
      <w:r>
        <w:rPr>
          <w:i/>
        </w:rPr>
        <w:t>The Fearless Organization.</w:t>
      </w:r>
      <w:r>
        <w:t xml:space="preserve"> Wiley — sécurité psychologique.</w:t>
      </w:r>
    </w:p>
    <w:p>
      <w:pPr>
        <w:pStyle w:val="ListNumber"/>
      </w:pPr>
      <w:r>
        <w:rPr>
          <w:b/>
        </w:rPr>
        <w:t>[Fondateur]</w:t>
      </w:r>
      <w:r>
        <w:t xml:space="preserve"> Vygotsky, L. S. (1978). </w:t>
      </w:r>
      <w:r>
        <w:rPr>
          <w:i/>
        </w:rPr>
        <w:t>Mind in Society.</w:t>
      </w:r>
      <w:r>
        <w:t xml:space="preserve"> Harvard University Press — zone proximale de développement.</w:t>
      </w:r>
    </w:p>
    <w:p>
      <w:pPr>
        <w:pStyle w:val="ListNumber"/>
      </w:pPr>
      <w:r>
        <w:rPr>
          <w:b/>
        </w:rPr>
        <w:t>[Acad.]</w:t>
      </w:r>
      <w:r>
        <w:t xml:space="preserve"> Wery, J. J. &amp; Diliberto, J. A. (2017). </w:t>
      </w:r>
      <w:r>
        <w:rPr>
          <w:i/>
        </w:rPr>
        <w:t>The effect of a specialized dyslexia font, OpenDyslexic, on reading rate and accuracy.</w:t>
      </w:r>
      <w:r>
        <w:t xml:space="preserve"> Annals of Dyslexia, 67(2). &lt;https://link.springer.com/article/10.1007/s11881-016-0127-1&gt;</w:t>
      </w:r>
    </w:p>
    <w:p>
      <w:pPr>
        <w:pStyle w:val="ListNumber"/>
      </w:pPr>
      <w:r>
        <w:rPr>
          <w:b/>
        </w:rPr>
        <w:t>[Acad.]</w:t>
      </w:r>
      <w:r>
        <w:t xml:space="preserve"> Rello, L. &amp; Baeza-Yates, R. (2013). </w:t>
      </w:r>
      <w:r>
        <w:rPr>
          <w:i/>
        </w:rPr>
        <w:t>Good fonts for dyslexia.</w:t>
      </w:r>
      <w:r>
        <w:t xml:space="preserve"> ASSETS '13.</w:t>
      </w:r>
    </w:p>
    <w:p>
      <w:pPr>
        <w:pStyle w:val="ListNumber"/>
      </w:pPr>
      <w:r>
        <w:rPr>
          <w:b/>
        </w:rPr>
        <w:t>[Cadre]</w:t>
      </w:r>
      <w:r>
        <w:t xml:space="preserve"> CAST (2018). </w:t>
      </w:r>
      <w:r>
        <w:rPr>
          <w:i/>
        </w:rPr>
        <w:t>Universal Design for Learning Guidelines version 2.2.</w:t>
      </w:r>
      <w:r>
        <w:t xml:space="preserve"> &lt;https://udlguidelines.cast.org/&gt;</w:t>
      </w:r>
    </w:p>
    <w:p>
      <w:pPr>
        <w:pStyle w:val="ListNumber"/>
      </w:pPr>
      <w:r>
        <w:rPr>
          <w:b/>
        </w:rPr>
        <w:t>[Fondateur]</w:t>
      </w:r>
      <w:r>
        <w:t xml:space="preserve"> Singer, J. (années 1990). — origine du terme « neurodiversité ».</w:t>
      </w:r>
    </w:p>
    <w:p>
      <w:pPr>
        <w:pStyle w:val="ListNumber"/>
      </w:pPr>
      <w:r>
        <w:rPr>
          <w:b/>
        </w:rPr>
        <w:t>[Acad.]</w:t>
      </w:r>
      <w:r>
        <w:t xml:space="preserve"> Sweller, J. (1988). </w:t>
      </w:r>
      <w:r>
        <w:rPr>
          <w:i/>
        </w:rPr>
        <w:t>Cognitive load during problem solving: Effects on learning.</w:t>
      </w:r>
      <w:r>
        <w:t xml:space="preserve"> Cognitive Science, 12(2).</w:t>
      </w:r>
    </w:p>
    <w:p>
      <w:pPr>
        <w:pStyle w:val="ListNumber"/>
      </w:pPr>
      <w:r>
        <w:rPr>
          <w:b/>
        </w:rPr>
        <w:t>[Fondateur]</w:t>
      </w:r>
      <w:r>
        <w:t xml:space="preserve"> Paivio, A. (1971). </w:t>
      </w:r>
      <w:r>
        <w:rPr>
          <w:i/>
        </w:rPr>
        <w:t>Imagery and Verbal Processes.</w:t>
      </w:r>
      <w:r>
        <w:t xml:space="preserve"> — dual coding.</w:t>
      </w:r>
    </w:p>
    <w:p>
      <w:pPr>
        <w:pStyle w:val="ListNumber"/>
      </w:pPr>
      <w:r>
        <w:rPr>
          <w:b/>
        </w:rPr>
        <w:t>[Acad.]</w:t>
      </w:r>
      <w:r>
        <w:t xml:space="preserve"> Kalyuga, S., Chandler, P. &amp; Sweller, J. (2004). </w:t>
      </w:r>
      <w:r>
        <w:rPr>
          <w:i/>
        </w:rPr>
        <w:t>When Redundant On-Screen Text in Multimedia Instruction Can Interfere With Learning.</w:t>
      </w:r>
      <w:r>
        <w:t xml:space="preserve"> Human Factors, 46(3). &lt;https://journals.sagepub.com/doi/10.1518/hfes.46.3.567.50405&gt;</w:t>
      </w:r>
    </w:p>
    <w:p>
      <w:pPr>
        <w:pStyle w:val="ListNumber"/>
      </w:pPr>
      <w:r>
        <w:rPr>
          <w:b/>
        </w:rPr>
        <w:t>[Acad.]</w:t>
      </w:r>
      <w:r>
        <w:t xml:space="preserve"> Diekelmann, S. &amp; Born, J. (2010). </w:t>
      </w:r>
      <w:r>
        <w:rPr>
          <w:i/>
        </w:rPr>
        <w:t>The memory function of sleep.</w:t>
      </w:r>
      <w:r>
        <w:t xml:space="preserve"> Nature Reviews Neuroscience, 11(2). &lt;https://www.nature.com/articles/nrn2762&gt;</w:t>
      </w:r>
    </w:p>
    <w:p>
      <w:pPr>
        <w:pStyle w:val="ListNumber"/>
      </w:pPr>
      <w:r>
        <w:rPr>
          <w:b/>
        </w:rPr>
        <w:t>[Acad.]</w:t>
      </w:r>
      <w:r>
        <w:t xml:space="preserve"> Xie, L. et al. (2013). </w:t>
      </w:r>
      <w:r>
        <w:rPr>
          <w:i/>
        </w:rPr>
        <w:t>Sleep Drives Metabolite Clearance from the Adult Brain.</w:t>
      </w:r>
      <w:r>
        <w:t xml:space="preserve"> Science, 342(6156).</w:t>
      </w:r>
    </w:p>
    <w:p>
      <w:pPr>
        <w:pStyle w:val="ListNumber"/>
      </w:pPr>
      <w:r>
        <w:rPr>
          <w:b/>
        </w:rPr>
        <w:t>[Acad.]</w:t>
      </w:r>
      <w:r>
        <w:t xml:space="preserve"> Williamson, A. M. &amp; Feyer, A.-M. (2000). </w:t>
      </w:r>
      <w:r>
        <w:rPr>
          <w:i/>
        </w:rPr>
        <w:t>Moderate sleep deprivation produces impairments equivalent to legally prescribed levels of alcohol intoxication.</w:t>
      </w:r>
      <w:r>
        <w:t xml:space="preserve"> Occupational and Environmental Medicine, 57(10).</w:t>
      </w:r>
    </w:p>
    <w:p>
      <w:pPr>
        <w:pStyle w:val="ListNumber"/>
      </w:pPr>
      <w:r>
        <w:rPr>
          <w:b/>
        </w:rPr>
        <w:t>[Acad.]</w:t>
      </w:r>
      <w:r>
        <w:t xml:space="preserve"> Mednick, S., Nakayama, K. &amp; Stickgold, R. (2003). </w:t>
      </w:r>
      <w:r>
        <w:rPr>
          <w:i/>
        </w:rPr>
        <w:t>Sleep-dependent learning: a nap is as good as a night.</w:t>
      </w:r>
      <w:r>
        <w:t xml:space="preserve"> Nature Neuroscience, 6(7).</w:t>
      </w:r>
    </w:p>
    <w:p>
      <w:pPr>
        <w:pStyle w:val="ListNumber"/>
      </w:pPr>
      <w:r>
        <w:rPr>
          <w:b/>
        </w:rPr>
        <w:t>[Fondateur]</w:t>
      </w:r>
      <w:r>
        <w:t xml:space="preserve"> Gick, M. L. &amp; Holyoak, K. J. (1980). </w:t>
      </w:r>
      <w:r>
        <w:rPr>
          <w:i/>
        </w:rPr>
        <w:t>Analogical problem solving.</w:t>
      </w:r>
      <w:r>
        <w:t xml:space="preserve"> Cognitive Psychology, 12(3).</w:t>
      </w:r>
    </w:p>
    <w:p>
      <w:pPr>
        <w:pStyle w:val="ListNumber"/>
      </w:pPr>
      <w:r>
        <w:rPr>
          <w:b/>
        </w:rPr>
        <w:t>[Acad.]</w:t>
      </w:r>
      <w:r>
        <w:t xml:space="preserve"> Barnett, S. M. &amp; Ceci, S. J. (2002). </w:t>
      </w:r>
      <w:r>
        <w:rPr>
          <w:i/>
        </w:rPr>
        <w:t>When and where do we apply what we learn? A taxonomy for far transfer.</w:t>
      </w:r>
      <w:r>
        <w:t xml:space="preserve"> Psychological Bulletin, 128(4).</w:t>
      </w:r>
    </w:p>
    <w:p>
      <w:r>
        <w:rPr>
          <w:i/>
        </w:rPr>
        <w:t>The Learning Society · Parcours Neuro-Éducation · réécrit &amp; fact-checké, juillet 2026 · 10 modules — parcours complet.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