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MODULE 1 : WEB DESIGN &amp; VISUAL DESIGN</w:t>
      </w:r>
    </w:p>
    <w:p>
      <w:r>
        <w:rPr>
          <w:b/>
        </w:rPr>
        <w:t>Durée : 60 minutes · 50 slides</w:t>
      </w:r>
    </w:p>
    <w:p>
      <w:pPr>
        <w:pStyle w:val="IntenseQuote"/>
      </w:pPr>
      <w:r>
        <w:rPr>
          <w:b/>
        </w:rPr>
        <w:t>Version corrigée du 2026-07-23.</w:t>
      </w:r>
      <w:r>
        <w:t xml:space="preserve"> Le fond de ce module est solide et bien</w:t>
      </w:r>
    </w:p>
    <w:p>
      <w:pPr>
        <w:pStyle w:val="IntenseQuote"/>
      </w:pPr>
      <w:r>
        <w:t>sourcé. Les corrections portent sur une **erreur de contraste calculable,</w:t>
      </w:r>
    </w:p>
    <w:p>
      <w:pPr>
        <w:pStyle w:val="IntenseQuote"/>
      </w:pPr>
      <w:r>
        <w:t>répétée cinq fois** (grave dans un module qui enseigne l'accessibilité) et sur</w:t>
      </w:r>
    </w:p>
    <w:p>
      <w:pPr>
        <w:pStyle w:val="IntenseQuote"/>
      </w:pPr>
      <w:r>
        <w:t>une poignée de chiffres fabriqués. Le reste est conservé. Journal des</w:t>
      </w:r>
    </w:p>
    <w:p>
      <w:pPr>
        <w:pStyle w:val="IntenseQuote"/>
      </w:pPr>
      <w:r>
        <w:t>corrections en fin de document.</w:t>
      </w:r>
    </w:p>
    <w:p>
      <w:r>
        <w:rPr>
          <w:b/>
        </w:rPr>
        <w:t>Objectifs</w:t>
      </w:r>
    </w:p>
    <w:p>
      <w:pPr>
        <w:pStyle w:val="ListBullet"/>
      </w:pPr>
      <w:r>
        <w:t>Maîtriser la typographie web : hiérarchie, association, accessibilité</w:t>
      </w:r>
    </w:p>
    <w:p>
      <w:pPr>
        <w:pStyle w:val="ListBullet"/>
      </w:pPr>
      <w:r>
        <w:t>Appliquer la théorie des couleurs et les design tokens dans une interface</w:t>
      </w:r>
    </w:p>
    <w:p>
      <w:pPr>
        <w:pStyle w:val="ListBullet"/>
      </w:pPr>
      <w:r>
        <w:t>Construire des mises en page cohérentes avec un système d'espacement</w:t>
      </w:r>
    </w:p>
    <w:p>
      <w:pPr>
        <w:jc w:val="center"/>
      </w:pPr>
      <w:r>
        <w:t>________________________________________</w:t>
      </w:r>
    </w:p>
    <w:p>
      <w:pPr>
        <w:pStyle w:val="Heading2"/>
      </w:pPr>
      <w:r>
        <w:t>PARTIE 1 · Typographie (slides 1-10)</w:t>
      </w:r>
    </w:p>
    <w:p>
      <w:pPr>
        <w:pStyle w:val="Heading3"/>
      </w:pPr>
      <w:r>
        <w:t>Pourquoi la typographie porte le design</w:t>
      </w:r>
    </w:p>
    <w:p>
      <w:r>
        <w:t>L'essentiel d'une interface est du texte. Oliver Reichenstein l'a résumé par une</w:t>
      </w:r>
    </w:p>
    <w:p>
      <w:r>
        <w:t xml:space="preserve">formule — </w:t>
      </w:r>
      <w:r>
        <w:rPr>
          <w:b/>
        </w:rPr>
        <w:t>« Web Design is 95 % Typography »</w:t>
      </w:r>
      <w:r>
        <w:t xml:space="preserve"> (2006). C'est une **thèse</w:t>
      </w:r>
    </w:p>
    <w:p>
      <w:r>
        <w:t>rhétorique**, pas une mesure : elle dit que soigner la typographie, c'est soigner</w:t>
      </w:r>
    </w:p>
    <w:p>
      <w:r>
        <w:t>l'essentiel de ce que l'utilisateur lit. Ellen Lupton : *« Typography is what</w:t>
      </w:r>
    </w:p>
    <w:p>
      <w:r>
        <w:t>language looks like. »*</w:t>
      </w:r>
    </w:p>
    <w:p>
      <w:pPr>
        <w:pStyle w:val="Heading3"/>
      </w:pPr>
      <w:r>
        <w:t>Anatomie et catégories</w:t>
      </w:r>
    </w:p>
    <w:p>
      <w:r>
        <w:t>Ligne de base, hauteur de capitale, hauteur d'x, jambages. Quatre familles et</w:t>
      </w:r>
    </w:p>
    <w:p>
      <w:r>
        <w:t>leurs usages 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Famille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Exemples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Registre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Usage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Serif</w:t>
            </w:r>
          </w:p>
        </w:tc>
        <w:tc>
          <w:tcPr>
            <w:tcW w:type="dxa" w:w="2160"/>
          </w:tcPr>
          <w:p>
            <w:r/>
            <w:r>
              <w:t>Times, Georgia</w:t>
            </w:r>
          </w:p>
        </w:tc>
        <w:tc>
          <w:tcPr>
            <w:tcW w:type="dxa" w:w="2160"/>
          </w:tcPr>
          <w:p>
            <w:r/>
            <w:r>
              <w:t>Autorité, tradition</w:t>
            </w:r>
          </w:p>
        </w:tc>
        <w:tc>
          <w:tcPr>
            <w:tcW w:type="dxa" w:w="2160"/>
          </w:tcPr>
          <w:p>
            <w:r/>
            <w:r>
              <w:t>Édition, presse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Sans-serif</w:t>
            </w:r>
          </w:p>
        </w:tc>
        <w:tc>
          <w:tcPr>
            <w:tcW w:type="dxa" w:w="2160"/>
          </w:tcPr>
          <w:p>
            <w:r/>
            <w:r>
              <w:t>Helvetica, Inter</w:t>
            </w:r>
          </w:p>
        </w:tc>
        <w:tc>
          <w:tcPr>
            <w:tcW w:type="dxa" w:w="2160"/>
          </w:tcPr>
          <w:p>
            <w:r/>
            <w:r>
              <w:t>Modernité, clarté</w:t>
            </w:r>
          </w:p>
        </w:tc>
        <w:tc>
          <w:tcPr>
            <w:tcW w:type="dxa" w:w="2160"/>
          </w:tcPr>
          <w:p>
            <w:r/>
            <w:r>
              <w:t>Interface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Monospace</w:t>
            </w:r>
          </w:p>
        </w:tc>
        <w:tc>
          <w:tcPr>
            <w:tcW w:type="dxa" w:w="2160"/>
          </w:tcPr>
          <w:p>
            <w:r/>
            <w:r>
              <w:t>Courier, Fira Code</w:t>
            </w:r>
          </w:p>
        </w:tc>
        <w:tc>
          <w:tcPr>
            <w:tcW w:type="dxa" w:w="2160"/>
          </w:tcPr>
          <w:p>
            <w:r/>
            <w:r>
              <w:t>Technique</w:t>
            </w:r>
          </w:p>
        </w:tc>
        <w:tc>
          <w:tcPr>
            <w:tcW w:type="dxa" w:w="2160"/>
          </w:tcPr>
          <w:p>
            <w:r/>
            <w:r>
              <w:t>Outils de dev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Display</w:t>
            </w:r>
          </w:p>
        </w:tc>
        <w:tc>
          <w:tcPr>
            <w:tcW w:type="dxa" w:w="2160"/>
          </w:tcPr>
          <w:p>
            <w:r/>
            <w:r>
              <w:t>League Spartan, Poppins</w:t>
            </w:r>
          </w:p>
        </w:tc>
        <w:tc>
          <w:tcPr>
            <w:tcW w:type="dxa" w:w="2160"/>
          </w:tcPr>
          <w:p>
            <w:r/>
            <w:r>
              <w:t>Impact</w:t>
            </w:r>
          </w:p>
        </w:tc>
        <w:tc>
          <w:tcPr>
            <w:tcW w:type="dxa" w:w="2160"/>
          </w:tcPr>
          <w:p>
            <w:r/>
            <w:r>
              <w:t>Titres, hero</w:t>
            </w:r>
          </w:p>
        </w:tc>
      </w:tr>
    </w:tbl>
    <w:p>
      <w:pPr>
        <w:pStyle w:val="Heading3"/>
      </w:pPr>
      <w:r>
        <w:t>La règle TLS : deux polices maximum</w:t>
      </w:r>
    </w:p>
    <w:p>
      <w:r>
        <w:t xml:space="preserve">❌ Cinq polices = chaos visuel. ✅ </w:t>
      </w:r>
      <w:r>
        <w:rPr>
          <w:b/>
        </w:rPr>
        <w:t>League Spartan (titres) + Nunito (corps).</w:t>
      </w:r>
    </w:p>
    <w:p>
      <w:r>
        <w:t>Trois bénéfices : cohérence, performance de chargement, maintenance.</w:t>
      </w:r>
    </w:p>
    <w:p>
      <w:r>
        <w:rPr>
          <w:b/>
        </w:rPr>
        <w:t>Trois méthodes d'association</w:t>
      </w:r>
      <w:r>
        <w:t xml:space="preserve"> : par contraste (serif + sans-serif), par</w:t>
      </w:r>
    </w:p>
    <w:p>
      <w:r>
        <w:t>superfamille (Roboto + Roboto Slab), ou géométrique + humaniste — c'est le choix</w:t>
      </w:r>
    </w:p>
    <w:p>
      <w:r>
        <w:t>TLS.</w:t>
      </w:r>
    </w:p>
    <w:p>
      <w:pPr>
        <w:pStyle w:val="Heading3"/>
      </w:pPr>
      <w:r>
        <w:t>Hiérarchie typographique TLS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Niveau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Taille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Graisse</w:t>
            </w:r>
          </w:p>
        </w:tc>
      </w:tr>
      <w:tr>
        <w:tc>
          <w:tcPr>
            <w:tcW w:type="dxa" w:w="2880"/>
          </w:tcPr>
          <w:p>
            <w:r/>
            <w:r>
              <w:t>H1</w:t>
            </w:r>
          </w:p>
        </w:tc>
        <w:tc>
          <w:tcPr>
            <w:tcW w:type="dxa" w:w="2880"/>
          </w:tcPr>
          <w:p>
            <w:r/>
            <w:r>
              <w:t>48-60 px</w:t>
            </w:r>
          </w:p>
        </w:tc>
        <w:tc>
          <w:tcPr>
            <w:tcW w:type="dxa" w:w="2880"/>
          </w:tcPr>
          <w:p>
            <w:r/>
            <w:r>
              <w:t>Black, League Spartan</w:t>
            </w:r>
          </w:p>
        </w:tc>
      </w:tr>
      <w:tr>
        <w:tc>
          <w:tcPr>
            <w:tcW w:type="dxa" w:w="2880"/>
          </w:tcPr>
          <w:p>
            <w:r/>
            <w:r>
              <w:t>H2</w:t>
            </w:r>
          </w:p>
        </w:tc>
        <w:tc>
          <w:tcPr>
            <w:tcW w:type="dxa" w:w="2880"/>
          </w:tcPr>
          <w:p>
            <w:r/>
            <w:r>
              <w:t>36-48 px</w:t>
            </w:r>
          </w:p>
        </w:tc>
        <w:tc>
          <w:tcPr>
            <w:tcW w:type="dxa" w:w="2880"/>
          </w:tcPr>
          <w:p>
            <w:r/>
            <w:r>
              <w:t>Bold, League Spartan</w:t>
            </w:r>
          </w:p>
        </w:tc>
      </w:tr>
      <w:tr>
        <w:tc>
          <w:tcPr>
            <w:tcW w:type="dxa" w:w="2880"/>
          </w:tcPr>
          <w:p>
            <w:r/>
            <w:r>
              <w:t>H3</w:t>
            </w:r>
          </w:p>
        </w:tc>
        <w:tc>
          <w:tcPr>
            <w:tcW w:type="dxa" w:w="2880"/>
          </w:tcPr>
          <w:p>
            <w:r/>
            <w:r>
              <w:t>24-30 px</w:t>
            </w:r>
          </w:p>
        </w:tc>
        <w:tc>
          <w:tcPr>
            <w:tcW w:type="dxa" w:w="2880"/>
          </w:tcPr>
          <w:p>
            <w:r/>
            <w:r>
              <w:t>SemiBold, League Spartan</w:t>
            </w:r>
          </w:p>
        </w:tc>
      </w:tr>
      <w:tr>
        <w:tc>
          <w:tcPr>
            <w:tcW w:type="dxa" w:w="2880"/>
          </w:tcPr>
          <w:p>
            <w:r/>
            <w:r>
              <w:t>H4</w:t>
            </w:r>
          </w:p>
        </w:tc>
        <w:tc>
          <w:tcPr>
            <w:tcW w:type="dxa" w:w="2880"/>
          </w:tcPr>
          <w:p>
            <w:r/>
            <w:r>
              <w:t>18-20 px</w:t>
            </w:r>
          </w:p>
        </w:tc>
        <w:tc>
          <w:tcPr>
            <w:tcW w:type="dxa" w:w="2880"/>
          </w:tcPr>
          <w:p>
            <w:r/>
            <w:r>
              <w:t>SemiBold, League Spartan</w:t>
            </w:r>
          </w:p>
        </w:tc>
      </w:tr>
      <w:tr>
        <w:tc>
          <w:tcPr>
            <w:tcW w:type="dxa" w:w="2880"/>
          </w:tcPr>
          <w:p>
            <w:r/>
            <w:r>
              <w:t>Corps</w:t>
            </w:r>
          </w:p>
        </w:tc>
        <w:tc>
          <w:tcPr>
            <w:tcW w:type="dxa" w:w="2880"/>
          </w:tcPr>
          <w:p>
            <w:r/>
            <w:r>
              <w:t>16 px</w:t>
            </w:r>
          </w:p>
        </w:tc>
        <w:tc>
          <w:tcPr>
            <w:tcW w:type="dxa" w:w="2880"/>
          </w:tcPr>
          <w:p>
            <w:r/>
            <w:r>
              <w:t>Regular, Nunito</w:t>
            </w:r>
          </w:p>
        </w:tc>
      </w:tr>
      <w:tr>
        <w:tc>
          <w:tcPr>
            <w:tcW w:type="dxa" w:w="2880"/>
          </w:tcPr>
          <w:p>
            <w:r/>
            <w:r>
              <w:t>Petit</w:t>
            </w:r>
          </w:p>
        </w:tc>
        <w:tc>
          <w:tcPr>
            <w:tcW w:type="dxa" w:w="2880"/>
          </w:tcPr>
          <w:p>
            <w:r/>
            <w:r>
              <w:t>14 px</w:t>
            </w:r>
          </w:p>
        </w:tc>
        <w:tc>
          <w:tcPr>
            <w:tcW w:type="dxa" w:w="2880"/>
          </w:tcPr>
          <w:p>
            <w:r/>
            <w:r>
              <w:t>Regular, Nunito</w:t>
            </w:r>
          </w:p>
        </w:tc>
      </w:tr>
      <w:tr>
        <w:tc>
          <w:tcPr>
            <w:tcW w:type="dxa" w:w="2880"/>
          </w:tcPr>
          <w:p>
            <w:r/>
            <w:r>
              <w:t>Légende</w:t>
            </w:r>
          </w:p>
        </w:tc>
        <w:tc>
          <w:tcPr>
            <w:tcW w:type="dxa" w:w="2880"/>
          </w:tcPr>
          <w:p>
            <w:r/>
            <w:r>
              <w:t>12 px</w:t>
            </w:r>
          </w:p>
        </w:tc>
        <w:tc>
          <w:tcPr>
            <w:tcW w:type="dxa" w:w="2880"/>
          </w:tcPr>
          <w:p>
            <w:r/>
            <w:r>
              <w:t>Regular, Nunito</w:t>
            </w:r>
          </w:p>
        </w:tc>
      </w:tr>
    </w:tbl>
    <w:p>
      <w:r>
        <w:rPr>
          <w:b/>
        </w:rPr>
        <w:t>Interlignage</w:t>
      </w:r>
      <w:r>
        <w:t xml:space="preserve"> : 1,2 pour les titres (serré, impactant), 1,5 à 1,6 pour le corps</w:t>
      </w:r>
    </w:p>
    <w:p>
      <w:r>
        <w:t xml:space="preserve">(confortable). </w:t>
      </w:r>
      <w:r>
        <w:rPr>
          <w:b/>
        </w:rPr>
        <w:t>Longueur de ligne</w:t>
      </w:r>
      <w:r>
        <w:t xml:space="preserve"> : 50 à 75 caractères — au-delà, la lecture</w:t>
      </w:r>
    </w:p>
    <w:p>
      <w:r>
        <w:t>fatigue.</w:t>
      </w:r>
    </w:p>
    <w:p>
      <w:pPr>
        <w:pStyle w:val="Heading3"/>
      </w:pPr>
      <w:r>
        <w:t>Accessibilité typographique</w:t>
      </w:r>
    </w:p>
    <w:p>
      <w:pPr>
        <w:pStyle w:val="ListBullet"/>
      </w:pPr>
      <w:r>
        <w:rPr>
          <w:b/>
        </w:rPr>
        <w:t>Taille minimale</w:t>
      </w:r>
      <w:r>
        <w:t xml:space="preserve"> : 16 px pour le corps</w:t>
      </w:r>
    </w:p>
    <w:p>
      <w:pPr>
        <w:pStyle w:val="ListBullet"/>
      </w:pPr>
      <w:r>
        <w:rPr>
          <w:b/>
        </w:rPr>
        <w:t>Contraste WCAG AA</w:t>
      </w:r>
      <w:r>
        <w:t xml:space="preserve"> : 4,5:1 en texte normal, 3:1 en grand texte (≥ 18 px gras</w:t>
      </w:r>
    </w:p>
    <w:p>
      <w:r>
        <w:t xml:space="preserve">  ou ≥ 24 px)</w:t>
      </w:r>
    </w:p>
    <w:p>
      <w:r>
        <w:t xml:space="preserve">⚠️ </w:t>
      </w:r>
      <w:r>
        <w:rPr>
          <w:b/>
        </w:rPr>
        <w:t>C'est ici que se trouvait l'erreur la plus grave du module.</w:t>
      </w:r>
      <w:r>
        <w:t xml:space="preserve"> Voir la partie</w:t>
      </w:r>
    </w:p>
    <w:p>
      <w:r>
        <w:t xml:space="preserve">suivante : le teal de marque </w:t>
      </w:r>
      <w:r>
        <w:rPr>
          <w:rFonts w:ascii="Consolas" w:hAnsi="Consolas"/>
          <w:color w:val="B03030"/>
          <w:sz w:val="19"/>
        </w:rPr>
        <w:t>#55A1B4</w:t>
      </w:r>
      <w:r>
        <w:t xml:space="preserve"> </w:t>
      </w:r>
      <w:r>
        <w:rPr>
          <w:b/>
        </w:rPr>
        <w:t>ne passe pas</w:t>
      </w:r>
      <w:r>
        <w:t xml:space="preserve"> le seuil AA sur du texte.</w:t>
      </w:r>
    </w:p>
    <w:p>
      <w:pPr>
        <w:jc w:val="center"/>
      </w:pPr>
      <w:r>
        <w:t>________________________________________</w:t>
      </w:r>
    </w:p>
    <w:p>
      <w:pPr>
        <w:pStyle w:val="Heading2"/>
      </w:pPr>
      <w:r>
        <w:t>PARTIE 2 · Couleur et design tokens (slides 11-25)</w:t>
      </w:r>
    </w:p>
    <w:p>
      <w:pPr>
        <w:pStyle w:val="Heading3"/>
      </w:pPr>
      <w:r>
        <w:t>Psychologie des couleurs — avec prudence</w:t>
      </w:r>
    </w:p>
    <w:p>
      <w:r>
        <w:t xml:space="preserve">Les associations couleur/émotion sont des </w:t>
      </w:r>
      <w:r>
        <w:rPr>
          <w:b/>
        </w:rPr>
        <w:t>conventions culturelles</w:t>
      </w:r>
      <w:r>
        <w:t>, pas des</w:t>
      </w:r>
    </w:p>
    <w:p>
      <w:r>
        <w:t>lois. À manier comme des repères, pas comme des preuves :</w:t>
      </w:r>
    </w:p>
    <w:p>
      <w:pPr>
        <w:pStyle w:val="ListBullet"/>
      </w:pPr>
      <w:r>
        <w:rPr>
          <w:b/>
        </w:rPr>
        <w:t>Bleu `#55A1B4`</w:t>
      </w:r>
      <w:r>
        <w:t xml:space="preserve"> : confiance, sérénité → actions, liens</w:t>
      </w:r>
    </w:p>
    <w:p>
      <w:pPr>
        <w:pStyle w:val="ListBullet"/>
      </w:pPr>
      <w:r>
        <w:rPr>
          <w:b/>
        </w:rPr>
        <w:t>Orange `#ED843A`</w:t>
      </w:r>
      <w:r>
        <w:t xml:space="preserve"> : énergie, action → notifications, incitations</w:t>
      </w:r>
    </w:p>
    <w:p>
      <w:pPr>
        <w:pStyle w:val="ListBullet"/>
      </w:pPr>
      <w:r>
        <w:rPr>
          <w:b/>
        </w:rPr>
        <w:t>Jaune `#F8B044`</w:t>
      </w:r>
      <w:r>
        <w:t xml:space="preserve"> : optimisme → gamification, points</w:t>
      </w:r>
    </w:p>
    <w:p>
      <w:pPr>
        <w:pStyle w:val="IntenseQuote"/>
      </w:pPr>
      <w:r>
        <w:t xml:space="preserve">⚠️ </w:t>
      </w:r>
      <w:r>
        <w:rPr>
          <w:b/>
        </w:rPr>
        <w:t>Deux affirmations retirées de ce slide.</w:t>
      </w:r>
      <w:r>
        <w:t xml:space="preserve"> Le « bleu = 80 % des plateformes</w:t>
      </w:r>
    </w:p>
    <w:p>
      <w:pPr>
        <w:pStyle w:val="IntenseQuote"/>
      </w:pPr>
      <w:r>
        <w:t>finance/EdTech » n'a aucune source. Et l'histoire « Facebook est bleu à cause de</w:t>
      </w:r>
    </w:p>
    <w:p>
      <w:pPr>
        <w:pStyle w:val="IntenseQuote"/>
      </w:pPr>
      <w:r>
        <w:t>l'addiction, selon Sean Parker » est un amalgame : le bleu de Facebook vient du</w:t>
      </w:r>
    </w:p>
    <w:p>
      <w:pPr>
        <w:pStyle w:val="IntenseQuote"/>
      </w:pPr>
      <w:r>
        <w:t>daltonisme rouge-vert de Zuckerberg (qu'il a déclaré) ; Sean Parker a parlé de la</w:t>
      </w:r>
    </w:p>
    <w:p>
      <w:pPr>
        <w:pStyle w:val="IntenseQuote"/>
      </w:pPr>
      <w:r>
        <w:t xml:space="preserve">boucle de validation dopaminergique du produit, </w:t>
      </w:r>
      <w:r>
        <w:rPr>
          <w:b/>
        </w:rPr>
        <w:t>jamais de la couleur</w:t>
      </w:r>
      <w:r>
        <w:t>.</w:t>
      </w:r>
    </w:p>
    <w:p>
      <w:pPr>
        <w:pStyle w:val="Heading3"/>
      </w:pPr>
      <w:r>
        <w:t>La palette TLS et les tokens</w:t>
      </w:r>
    </w:p>
    <w:p>
      <w:pPr>
        <w:ind w:left="360"/>
      </w:pPr>
      <w:r>
        <w:rPr>
          <w:rFonts w:ascii="Consolas" w:hAnsi="Consolas"/>
          <w:sz w:val="17"/>
        </w:rPr>
        <w:t>/* Primitives — valeurs brutes */</w:t>
        <w:br/>
        <w:t>--blue-500: #55A1B4;</w:t>
        <w:br/>
        <w:t>--orange-500: #ED843A;</w:t>
        <w:br/>
        <w:t>--accent-500: #F8B044;</w:t>
        <w:br/>
        <w:br/>
        <w:t>/* Tokens — alias sémantiques */</w:t>
        <w:br/>
        <w:t>--color-brand-primary: var(--blue-500);</w:t>
        <w:br/>
        <w:t>--color-cta-secondary: var(--orange-500);</w:t>
        <w:br/>
        <w:br/>
        <w:t>/* Usage */</w:t>
        <w:br/>
        <w:t>.btn-primary { background: var(--color-brand-primary); }</w:t>
      </w:r>
    </w:p>
    <w:p>
      <w:r>
        <w:rPr>
          <w:b/>
        </w:rPr>
        <w:t>Pourquoi les tokens</w:t>
      </w:r>
      <w:r>
        <w:t xml:space="preserve"> : une source de vérité unique, une maintenance à un seul</w:t>
      </w:r>
    </w:p>
    <w:p>
      <w:r>
        <w:t>endroit, un mode sombre par simple échange de valeurs, une palette extensible.</w:t>
      </w:r>
    </w:p>
    <w:p>
      <w:pPr>
        <w:pStyle w:val="Heading3"/>
      </w:pPr>
      <w:r>
        <w:t>⚠️ Contraste et accessibilité — la correction centrale</w:t>
      </w:r>
    </w:p>
    <w:p>
      <w:r>
        <w:rPr>
          <w:b/>
        </w:rPr>
        <w:t>Les ratios WCAG affichés dans la version précédente étaient faux.</w:t>
      </w:r>
      <w:r>
        <w:t xml:space="preserve"> Recalculés</w:t>
      </w:r>
    </w:p>
    <w:p>
      <w:r>
        <w:t>de première main (WCAG 2.1) 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Couleur sur blanc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Le module affichait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Ratio réel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Verdict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`#55A1B4`</w:t>
            </w:r>
            <w:r>
              <w:t xml:space="preserve"> (teal de marque)</w:t>
            </w:r>
          </w:p>
        </w:tc>
        <w:tc>
          <w:tcPr>
            <w:tcW w:type="dxa" w:w="2160"/>
          </w:tcPr>
          <w:p>
            <w:r/>
            <w:r>
              <w:t>« 4,6:1 ✅ AA »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2,94:1</w:t>
            </w:r>
          </w:p>
        </w:tc>
        <w:tc>
          <w:tcPr>
            <w:tcW w:type="dxa" w:w="2160"/>
          </w:tcPr>
          <w:p>
            <w:r/>
            <w:r>
              <w:t xml:space="preserve">❌ échec AA </w:t>
            </w:r>
            <w:r>
              <w:rPr>
                <w:i/>
              </w:rPr>
              <w:t>et</w:t>
            </w:r>
            <w:r>
              <w:t xml:space="preserve"> grand texte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`#ED843A`</w:t>
            </w:r>
            <w:r>
              <w:t xml:space="preserve"> (orange)</w:t>
            </w:r>
          </w:p>
        </w:tc>
        <w:tc>
          <w:tcPr>
            <w:tcW w:type="dxa" w:w="2160"/>
          </w:tcPr>
          <w:p>
            <w:r/>
            <w:r>
              <w:t>« 3,2:1 ⚠️ AA grand texte »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2,64:1</w:t>
            </w:r>
          </w:p>
        </w:tc>
        <w:tc>
          <w:tcPr>
            <w:tcW w:type="dxa" w:w="2160"/>
          </w:tcPr>
          <w:p>
            <w:r/>
            <w:r>
              <w:t>❌ échec même en grand texte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`#F8B044`</w:t>
            </w:r>
            <w:r>
              <w:t xml:space="preserve"> (jaune)</w:t>
            </w:r>
          </w:p>
        </w:tc>
        <w:tc>
          <w:tcPr>
            <w:tcW w:type="dxa" w:w="2160"/>
          </w:tcPr>
          <w:p>
            <w:r/>
            <w:r>
              <w:t>« 2,1:1 ❌ échec »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1,86:1</w:t>
            </w:r>
          </w:p>
        </w:tc>
        <w:tc>
          <w:tcPr>
            <w:tcW w:type="dxa" w:w="2160"/>
          </w:tcPr>
          <w:p>
            <w:r/>
            <w:r>
              <w:t>✅ conclusion juste</w:t>
            </w:r>
          </w:p>
        </w:tc>
      </w:tr>
    </w:tbl>
    <w:p>
      <w:r>
        <w:rPr>
          <w:b/>
        </w:rPr>
        <w:t>La cause de l'erreur</w:t>
      </w:r>
      <w:r>
        <w:t xml:space="preserve"> : le module a pris le teal </w:t>
      </w:r>
      <w:r>
        <w:rPr>
          <w:b/>
        </w:rPr>
        <w:t>clair</w:t>
      </w:r>
      <w:r>
        <w:t xml:space="preserve"> de marque pour une</w:t>
      </w:r>
    </w:p>
    <w:p>
      <w:r>
        <w:t>teinte foncée conforme. Ils ne le sont pas.</w:t>
      </w:r>
    </w:p>
    <w:p>
      <w:r>
        <w:rPr>
          <w:b/>
        </w:rPr>
        <w:t>La règle à enseigner</w:t>
      </w:r>
      <w:r>
        <w:t xml:space="preserve"> :</w:t>
      </w:r>
    </w:p>
    <w:p>
      <w:pPr>
        <w:pStyle w:val="ListBullet"/>
      </w:pPr>
      <w:r>
        <w:t xml:space="preserve">Pour du </w:t>
      </w:r>
      <w:r>
        <w:rPr>
          <w:b/>
        </w:rPr>
        <w:t>texte</w:t>
      </w:r>
      <w:r>
        <w:t xml:space="preserve"> conforme AA, descendre à </w:t>
      </w:r>
      <w:r>
        <w:rPr>
          <w:b/>
        </w:rPr>
        <w:t>`#3D7786` (primary-700) = 5,02:1</w:t>
      </w:r>
      <w:r>
        <w:t>.</w:t>
      </w:r>
    </w:p>
    <w:p>
      <w:pPr>
        <w:pStyle w:val="ListBullet"/>
      </w:pPr>
      <w:r>
        <w:t xml:space="preserve">Le teal </w:t>
      </w:r>
      <w:r>
        <w:rPr>
          <w:rFonts w:ascii="Consolas" w:hAnsi="Consolas"/>
          <w:color w:val="B03030"/>
          <w:sz w:val="19"/>
        </w:rPr>
        <w:t>#55A1B4</w:t>
      </w:r>
      <w:r>
        <w:t xml:space="preserve"> reste utilisable pour les </w:t>
      </w:r>
      <w:r>
        <w:rPr>
          <w:b/>
        </w:rPr>
        <w:t>fonds et éléments non textuels</w:t>
      </w:r>
    </w:p>
    <w:p>
      <w:r>
        <w:t xml:space="preserve">  (seuil 3:1), jamais pour du texte sur blanc.</w:t>
      </w:r>
    </w:p>
    <w:p>
      <w:pPr>
        <w:pStyle w:val="IntenseQuote"/>
      </w:pPr>
      <w:r>
        <w:t xml:space="preserve">💡 </w:t>
      </w:r>
      <w:r>
        <w:rPr>
          <w:b/>
        </w:rPr>
        <w:t>C'est exactement la règle qui vaut pour l'app TLS et pour Prompt Buddy</w:t>
      </w:r>
      <w:r>
        <w:t xml:space="preserve"> :</w:t>
      </w:r>
    </w:p>
    <w:p>
      <w:pPr>
        <w:pStyle w:val="IntenseQuote"/>
      </w:pPr>
      <w:r>
        <w:t>le teal de marque est décoratif, pas un teal de texte. Un module qui enseigne</w:t>
      </w:r>
    </w:p>
    <w:p>
      <w:pPr>
        <w:pStyle w:val="IntenseQuote"/>
      </w:pPr>
      <w:r>
        <w:t>l'accessibilité doit être exemplaire sur ce point précis.</w:t>
      </w:r>
    </w:p>
    <w:p>
      <w:r>
        <w:rPr>
          <w:b/>
        </w:rPr>
        <w:t>Outil de vérification</w:t>
      </w:r>
      <w:r>
        <w:t xml:space="preserve"> : WebAIM Contrast Checker. Toujours mesurer, jamais</w:t>
      </w:r>
    </w:p>
    <w:p>
      <w:r>
        <w:t>supposer — c'est la leçon de cette correction.</w:t>
      </w:r>
    </w:p>
    <w:p>
      <w:pPr>
        <w:pStyle w:val="Heading3"/>
      </w:pPr>
      <w:r>
        <w:t>Gradients, neutres, couleurs de statut</w:t>
      </w:r>
    </w:p>
    <w:p>
      <w:r>
        <w:t>Les gradients TLS (primaire, chaud, tri-couleurs) sont réservés aux **grandes</w:t>
      </w:r>
    </w:p>
    <w:p>
      <w:r>
        <w:t>surfaces** — hero, cartes, boutons principaux — et aux titres H1/H2. Jamais sur</w:t>
      </w:r>
    </w:p>
    <w:p>
      <w:r>
        <w:t>un petit élément (&lt; 40 px), jamais sur du texte de corps.</w:t>
      </w:r>
    </w:p>
    <w:p>
      <w:r>
        <w:rPr>
          <w:b/>
        </w:rPr>
        <w:t>Couleurs de statut</w:t>
      </w:r>
      <w:r>
        <w:t xml:space="preserve"> : succès = teal, erreur = rouge </w:t>
      </w:r>
      <w:r>
        <w:rPr>
          <w:rFonts w:ascii="Consolas" w:hAnsi="Consolas"/>
          <w:color w:val="B03030"/>
          <w:sz w:val="19"/>
        </w:rPr>
        <w:t>#C0152F</w:t>
      </w:r>
      <w:r>
        <w:t>, avertissement =</w:t>
      </w:r>
    </w:p>
    <w:p>
      <w:r>
        <w:t>orange, information = bleu.</w:t>
      </w:r>
    </w:p>
    <w:p>
      <w:r>
        <w:rPr>
          <w:b/>
        </w:rPr>
        <w:t>Matrice d'usage (slide 24, recalculée)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Élément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Clair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Sombre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Contraste sur fond</w:t>
            </w:r>
          </w:p>
        </w:tc>
      </w:tr>
      <w:tr>
        <w:tc>
          <w:tcPr>
            <w:tcW w:type="dxa" w:w="2160"/>
          </w:tcPr>
          <w:p>
            <w:r/>
            <w:r>
              <w:t>Texte principal</w:t>
            </w:r>
          </w:p>
        </w:tc>
        <w:tc>
          <w:tcPr>
            <w:tcW w:type="dxa" w:w="2160"/>
          </w:tcPr>
          <w:p>
            <w:r/>
            <w:r>
              <w:t>neutral-900</w:t>
            </w:r>
          </w:p>
        </w:tc>
        <w:tc>
          <w:tcPr>
            <w:tcW w:type="dxa" w:w="2160"/>
          </w:tcPr>
          <w:p>
            <w:r/>
            <w:r>
              <w:t>gray-200</w:t>
            </w:r>
          </w:p>
        </w:tc>
        <w:tc>
          <w:tcPr>
            <w:tcW w:type="dxa" w:w="2160"/>
          </w:tcPr>
          <w:p>
            <w:r/>
            <w:r>
              <w:t>15:1 ✅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Action principale (texte)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primary-700</w:t>
            </w:r>
            <w:r>
              <w:t xml:space="preserve"> </w:t>
            </w:r>
            <w:r>
              <w:rPr>
                <w:rFonts w:ascii="Consolas" w:hAnsi="Consolas"/>
                <w:color w:val="B03030"/>
                <w:sz w:val="19"/>
              </w:rPr>
              <w:t>#3D7786</w:t>
            </w:r>
          </w:p>
        </w:tc>
        <w:tc>
          <w:tcPr>
            <w:tcW w:type="dxa" w:w="2160"/>
          </w:tcPr>
          <w:p>
            <w:r/>
            <w:r>
              <w:t>teal-300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5,02:1 ✅</w:t>
            </w:r>
          </w:p>
        </w:tc>
      </w:tr>
      <w:tr>
        <w:tc>
          <w:tcPr>
            <w:tcW w:type="dxa" w:w="2160"/>
          </w:tcPr>
          <w:p>
            <w:r/>
            <w:r>
              <w:t>Action principale (fond seul)</w:t>
            </w:r>
          </w:p>
        </w:tc>
        <w:tc>
          <w:tcPr>
            <w:tcW w:type="dxa" w:w="2160"/>
          </w:tcPr>
          <w:p>
            <w:r/>
            <w:r>
              <w:t>blue-500</w:t>
            </w:r>
          </w:p>
        </w:tc>
        <w:tc>
          <w:tcPr>
            <w:tcW w:type="dxa" w:w="2160"/>
          </w:tcPr>
          <w:p>
            <w:r/>
            <w:r>
              <w:t>—</w:t>
            </w:r>
          </w:p>
        </w:tc>
        <w:tc>
          <w:tcPr>
            <w:tcW w:type="dxa" w:w="2160"/>
          </w:tcPr>
          <w:p>
            <w:r/>
            <w:r>
              <w:t>2,94:1 → décoratif, texte blanc à vérifier</w:t>
            </w:r>
          </w:p>
        </w:tc>
      </w:tr>
    </w:tbl>
    <w:p>
      <w:r>
        <w:t>⚠️ La ligne « Primary Action 4,6:1 » de la version précédente héritait de</w:t>
      </w:r>
    </w:p>
    <w:p>
      <w:r>
        <w:t>l'erreur. Toute la matrice a été recalculée.</w:t>
      </w:r>
    </w:p>
    <w:p>
      <w:pPr>
        <w:pStyle w:val="Heading3"/>
      </w:pPr>
      <w:r>
        <w:t>Exercice — audit couleur</w:t>
      </w:r>
    </w:p>
    <w:p>
      <w:r>
        <w:t>Analyser une plateforme EdTech (Coursera, Udemy, Khan Academy) : palette,</w:t>
      </w:r>
    </w:p>
    <w:p>
      <w:r>
        <w:t xml:space="preserve">tokens, </w:t>
      </w:r>
      <w:r>
        <w:rPr>
          <w:b/>
        </w:rPr>
        <w:t>et mesurer les contrastes au WebAIM Checker</w:t>
      </w:r>
      <w:r>
        <w:t xml:space="preserve"> — pas les estimer. Livrable :</w:t>
      </w:r>
    </w:p>
    <w:p>
      <w:r>
        <w:t>capture annotée + tableau. *(Les ratios concurrents cités dans la version</w:t>
      </w:r>
    </w:p>
    <w:p>
      <w:r>
        <w:t>précédente — Coursera 4,9:1, etc. — étaient non vérifiés : à re-mesurer.)*</w:t>
      </w:r>
    </w:p>
    <w:p>
      <w:pPr>
        <w:jc w:val="center"/>
      </w:pPr>
      <w:r>
        <w:t>________________________________________</w:t>
      </w:r>
    </w:p>
    <w:p>
      <w:pPr>
        <w:pStyle w:val="Heading2"/>
      </w:pPr>
      <w:r>
        <w:t>PARTIE 3 · Mise en page et espacement (slides 26-40)</w:t>
      </w:r>
    </w:p>
    <w:p>
      <w:pPr>
        <w:pStyle w:val="Heading3"/>
      </w:pPr>
      <w:r>
        <w:t>Le système d'espacement en base 4 px</w:t>
      </w:r>
    </w:p>
    <w:p>
      <w:pPr>
        <w:ind w:left="360"/>
      </w:pPr>
      <w:r>
        <w:rPr>
          <w:rFonts w:ascii="Consolas" w:hAnsi="Consolas"/>
          <w:sz w:val="17"/>
        </w:rPr>
        <w:t>--space-1: 4px;    --space-2: 8px;    --space-3: 12px;</w:t>
        <w:br/>
        <w:t>--space-4: 16px;   --space-6: 24px;   --space-8: 32px;   --space-12: 48px;</w:t>
      </w:r>
    </w:p>
    <w:p>
      <w:r>
        <w:rPr>
          <w:b/>
        </w:rPr>
        <w:t>Pourquoi la base 4</w:t>
      </w:r>
      <w:r>
        <w:t xml:space="preserve"> : tous les espacements sont des multiples de 4, ce qui</w:t>
      </w:r>
    </w:p>
    <w:p>
      <w:r>
        <w:t>garantit l'alignement avec les grilles et reste extensible.</w:t>
      </w:r>
    </w:p>
    <w:p>
      <w:r>
        <w:rPr>
          <w:b/>
        </w:rPr>
        <w:t>Padding (interne) vs margin (externe)</w:t>
      </w:r>
      <w:r>
        <w:t xml:space="preserve"> : le premier agit dans le composant, le</w:t>
      </w:r>
    </w:p>
    <w:p>
      <w:r>
        <w:t>second entre les composants.</w:t>
      </w:r>
    </w:p>
    <w:p>
      <w:pPr>
        <w:pStyle w:val="Heading3"/>
      </w:pPr>
      <w:r>
        <w:t>L'espace, valeur de lisibilité</w:t>
      </w:r>
    </w:p>
    <w:p>
      <w:pPr>
        <w:pStyle w:val="IntenseQuote"/>
      </w:pPr>
      <w:r>
        <w:t xml:space="preserve">⚠️ </w:t>
      </w:r>
      <w:r>
        <w:rPr>
          <w:b/>
        </w:rPr>
        <w:t>Chiffre retiré.</w:t>
      </w:r>
      <w:r>
        <w:t xml:space="preserve"> « 1 px d'espace en plus = +10 % de qualité perçue,</w:t>
      </w:r>
    </w:p>
    <w:p>
      <w:pPr>
        <w:pStyle w:val="IntenseQuote"/>
      </w:pPr>
      <w:r>
        <w:t>Material Design » est fabriqué — Material Design ne dit pas cela.</w:t>
      </w:r>
    </w:p>
    <w:p>
      <w:r>
        <w:t>Le principe, lui, tient sans chiffre : **un espacement généreux améliore la</w:t>
      </w:r>
    </w:p>
    <w:p>
      <w:r>
        <w:t>lisibilité et la perception de qualité.** Règle TLS : padding minimal des cartes</w:t>
      </w:r>
    </w:p>
    <w:p>
      <w:r>
        <w:t>20 px, des sections 48 px.</w:t>
      </w:r>
    </w:p>
    <w:p>
      <w:pPr>
        <w:pStyle w:val="Heading3"/>
      </w:pPr>
      <w:r>
        <w:t>Rayons, ombres, patterns</w:t>
      </w:r>
    </w:p>
    <w:p>
      <w:pPr>
        <w:ind w:left="360"/>
      </w:pPr>
      <w:r>
        <w:rPr>
          <w:rFonts w:ascii="Consolas" w:hAnsi="Consolas"/>
          <w:sz w:val="17"/>
        </w:rPr>
        <w:t>--radius-sm: 6px;   --radius-base: 8px;   --radius-lg: 12px;</w:t>
        <w:br/>
        <w:t>--radius-xl: 16px;  --radius-2xl: 24px;   --radius-full: 9999px;</w:t>
      </w:r>
    </w:p>
    <w:p>
      <w:r>
        <w:rPr>
          <w:b/>
        </w:rPr>
        <w:t>Ombres douces</w:t>
      </w:r>
      <w:r>
        <w:t xml:space="preserve"> (opacité 0,04 à 0,06), jamais dures. Patterns récurrents :</w:t>
      </w:r>
    </w:p>
    <w:p>
      <w:r>
        <w:t>carte, grille de dashboard responsive (</w:t>
      </w:r>
      <w:r>
        <w:rPr>
          <w:rFonts w:ascii="Consolas" w:hAnsi="Consolas"/>
          <w:color w:val="B03030"/>
          <w:sz w:val="19"/>
        </w:rPr>
        <w:t>repeat(auto-fit, minmax(300px, 1fr))</w:t>
      </w:r>
      <w:r>
        <w:t>).</w:t>
      </w:r>
    </w:p>
    <w:p>
      <w:pPr>
        <w:pStyle w:val="Heading3"/>
      </w:pPr>
      <w:r>
        <w:t>Hiérarchie visuelle et Gestalt</w:t>
      </w:r>
    </w:p>
    <w:p>
      <w:r>
        <w:t xml:space="preserve">L'ordre d'importance se lit par </w:t>
      </w:r>
      <w:r>
        <w:rPr>
          <w:b/>
        </w:rPr>
        <w:t>taille, graisse, couleur, position</w:t>
      </w:r>
      <w:r>
        <w:t xml:space="preserve"> (lecture en</w:t>
      </w:r>
    </w:p>
    <w:p>
      <w:r>
        <w:t>F). Les principes de Gestalt : proximité, similarité, continuité, clôture.</w:t>
      </w:r>
    </w:p>
    <w:p>
      <w:pPr>
        <w:pStyle w:val="Heading3"/>
      </w:pPr>
      <w:r>
        <w:t>Exercice — wireframe</w:t>
      </w:r>
    </w:p>
    <w:p>
      <w:r>
        <w:t>Wireframe basse fidélité d'une page « Détail d'un cours » : 3 colonnes,</w:t>
      </w:r>
    </w:p>
    <w:p>
      <w:r>
        <w:t>espacement en base 4 px, 15 minutes.</w:t>
      </w:r>
    </w:p>
    <w:p>
      <w:pPr>
        <w:jc w:val="center"/>
      </w:pPr>
      <w:r>
        <w:t>________________________________________</w:t>
      </w:r>
    </w:p>
    <w:p>
      <w:pPr>
        <w:pStyle w:val="Heading2"/>
      </w:pPr>
      <w:r>
        <w:t>PARTIE 4 · Cas pratiques et synthèse (slides 41-50)</w:t>
      </w:r>
    </w:p>
    <w:p>
      <w:pPr>
        <w:pStyle w:val="Heading3"/>
      </w:pPr>
      <w:r>
        <w:t>Analyses</w:t>
      </w:r>
    </w:p>
    <w:p>
      <w:r>
        <w:rPr>
          <w:b/>
        </w:rPr>
        <w:t>Coursera</w:t>
      </w:r>
      <w:r>
        <w:t xml:space="preserve"> — une seule police (Proxima Nova), bleu primaire, hero pleine largeur,</w:t>
      </w:r>
    </w:p>
    <w:p>
      <w:r>
        <w:t xml:space="preserve">grille 4 colonnes, sections généreuses. </w:t>
      </w:r>
      <w:r>
        <w:rPr>
          <w:b/>
        </w:rPr>
        <w:t>Khan Academy</w:t>
      </w:r>
      <w:r>
        <w:t xml:space="preserve"> — Lato, teal de succès,</w:t>
      </w:r>
    </w:p>
    <w:p>
      <w:r>
        <w:t>barre latérale fixe, gamification (progression, badges, séries).</w:t>
      </w:r>
    </w:p>
    <w:p>
      <w:pPr>
        <w:pStyle w:val="Heading3"/>
      </w:pPr>
      <w:r>
        <w:t>Anti-patterns</w:t>
      </w:r>
    </w:p>
    <w:p>
      <w:r>
        <w:t>Trop de polices · couleurs sans raison · espacement incohérent (7, 13, 21 px) ·</w:t>
      </w:r>
    </w:p>
    <w:p>
      <w:r>
        <w:t xml:space="preserve">texte trop petit · </w:t>
      </w:r>
      <w:r>
        <w:rPr>
          <w:b/>
        </w:rPr>
        <w:t>contraste faible</w:t>
      </w:r>
      <w:r>
        <w:t xml:space="preserve"> — le défaut que ce module lui-même</w:t>
      </w:r>
    </w:p>
    <w:p>
      <w:r>
        <w:t>contenait.</w:t>
      </w:r>
    </w:p>
    <w:p>
      <w:pPr>
        <w:pStyle w:val="Heading3"/>
      </w:pPr>
      <w:r>
        <w:t>Checklist design visuel</w:t>
      </w:r>
    </w:p>
    <w:p>
      <w:pPr>
        <w:pStyle w:val="ListBullet"/>
      </w:pPr>
      <w:r>
        <w:t>☑ Deux polices maximum</w:t>
      </w:r>
    </w:p>
    <w:p>
      <w:pPr>
        <w:pStyle w:val="ListBullet"/>
      </w:pPr>
      <w:r>
        <w:t>☑ Hiérarchie typographique définie</w:t>
      </w:r>
    </w:p>
    <w:p>
      <w:pPr>
        <w:pStyle w:val="ListBullet"/>
      </w:pPr>
      <w:r>
        <w:t>☑ Palette de 3 à 5 couleurs + neutres</w:t>
      </w:r>
    </w:p>
    <w:p>
      <w:pPr>
        <w:pStyle w:val="ListBullet"/>
      </w:pPr>
      <w:r>
        <w:t>☑ Design tokens définis</w:t>
      </w:r>
    </w:p>
    <w:p>
      <w:pPr>
        <w:pStyle w:val="ListBullet"/>
      </w:pPr>
      <w:r>
        <w:t xml:space="preserve">☑ </w:t>
      </w:r>
      <w:r>
        <w:rPr>
          <w:b/>
        </w:rPr>
        <w:t>Contraste WCAG AA vérifié au calculateur — pas supposé</w:t>
      </w:r>
    </w:p>
    <w:p>
      <w:pPr>
        <w:pStyle w:val="ListBullet"/>
      </w:pPr>
      <w:r>
        <w:t>☑ Espacement en base 4 px</w:t>
      </w:r>
    </w:p>
    <w:p>
      <w:pPr>
        <w:pStyle w:val="ListBullet"/>
      </w:pPr>
      <w:r>
        <w:t>☑ Rayons cohérents, ombres douces</w:t>
      </w:r>
    </w:p>
    <w:p>
      <w:pPr>
        <w:pStyle w:val="Heading3"/>
      </w:pPr>
      <w:r>
        <w:t>Quiz (10 questions) — extrait corrigé</w:t>
      </w:r>
    </w:p>
    <w:p>
      <w:pPr>
        <w:pStyle w:val="ListNumber"/>
      </w:pPr>
      <w:r>
        <w:t xml:space="preserve">Contraste minimal WCAG AA, texte normal ? → </w:t>
      </w:r>
      <w:r>
        <w:rPr>
          <w:b/>
        </w:rPr>
        <w:t>4,5:1</w:t>
      </w:r>
    </w:p>
    <w:p>
      <w:pPr>
        <w:pStyle w:val="ListNumber"/>
      </w:pPr>
      <w:r>
        <w:t xml:space="preserve">Espacement de base TLS ? → </w:t>
      </w:r>
      <w:r>
        <w:rPr>
          <w:b/>
        </w:rPr>
        <w:t>4 px</w:t>
      </w:r>
    </w:p>
    <w:p>
      <w:pPr>
        <w:pStyle w:val="ListNumber"/>
      </w:pPr>
      <w:r>
        <w:t xml:space="preserve">Longueur de ligne optimale ? → </w:t>
      </w:r>
      <w:r>
        <w:rPr>
          <w:b/>
        </w:rPr>
        <w:t>50 à 75 caractères</w:t>
      </w:r>
    </w:p>
    <w:p>
      <w:pPr>
        <w:pStyle w:val="ListNumber"/>
      </w:pPr>
      <w:r>
        <w:t xml:space="preserve">Police TLS pour les titres ? → </w:t>
      </w:r>
      <w:r>
        <w:rPr>
          <w:b/>
        </w:rPr>
        <w:t>League Spartan</w:t>
      </w:r>
    </w:p>
    <w:p>
      <w:pPr>
        <w:pStyle w:val="IntenseQuote"/>
      </w:pPr>
      <w:r>
        <w:t xml:space="preserve">⚠️ </w:t>
      </w:r>
      <w:r>
        <w:rPr>
          <w:b/>
        </w:rPr>
        <w:t>Question ajoutée</w:t>
      </w:r>
      <w:r>
        <w:t xml:space="preserve"> : « Le teal de marque </w:t>
      </w:r>
      <w:r>
        <w:rPr>
          <w:rFonts w:ascii="Consolas" w:hAnsi="Consolas"/>
          <w:color w:val="B03030"/>
          <w:sz w:val="19"/>
        </w:rPr>
        <w:t>#55A1B4</w:t>
      </w:r>
      <w:r>
        <w:t xml:space="preserve"> sur blanc passe-t-il le</w:t>
      </w:r>
    </w:p>
    <w:p>
      <w:pPr>
        <w:pStyle w:val="IntenseQuote"/>
      </w:pPr>
      <w:r>
        <w:t>seuil AA pour du texte ? » → **Non : 2,94:1. Pour du texte AA, utiliser</w:t>
      </w:r>
    </w:p>
    <w:p>
      <w:pPr>
        <w:pStyle w:val="IntenseQuote"/>
      </w:pPr>
      <w:r>
        <w:rPr>
          <w:rFonts w:ascii="Consolas" w:hAnsi="Consolas"/>
          <w:color w:val="B03030"/>
          <w:sz w:val="19"/>
        </w:rPr>
        <w:t>#3D7786</w:t>
      </w:r>
      <w:r>
        <w:t xml:space="preserve"> (5,02:1).** C'était l'erreur de ce module — elle devient une question.</w:t>
      </w:r>
    </w:p>
    <w:p>
      <w:pPr>
        <w:pStyle w:val="Heading3"/>
      </w:pPr>
      <w:r>
        <w:t>Projet et évaluation</w:t>
      </w:r>
    </w:p>
    <w:p>
      <w:r>
        <w:t>Redesign d'une page d'accueil EdTech (2 h, Figma). Critères : typographie (25),</w:t>
      </w:r>
    </w:p>
    <w:p>
      <w:r>
        <w:t xml:space="preserve">couleurs </w:t>
      </w:r>
      <w:r>
        <w:rPr>
          <w:b/>
        </w:rPr>
        <w:t>avec contraste validé au calculateur</w:t>
      </w:r>
      <w:r>
        <w:t xml:space="preserve"> (25), mise en page (20),</w:t>
      </w:r>
    </w:p>
    <w:p>
      <w:r>
        <w:t>hiérarchie visuelle (15), finition (15). Seuil : 70/100.</w:t>
      </w:r>
    </w:p>
    <w:p>
      <w:pPr>
        <w:jc w:val="center"/>
      </w:pPr>
      <w:r>
        <w:t>________________________________________</w:t>
      </w:r>
    </w:p>
    <w:p>
      <w:pPr>
        <w:pStyle w:val="Heading2"/>
      </w:pPr>
      <w:r>
        <w:t>Ressources</w:t>
      </w:r>
    </w:p>
    <w:p>
      <w:pPr>
        <w:pStyle w:val="ListBullet"/>
      </w:pPr>
      <w:r>
        <w:t>« Thinking with Type » — Ellen Lupton</w:t>
      </w:r>
    </w:p>
    <w:p>
      <w:pPr>
        <w:pStyle w:val="ListBullet"/>
      </w:pPr>
      <w:r>
        <w:t>« The Elements of Typographic Style Applied to the Web »</w:t>
      </w:r>
    </w:p>
    <w:p>
      <w:pPr>
        <w:pStyle w:val="ListBullet"/>
      </w:pPr>
      <w:r>
        <w:t>Refactoring UI — Adam Wathan &amp; Steve Schoger</w:t>
      </w:r>
    </w:p>
    <w:p>
      <w:pPr>
        <w:pStyle w:val="ListBullet"/>
      </w:pPr>
      <w:r>
        <w:t>WebAIM Contrast Checker · Contrast Ratio (Lea Verou)</w:t>
      </w:r>
    </w:p>
    <w:p>
      <w:pPr>
        <w:jc w:val="center"/>
      </w:pPr>
      <w:r>
        <w:t>________________________________________</w:t>
      </w:r>
    </w:p>
    <w:p>
      <w:pPr>
        <w:pStyle w:val="Heading2"/>
      </w:pPr>
      <w:r>
        <w:t>📋 Journal des corrections — 2026-07-23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#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Problème d'origine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Correction</w:t>
            </w:r>
          </w:p>
        </w:tc>
      </w:tr>
      <w:tr>
        <w:tc>
          <w:tcPr>
            <w:tcW w:type="dxa" w:w="2880"/>
          </w:tcPr>
          <w:p>
            <w:r/>
            <w:r>
              <w:t>1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`#55A1B4` sur blanc = « 4,6:1 ✅ AA »</w:t>
            </w:r>
            <w:r>
              <w:t xml:space="preserve"> — répété slides 10, 16, 24, script, quiz</w:t>
            </w:r>
          </w:p>
        </w:tc>
        <w:tc>
          <w:tcPr>
            <w:tcW w:type="dxa" w:w="2880"/>
          </w:tcPr>
          <w:p>
            <w:r/>
            <w:r>
              <w:t xml:space="preserve">Corrigé en </w:t>
            </w:r>
            <w:r>
              <w:rPr>
                <w:b/>
              </w:rPr>
              <w:t>2,94:1 (échec)</w:t>
            </w:r>
            <w:r>
              <w:t xml:space="preserve">, recalculé de première main. Règle enseignée : </w:t>
            </w:r>
            <w:r>
              <w:rPr>
                <w:rFonts w:ascii="Consolas" w:hAnsi="Consolas"/>
                <w:color w:val="B03030"/>
                <w:sz w:val="19"/>
              </w:rPr>
              <w:t>#3D7786</w:t>
            </w:r>
            <w:r>
              <w:t xml:space="preserve"> (5,02:1) pour le texte, </w:t>
            </w:r>
            <w:r>
              <w:rPr>
                <w:rFonts w:ascii="Consolas" w:hAnsi="Consolas"/>
                <w:color w:val="B03030"/>
                <w:sz w:val="19"/>
              </w:rPr>
              <w:t>#55A1B4</w:t>
            </w:r>
            <w:r>
              <w:t xml:space="preserve"> décoratif</w:t>
            </w:r>
          </w:p>
        </w:tc>
      </w:tr>
      <w:tr>
        <w:tc>
          <w:tcPr>
            <w:tcW w:type="dxa" w:w="2880"/>
          </w:tcPr>
          <w:p>
            <w:r/>
            <w:r>
              <w:t>2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B03030"/>
                <w:sz w:val="19"/>
              </w:rPr>
              <w:t>#ED843A</w:t>
            </w:r>
            <w:r>
              <w:t xml:space="preserve"> = « 3,2:1 AA grand texte »</w:t>
            </w:r>
          </w:p>
        </w:tc>
        <w:tc>
          <w:tcPr>
            <w:tcW w:type="dxa" w:w="2880"/>
          </w:tcPr>
          <w:p>
            <w:r/>
            <w:r>
              <w:t xml:space="preserve">Corrigé en </w:t>
            </w:r>
            <w:r>
              <w:rPr>
                <w:b/>
              </w:rPr>
              <w:t>2,64:1 (échec même en grand texte)</w:t>
            </w:r>
          </w:p>
        </w:tc>
      </w:tr>
      <w:tr>
        <w:tc>
          <w:tcPr>
            <w:tcW w:type="dxa" w:w="2880"/>
          </w:tcPr>
          <w:p>
            <w:r/>
            <w:r>
              <w:t>3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B03030"/>
                <w:sz w:val="19"/>
              </w:rPr>
              <w:t>#F8B044</w:t>
            </w:r>
            <w:r>
              <w:t xml:space="preserve"> = « 2,1:1 »</w:t>
            </w:r>
          </w:p>
        </w:tc>
        <w:tc>
          <w:tcPr>
            <w:tcW w:type="dxa" w:w="2880"/>
          </w:tcPr>
          <w:p>
            <w:r/>
            <w:r>
              <w:t xml:space="preserve">Ajusté à </w:t>
            </w:r>
            <w:r>
              <w:rPr>
                <w:b/>
              </w:rPr>
              <w:t>1,86:1</w:t>
            </w:r>
            <w:r>
              <w:t xml:space="preserve"> — conclusion « échec » inchangée</w:t>
            </w:r>
          </w:p>
        </w:tc>
      </w:tr>
      <w:tr>
        <w:tc>
          <w:tcPr>
            <w:tcW w:type="dxa" w:w="2880"/>
          </w:tcPr>
          <w:p>
            <w:r/>
            <w:r>
              <w:t>4</w:t>
            </w:r>
          </w:p>
        </w:tc>
        <w:tc>
          <w:tcPr>
            <w:tcW w:type="dxa" w:w="2880"/>
          </w:tcPr>
          <w:p>
            <w:r/>
            <w:r>
              <w:t>Matrice de contraste slide 24 : « Primary Action 4,6:1 »</w:t>
            </w:r>
          </w:p>
        </w:tc>
        <w:tc>
          <w:tcPr>
            <w:tcW w:type="dxa" w:w="2880"/>
          </w:tcPr>
          <w:p>
            <w:r/>
            <w:r>
              <w:t>Recalculée intégralement</w:t>
            </w:r>
          </w:p>
        </w:tc>
      </w:tr>
      <w:tr>
        <w:tc>
          <w:tcPr>
            <w:tcW w:type="dxa" w:w="2880"/>
          </w:tcPr>
          <w:p>
            <w:r/>
            <w:r>
              <w:t>5</w:t>
            </w:r>
          </w:p>
        </w:tc>
        <w:tc>
          <w:tcPr>
            <w:tcW w:type="dxa" w:w="2880"/>
          </w:tcPr>
          <w:p>
            <w:r/>
            <w:r>
              <w:t>« Bleu = 80 % des plateformes finance/EdTech »</w:t>
            </w:r>
          </w:p>
        </w:tc>
        <w:tc>
          <w:tcPr>
            <w:tcW w:type="dxa" w:w="2880"/>
          </w:tcPr>
          <w:p>
            <w:r/>
            <w:r>
              <w:t>Supprimé — non sourcé</w:t>
            </w:r>
          </w:p>
        </w:tc>
      </w:tr>
      <w:tr>
        <w:tc>
          <w:tcPr>
            <w:tcW w:type="dxa" w:w="2880"/>
          </w:tcPr>
          <w:p>
            <w:r/>
            <w:r>
              <w:t>6</w:t>
            </w:r>
          </w:p>
        </w:tc>
        <w:tc>
          <w:tcPr>
            <w:tcW w:type="dxa" w:w="2880"/>
          </w:tcPr>
          <w:p>
            <w:r/>
            <w:r>
              <w:t>« Facebook bleu → addiction selon Sean Parker »</w:t>
            </w:r>
          </w:p>
        </w:tc>
        <w:tc>
          <w:tcPr>
            <w:tcW w:type="dxa" w:w="2880"/>
          </w:tcPr>
          <w:p>
            <w:r/>
            <w:r>
              <w:t>Amalgame retiré (daltonisme de Zuckerberg / boucle dopaminergique du produit — deux choses distinctes)</w:t>
            </w:r>
          </w:p>
        </w:tc>
      </w:tr>
      <w:tr>
        <w:tc>
          <w:tcPr>
            <w:tcW w:type="dxa" w:w="2880"/>
          </w:tcPr>
          <w:p>
            <w:r/>
            <w:r>
              <w:t>7</w:t>
            </w:r>
          </w:p>
        </w:tc>
        <w:tc>
          <w:tcPr>
            <w:tcW w:type="dxa" w:w="2880"/>
          </w:tcPr>
          <w:p>
            <w:r/>
            <w:r>
              <w:t>« 1 px d'espace = +10 % de qualité perçue (Material Design) »</w:t>
            </w:r>
          </w:p>
        </w:tc>
        <w:tc>
          <w:tcPr>
            <w:tcW w:type="dxa" w:w="2880"/>
          </w:tcPr>
          <w:p>
            <w:r/>
            <w:r>
              <w:t>Chiffre supprimé, principe conservé sans chiffre</w:t>
            </w:r>
          </w:p>
        </w:tc>
      </w:tr>
      <w:tr>
        <w:tc>
          <w:tcPr>
            <w:tcW w:type="dxa" w:w="2880"/>
          </w:tcPr>
          <w:p>
            <w:r/>
            <w:r>
              <w:t>8</w:t>
            </w:r>
          </w:p>
        </w:tc>
        <w:tc>
          <w:tcPr>
            <w:tcW w:type="dxa" w:w="2880"/>
          </w:tcPr>
          <w:p>
            <w:r/>
            <w:r>
              <w:t>Contrastes concurrents (Coursera 4,9:1…) présentés comme exacts</w:t>
            </w:r>
          </w:p>
        </w:tc>
        <w:tc>
          <w:tcPr>
            <w:tcW w:type="dxa" w:w="2880"/>
          </w:tcPr>
          <w:p>
            <w:r/>
            <w:r>
              <w:t>Marqués « à re-mesurer »</w:t>
            </w:r>
          </w:p>
        </w:tc>
      </w:tr>
      <w:tr>
        <w:tc>
          <w:tcPr>
            <w:tcW w:type="dxa" w:w="2880"/>
          </w:tcPr>
          <w:p>
            <w:r/>
            <w:r>
              <w:t>9</w:t>
            </w:r>
          </w:p>
        </w:tc>
        <w:tc>
          <w:tcPr>
            <w:tcW w:type="dxa" w:w="2880"/>
          </w:tcPr>
          <w:p>
            <w:r/>
            <w:r>
              <w:t>Titre « Typo = 80 % du design »</w:t>
            </w:r>
          </w:p>
        </w:tc>
        <w:tc>
          <w:tcPr>
            <w:tcW w:type="dxa" w:w="2880"/>
          </w:tcPr>
          <w:p>
            <w:r/>
            <w:r>
              <w:t xml:space="preserve">Requalifié : le « 95 % typographie » de Reichenstein est une </w:t>
            </w:r>
            <w:r>
              <w:rPr>
                <w:b/>
              </w:rPr>
              <w:t>thèse rhétorique</w:t>
            </w:r>
            <w:r>
              <w:t>, pas une mesure</w:t>
            </w:r>
          </w:p>
        </w:tc>
      </w:tr>
      <w:tr>
        <w:tc>
          <w:tcPr>
            <w:tcW w:type="dxa" w:w="2880"/>
          </w:tcPr>
          <w:p>
            <w:r/>
            <w:r>
              <w:t>10</w:t>
            </w:r>
          </w:p>
        </w:tc>
        <w:tc>
          <w:tcPr>
            <w:tcW w:type="dxa" w:w="2880"/>
          </w:tcPr>
          <w:p>
            <w:r/>
            <w:r>
              <w:t>Quiz sans question sur l'accessibilité couleur</w:t>
            </w:r>
          </w:p>
        </w:tc>
        <w:tc>
          <w:tcPr>
            <w:tcW w:type="dxa" w:w="2880"/>
          </w:tcPr>
          <w:p>
            <w:r/>
            <w:r>
              <w:t>Question ajoutée sur le contraste du teal de marque</w:t>
            </w:r>
          </w:p>
        </w:tc>
      </w:tr>
    </w:tbl>
    <w:p>
      <w:r>
        <w:rPr>
          <w:b/>
        </w:rPr>
        <w:t>Conservé</w:t>
      </w:r>
      <w:r>
        <w:t xml:space="preserve"> : toute la partie typographie (anatomie, familles, association,</w:t>
      </w:r>
    </w:p>
    <w:p>
      <w:r>
        <w:t>hiérarchie, interlignage, longueur de ligne) · les design tokens · le système</w:t>
      </w:r>
    </w:p>
    <w:p>
      <w:r>
        <w:t>d'espacement base 4 px · rayons, ombres, patterns · hiérarchie visuelle et</w:t>
      </w:r>
    </w:p>
    <w:p>
      <w:r>
        <w:t>Gestalt · les analyses Coursera/Khan · la checklist · le projet. Le fond était</w:t>
      </w:r>
    </w:p>
    <w:p>
      <w:r>
        <w:t>solide.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