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233e83c368694394237bead302c1a65b26697b6"/>
    <w:p>
      <w:pPr>
        <w:pStyle w:val="Heading1"/>
      </w:pPr>
      <w:r>
        <w:t xml:space="preserve">Étude de viabilité — The Learning Society (Learning App + Conseil SBO)</w:t>
      </w:r>
    </w:p>
    <w:p>
      <w:pPr>
        <w:pStyle w:val="BlockText"/>
      </w:pPr>
      <w:r>
        <w:rPr>
          <w:b/>
          <w:bCs/>
        </w:rPr>
        <w:t xml:space="preserve">Nature :</w:t>
      </w:r>
      <w:r>
        <w:t xml:space="preserve"> </w:t>
      </w:r>
      <w:r>
        <w:t xml:space="preserve">revue critique d’analyste (registre conseiller BPI / consultant Big 4), à usage</w:t>
      </w:r>
      <w:r>
        <w:t xml:space="preserve"> </w:t>
      </w:r>
      <w:r>
        <w:rPr>
          <w:b/>
          <w:bCs/>
        </w:rPr>
        <w:t xml:space="preserve">décision stratégique interne + document maître réutilisable</w:t>
      </w:r>
      <w:r>
        <w:t xml:space="preserve">.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l’ensemble du projet TLS — la Learning App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t xml:space="preserve">le bras conseil/services — marché France, contexte Europe.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25 juillet 2026 ·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v1, à valider par les fondateurs.</w:t>
      </w:r>
      <w:r>
        <w:t xml:space="preserve"> </w:t>
      </w:r>
      <w:r>
        <w:rPr>
          <w:b/>
          <w:bCs/>
        </w:rPr>
        <w:t xml:space="preserve">Registre honnêteté :</w:t>
      </w:r>
      <w:r>
        <w:t xml:space="preserve"> </w:t>
      </w:r>
      <w:r>
        <w:t xml:space="preserve">aucun chiffre TLS inventé ; les projections internes sont traitées comme des hypothèses à valider, jamais comme des faits ; toute donnée marché est sourcée ou marquée non vérifiée.</w:t>
      </w:r>
    </w:p>
    <w:p>
      <w:r>
        <w:pict>
          <v:rect style="width:0;height:1.5pt" o:hralign="center" o:hrstd="t" o:hr="t"/>
        </w:pict>
      </w:r>
    </w:p>
    <w:bookmarkStart w:id="9" w:name="note-de-méthode-fiabilité-des-sources"/>
    <w:p>
      <w:pPr>
        <w:pStyle w:val="Heading2"/>
      </w:pPr>
      <w:r>
        <w:t xml:space="preserve">0. Note de méthode &amp; fiabilité des sources</w:t>
      </w:r>
    </w:p>
    <w:p>
      <w:pPr>
        <w:pStyle w:val="FirstParagraph"/>
      </w:pPr>
      <w:r>
        <w:t xml:space="preserve">Cette étude a été construite</w:t>
      </w:r>
      <w:r>
        <w:t xml:space="preserve"> </w:t>
      </w:r>
      <w:r>
        <w:rPr>
          <w:b/>
          <w:bCs/>
        </w:rPr>
        <w:t xml:space="preserve">à partir des sources produit autoritatives</w:t>
      </w:r>
      <w:r>
        <w:t xml:space="preserve"> </w:t>
      </w:r>
      <w:r>
        <w:t xml:space="preserve">(l’application telle qu’elle existe dans le code, les 16 cahiers des charges, les docs Notion de vision, positionnement, offre et gouvernance)</w:t>
      </w:r>
      <w:r>
        <w:t xml:space="preserve"> </w:t>
      </w:r>
      <w:r>
        <w:rPr>
          <w:b/>
          <w:bCs/>
        </w:rPr>
        <w:t xml:space="preserve">et d’une recherche marché externe fraîche</w:t>
      </w:r>
      <w:r>
        <w:t xml:space="preserve"> </w:t>
      </w:r>
      <w:r>
        <w:t xml:space="preserve">(France/Europe, données 2025-2026, sourcées). Les documents marketing internes non relus</w:t>
      </w:r>
      <w:r>
        <w:t xml:space="preserve"> </w:t>
      </w:r>
      <w:r>
        <w:rPr>
          <w:b/>
          <w:bCs/>
        </w:rPr>
        <w:t xml:space="preserve">n’ont pas servi de socle factuel</w:t>
      </w:r>
      <w:r>
        <w:t xml:space="preserve"> </w:t>
      </w:r>
      <w:r>
        <w:t xml:space="preserve">: plusieurs de leurs chiffres se sont révélés faux à la vérification (détail en</w:t>
      </w:r>
      <w:r>
        <w:t xml:space="preserve"> </w:t>
      </w:r>
      <w:r>
        <w:rPr>
          <w:b/>
          <w:bCs/>
        </w:rPr>
        <w:t xml:space="preserve">Annexe B</w:t>
      </w:r>
      <w:r>
        <w:t xml:space="preserve">).</w:t>
      </w:r>
    </w:p>
    <w:p>
      <w:pPr>
        <w:pStyle w:val="BodyText"/>
      </w:pPr>
      <w:r>
        <w:t xml:space="preserve">Trois disciplines appliquées partout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Sources externes primaires = socle factuel</w:t>
      </w:r>
      <w:r>
        <w:t xml:space="preserve"> </w:t>
      </w:r>
      <w:r>
        <w:t xml:space="preserve">(sizing, adoption, financements, réglementation), citées.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Docs internes = hypothèses à tester</w:t>
      </w:r>
      <w:r>
        <w:t xml:space="preserve">, marquées</w:t>
      </w:r>
      <w:r>
        <w:t xml:space="preserve"> </w:t>
      </w:r>
      <w:r>
        <w:rPr>
          <w:rStyle w:val="VerbatimChar"/>
        </w:rPr>
        <w:t xml:space="preserve">[interne — non validé]</w:t>
      </w:r>
      <w:r>
        <w:t xml:space="preserve"> </w:t>
      </w:r>
      <w:r>
        <w:t xml:space="preserve">quand reprises.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Rien d’inventé</w:t>
      </w:r>
      <w:r>
        <w:t xml:space="preserve"> </w:t>
      </w:r>
      <w:r>
        <w:t xml:space="preserve">: un trou de donnée reste un trou déclaré.</w:t>
      </w:r>
    </w:p>
    <w:p>
      <w:pPr>
        <w:pStyle w:val="BodyText"/>
      </w:pPr>
      <w:r>
        <w:rPr>
          <w:b/>
          <w:bCs/>
        </w:rPr>
        <w:t xml:space="preserve">Le déclencheur de cette étude est lui-même une conclusion :</w:t>
      </w:r>
      <w:r>
        <w:t xml:space="preserve"> </w:t>
      </w:r>
      <w:r>
        <w:t xml:space="preserve">les documents internes divergent et se contredisent (positionnement, prix, chiffres marché, ordre de la méthode STRIDE). L’incohérence documentaire n’est pas un détail — c’est un symptôme du problème stratégique central décrit ci-dessous.</w:t>
      </w:r>
    </w:p>
    <w:p>
      <w:r>
        <w:pict>
          <v:rect style="width:0;height:1.5pt" o:hralign="center" o:hrstd="t" o:hr="t"/>
        </w:pict>
      </w:r>
    </w:p>
    <w:bookmarkEnd w:id="9"/>
    <w:bookmarkStart w:id="10" w:name="résumé-exécutif-le-verdict"/>
    <w:p>
      <w:pPr>
        <w:pStyle w:val="Heading2"/>
      </w:pPr>
      <w:r>
        <w:t xml:space="preserve">1. Résumé exécutif — le verdict</w:t>
      </w:r>
    </w:p>
    <w:p>
      <w:pPr>
        <w:pStyle w:val="FirstParagraph"/>
      </w:pPr>
      <w:r>
        <w:rPr>
          <w:b/>
          <w:bCs/>
        </w:rPr>
        <w:t xml:space="preserve">Aujourd’hui, TLS est une boutique de services experts à deux personnes (conseil IA/SBO + formation « Formateur Augmenté » via C-Campus) qui construit un produit qu’elle n’a pas encore.</w:t>
      </w:r>
      <w:r>
        <w:t xml:space="preserve"> </w:t>
      </w:r>
      <w:r>
        <w:t xml:space="preserve">Ce n’est pas un jugement de valeur, c’est le</w:t>
      </w:r>
      <w:r>
        <w:t xml:space="preserve"> </w:t>
      </w:r>
      <w:r>
        <w:rPr>
          <w:b/>
          <w:bCs/>
        </w:rPr>
        <w:t xml:space="preserve">stade réel</w:t>
      </w:r>
      <w:r>
        <w:t xml:space="preserve">, et il faut le regarder en face avant tout arbitrage.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plan financier interne le dit lui-même :</w:t>
      </w:r>
      <w:r>
        <w:t xml:space="preserve"> </w:t>
      </w:r>
      <w:r>
        <w:t xml:space="preserve">sur les 260 700 € de CA visé,</w:t>
      </w:r>
      <w:r>
        <w:t xml:space="preserve"> </w:t>
      </w:r>
      <w:r>
        <w:rPr>
          <w:b/>
          <w:bCs/>
        </w:rPr>
        <w:t xml:space="preserve">~66 % est du service humain</w:t>
      </w:r>
      <w:r>
        <w:t xml:space="preserve"> </w:t>
      </w:r>
      <w:r>
        <w:t xml:space="preserve">(conseil + prestations),</w:t>
      </w:r>
      <w:r>
        <w:t xml:space="preserve"> </w:t>
      </w:r>
      <w:r>
        <w:rPr>
          <w:b/>
          <w:bCs/>
        </w:rPr>
        <w:t xml:space="preserve">~34 % du SaaS</w:t>
      </w:r>
      <w:r>
        <w:t xml:space="preserve"> </w:t>
      </w:r>
      <w:r>
        <w:t xml:space="preserve">— et ce SaaS est</w:t>
      </w:r>
      <w:r>
        <w:t xml:space="preserve"> </w:t>
      </w:r>
      <w:r>
        <w:rPr>
          <w:b/>
          <w:bCs/>
        </w:rPr>
        <w:t xml:space="preserve">hypothétique</w:t>
      </w:r>
      <w:r>
        <w:t xml:space="preserve"> </w:t>
      </w:r>
      <w:r>
        <w:t xml:space="preserve">(ni backend, ni client payant à ce jour).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L’app est un prototype front-end très abouti, pas un SaaS :</w:t>
      </w:r>
      <w:r>
        <w:t xml:space="preserve"> </w:t>
      </w:r>
      <w:r>
        <w:t xml:space="preserve">149 pages, 182 routes, mais</w:t>
      </w:r>
      <w:r>
        <w:t xml:space="preserve"> </w:t>
      </w:r>
      <w:r>
        <w:rPr>
          <w:b/>
          <w:bCs/>
        </w:rPr>
        <w:t xml:space="preserve">zéro appel backend réel</w:t>
      </w:r>
      <w:r>
        <w:t xml:space="preserve">, données = fichiers mock +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Le produit porteur (d’après les CDC :</w:t>
      </w:r>
      <w:r>
        <w:t xml:space="preserve"> </w:t>
      </w:r>
      <w:r>
        <w:rPr>
          <w:b/>
          <w:bCs/>
        </w:rPr>
        <w:t xml:space="preserve">9 plugins WordPress, ~3 700–4 000 h de dev</w:t>
      </w:r>
      <w:r>
        <w:t xml:space="preserve">) est</w:t>
      </w:r>
      <w:r>
        <w:t xml:space="preserve"> </w:t>
      </w:r>
      <w:r>
        <w:rPr>
          <w:b/>
          <w:bCs/>
        </w:rPr>
        <w:t xml:space="preserve">au stade spécification</w:t>
      </w:r>
      <w:r>
        <w:t xml:space="preserve">, « en attente validation Pierre » sur presque tous les cahiers.</w:t>
      </w:r>
      <w:r>
        <w:t xml:space="preserve"> </w:t>
      </w:r>
      <w:r>
        <w:rPr>
          <w:b/>
          <w:bCs/>
        </w:rPr>
        <w:t xml:space="preserve">L’essentiel du build est devant, pas derrière.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moat annoncé est vide au lancement :</w:t>
      </w:r>
      <w:r>
        <w:t xml:space="preserve"> </w:t>
      </w:r>
      <w:r>
        <w:t xml:space="preserve">le Passeport de Compétences n’a</w:t>
      </w:r>
      <w:r>
        <w:t xml:space="preserve"> </w:t>
      </w:r>
      <w:r>
        <w:rPr>
          <w:b/>
          <w:bCs/>
        </w:rPr>
        <w:t xml:space="preserve">aucun lien de preuve structuré</w:t>
      </w:r>
      <w:r>
        <w:t xml:space="preserve"> </w:t>
      </w:r>
      <w:r>
        <w:t xml:space="preserve">(juste un niveau Dreyfus + un blob JSON), le matching IA est</w:t>
      </w:r>
      <w:r>
        <w:t xml:space="preserve"> </w:t>
      </w:r>
      <w:r>
        <w:rPr>
          <w:b/>
          <w:bCs/>
        </w:rPr>
        <w:t xml:space="preserve">manuel</w:t>
      </w:r>
      <w:r>
        <w:t xml:space="preserve"> </w:t>
      </w:r>
      <w:r>
        <w:t xml:space="preserve">au MVP et « trop complexe à valider maintenant », l’analytics est à</w:t>
      </w:r>
      <w:r>
        <w:t xml:space="preserve"> </w:t>
      </w:r>
      <w:r>
        <w:rPr>
          <w:b/>
          <w:bCs/>
        </w:rPr>
        <w:t xml:space="preserve">0 %</w:t>
      </w:r>
      <w:r>
        <w:t xml:space="preserve">. Le « lock-in façon Salesforce » est une thèse, pas un actif — et il entre en</w:t>
      </w:r>
      <w:r>
        <w:t xml:space="preserve"> </w:t>
      </w:r>
      <w:r>
        <w:rPr>
          <w:b/>
          <w:bCs/>
        </w:rPr>
        <w:t xml:space="preserve">collision de nom avec le Passeport de Compétences de l’État</w:t>
      </w:r>
      <w:r>
        <w:t xml:space="preserve"> </w:t>
      </w:r>
      <w:r>
        <w:t xml:space="preserve">(Caisse des Dépôts, ~43 M d’utilisateurs, gratuit).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marché, lui, est réel, en croissance et bien orienté :</w:t>
      </w:r>
      <w:r>
        <w:t xml:space="preserve"> </w:t>
      </w:r>
      <w:r>
        <w:t xml:space="preserve">la formation professionnelle française pèse</w:t>
      </w:r>
      <w:r>
        <w:t xml:space="preserve"> </w:t>
      </w:r>
      <w:r>
        <w:rPr>
          <w:b/>
          <w:bCs/>
        </w:rPr>
        <w:t xml:space="preserve">56,6 Md€</w:t>
      </w:r>
      <w:r>
        <w:t xml:space="preserve"> </w:t>
      </w:r>
      <w:r>
        <w:t xml:space="preserve">(2024, dont</w:t>
      </w:r>
      <w:r>
        <w:t xml:space="preserve"> </w:t>
      </w:r>
      <w:r>
        <w:rPr>
          <w:b/>
          <w:bCs/>
        </w:rPr>
        <w:t xml:space="preserve">~29 Md€</w:t>
      </w:r>
      <w:r>
        <w:t xml:space="preserve"> </w:t>
      </w:r>
      <w:r>
        <w:t xml:space="preserve">de budget entreprise/OPCO), l’EdTech française</w:t>
      </w:r>
      <w:r>
        <w:t xml:space="preserve"> </w:t>
      </w:r>
      <w:r>
        <w:rPr>
          <w:b/>
          <w:bCs/>
        </w:rPr>
        <w:t xml:space="preserve">1,8 Md€</w:t>
      </w:r>
      <w:r>
        <w:t xml:space="preserve"> </w:t>
      </w:r>
      <w:r>
        <w:t xml:space="preserve">(2025, dont ~66 % corporate), et la</w:t>
      </w:r>
      <w:r>
        <w:t xml:space="preserve"> </w:t>
      </w:r>
      <w:r>
        <w:rPr>
          <w:b/>
          <w:bCs/>
        </w:rPr>
        <w:t xml:space="preserve">SBO est une catégorie en formation</w:t>
      </w:r>
      <w:r>
        <w:t xml:space="preserve"> </w:t>
      </w:r>
      <w:r>
        <w:t xml:space="preserve">validée par Deloitte/Mercer/WEF mais</w:t>
      </w:r>
      <w:r>
        <w:t xml:space="preserve"> </w:t>
      </w:r>
      <w:r>
        <w:rPr>
          <w:b/>
          <w:bCs/>
        </w:rPr>
        <w:t xml:space="preserve">naissante, surtout en France</w:t>
      </w:r>
      <w:r>
        <w:t xml:space="preserve"> </w:t>
      </w:r>
      <w:r>
        <w:t xml:space="preserve">(« le discours devance la pratique »). L’</w:t>
      </w:r>
      <w:r>
        <w:rPr>
          <w:b/>
          <w:bCs/>
        </w:rPr>
        <w:t xml:space="preserve">AI Act Article 4</w:t>
      </w:r>
      <w:r>
        <w:t xml:space="preserve"> </w:t>
      </w:r>
      <w:r>
        <w:t xml:space="preserve">ajoute un vent porteur réel (contrôle CNIL dès août 2026).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Mais l’opportunité récompense un wedge B2B focalisé, constructible et finançable à deux — pas une course à l’« OS SBO entreprise »</w:t>
      </w:r>
      <w:r>
        <w:t xml:space="preserve"> </w:t>
      </w:r>
      <w:r>
        <w:t xml:space="preserve">face à des acteurs financés à 240 M$+ (360Learning) et à des spécialistes skills (Gloat, Eightfold, 365Talents, Neobrain). Le</w:t>
      </w:r>
      <w:r>
        <w:t xml:space="preserve"> </w:t>
      </w:r>
      <w:r>
        <w:rPr>
          <w:b/>
          <w:bCs/>
        </w:rPr>
        <w:t xml:space="preserve">financement EdTech FR a chuté ~−66 % depuis 2021</w:t>
      </w:r>
      <w:r>
        <w:t xml:space="preserve"> </w:t>
      </w:r>
      <w:r>
        <w:t xml:space="preserve">: « lever pour recruter une équipe produit » est difficile. La contrainte « 2 personnes » est</w:t>
      </w:r>
      <w:r>
        <w:t xml:space="preserve"> </w:t>
      </w:r>
      <w:r>
        <w:rPr>
          <w:b/>
          <w:bCs/>
        </w:rPr>
        <w:t xml:space="preserve">structurelle</w:t>
      </w:r>
      <w:r>
        <w:t xml:space="preserve">, pas un choix.</w:t>
      </w:r>
    </w:p>
    <w:p>
      <w:pPr>
        <w:pStyle w:val="FirstParagraph"/>
      </w:pPr>
      <w:r>
        <w:rPr>
          <w:b/>
          <w:bCs/>
        </w:rPr>
        <w:t xml:space="preserve">Verdict par identité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Quelle entreprise ?</w:t>
            </w:r>
          </w:p>
        </w:tc>
        <w:tc>
          <w:tcPr/>
          <w:p>
            <w:pPr>
              <w:pStyle w:val="Compact"/>
            </w:pPr>
            <w:r>
              <w:t xml:space="preserve">Viabilité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Boutique services</w:t>
            </w:r>
            <w:r>
              <w:t xml:space="preserve"> </w:t>
            </w:r>
            <w:r>
              <w:t xml:space="preserve">(conseil + formation)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Viable aujourd’hui</w:t>
            </w:r>
          </w:p>
        </w:tc>
        <w:tc>
          <w:tcPr/>
          <w:p>
            <w:pPr>
              <w:pStyle w:val="Compact"/>
            </w:pPr>
            <w:r>
              <w:t xml:space="preserve">Réelle, cash-générative, mais capacity-bound, non-scalable, dépendante des fondateurs. Échelle micro (260 k€ ≈ 2 salaires).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Couche pédagogique / preuve pour mid-market &amp; OF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Viable si focalisée</w:t>
            </w:r>
          </w:p>
        </w:tc>
        <w:tc>
          <w:tcPr/>
          <w:p>
            <w:pPr>
              <w:pStyle w:val="Compact"/>
            </w:pPr>
            <w:r>
              <w:t xml:space="preserve">Constructible à 2, différenciée, défendable. C’est le pari raisonnable.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 SBO entreprise</w:t>
            </w:r>
            <w:r>
              <w:t xml:space="preserve"> </w:t>
            </w:r>
            <w:r>
              <w:t xml:space="preserve">(la vision 5-6 M€)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Non prouvé / hors de portée à court terme</w:t>
            </w:r>
          </w:p>
        </w:tc>
        <w:tc>
          <w:tcPr/>
          <w:p>
            <w:pPr>
              <w:pStyle w:val="Compact"/>
            </w:pPr>
            <w:r>
              <w:t xml:space="preserve">Pré-produit, face à des géants, dépend de features V2/2027 et de volume client inexistant. North star, pas identité 2026-2027.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 qu’il faut faire (résumé) :</w:t>
      </w:r>
      <w:r>
        <w:t xml:space="preserve"> </w:t>
      </w:r>
      <w:r>
        <w:t xml:space="preserve">trancher le wedge,</w:t>
      </w:r>
      <w:r>
        <w:t xml:space="preserve"> </w:t>
      </w:r>
      <w:r>
        <w:rPr>
          <w:b/>
          <w:bCs/>
        </w:rPr>
        <w:t xml:space="preserve">utiliser le service pour financer et alimenter en preuves un produit volontairement mince</w:t>
      </w:r>
      <w:r>
        <w:t xml:space="preserve"> </w:t>
      </w:r>
      <w:r>
        <w:t xml:space="preserve">(le Passeport comme couche de preuve exposée en API/MCP),</w:t>
      </w:r>
      <w:r>
        <w:t xml:space="preserve"> </w:t>
      </w:r>
      <w:r>
        <w:rPr>
          <w:b/>
          <w:bCs/>
        </w:rPr>
        <w:t xml:space="preserve">entrer par un produit exécutable maintenant</w:t>
      </w:r>
      <w:r>
        <w:t xml:space="preserve"> </w:t>
      </w:r>
      <w:r>
        <w:t xml:space="preserve">(module AI Literacy Art. 4), réconcilier le pricing sur un seul modèle B2B, provisionner le risque AI Act haut-risque, et</w:t>
      </w:r>
      <w:r>
        <w:t xml:space="preserve"> </w:t>
      </w:r>
      <w:r>
        <w:rPr>
          <w:b/>
          <w:bCs/>
        </w:rPr>
        <w:t xml:space="preserve">renoncer</w:t>
      </w:r>
      <w:r>
        <w:t xml:space="preserve"> </w:t>
      </w:r>
      <w:r>
        <w:t xml:space="preserve">au reste jusqu’à avoir des preuves et des clients. Détail en</w:t>
      </w:r>
      <w:r>
        <w:t xml:space="preserve"> </w:t>
      </w:r>
      <w:r>
        <w:rPr>
          <w:b/>
          <w:bCs/>
        </w:rPr>
        <w:t xml:space="preserve">§9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bonne nouvelle :</w:t>
      </w:r>
      <w:r>
        <w:t xml:space="preserve"> </w:t>
      </w:r>
      <w:r>
        <w:t xml:space="preserve">presque toutes ces solutions sont</w:t>
      </w:r>
      <w:r>
        <w:t xml:space="preserve"> </w:t>
      </w:r>
      <w:r>
        <w:rPr>
          <w:b/>
          <w:bCs/>
        </w:rPr>
        <w:t xml:space="preserve">déjà dans vos docs</w:t>
      </w:r>
      <w:r>
        <w:t xml:space="preserve">. Le problème n’est pas le manque d’idées — c’est</w:t>
      </w:r>
      <w:r>
        <w:t xml:space="preserve"> </w:t>
      </w:r>
      <w:r>
        <w:rPr>
          <w:b/>
          <w:bCs/>
        </w:rPr>
        <w:t xml:space="preserve">l’absence de séquencement et de renoncement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5" w:name="X6ef900b687683e832543773a193ac39a9d7370e"/>
    <w:p>
      <w:pPr>
        <w:pStyle w:val="Heading2"/>
      </w:pPr>
      <w:r>
        <w:t xml:space="preserve">2. Le produit tel qu’il existe (pas tel qu’il est rêvé)</w:t>
      </w:r>
    </w:p>
    <w:bookmarkStart w:id="11" w:name="lapplication-le-code"/>
    <w:p>
      <w:pPr>
        <w:pStyle w:val="Heading3"/>
      </w:pPr>
      <w:r>
        <w:t xml:space="preserve">2.1 L’application (le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Constat vérifié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149 pages, 182 routes routées</w:t>
            </w:r>
          </w:p>
        </w:tc>
        <w:tc>
          <w:tcPr/>
          <w:p>
            <w:pPr>
              <w:pStyle w:val="Compact"/>
            </w:pPr>
            <w:r>
              <w:t xml:space="preserve">Couverture fonctionnelle large, cohérente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React 19 · Vite · Tailwind · Zustand · Recharts</w:t>
            </w:r>
          </w:p>
        </w:tc>
        <w:tc>
          <w:tcPr/>
          <w:p>
            <w:pPr>
              <w:pStyle w:val="Compact"/>
            </w:pPr>
            <w:r>
              <w:t xml:space="preserve">Front moderne, maintenable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Aucun</w:t>
            </w:r>
            <w:r>
              <w:t xml:space="preserve"> </w:t>
            </w:r>
            <w:r>
              <w:t xml:space="preserve">— 0 appel</w:t>
            </w:r>
            <w:r>
              <w:t xml:space="preserve"> </w:t>
            </w:r>
            <w:r>
              <w:rPr>
                <w:rStyle w:val="VerbatimChar"/>
              </w:rPr>
              <w:t xml:space="preserve">fetch/axios</w:t>
            </w:r>
            <w:r>
              <w:t xml:space="preserve"> </w:t>
            </w:r>
            <w:r>
              <w:t xml:space="preserve">vers une API ;</w:t>
            </w:r>
            <w:r>
              <w:t xml:space="preserve"> </w:t>
            </w:r>
            <w:r>
              <w:rPr>
                <w:rStyle w:val="VerbatimChar"/>
              </w:rPr>
              <w:t xml:space="preserve">stripe.ts</w:t>
            </w:r>
            <w:r>
              <w:t xml:space="preserve">/</w:t>
            </w:r>
            <w:r>
              <w:rPr>
                <w:rStyle w:val="VerbatimChar"/>
              </w:rPr>
              <w:t xml:space="preserve">ajaxClient</w:t>
            </w:r>
            <w:r>
              <w:t xml:space="preserve"> </w:t>
            </w:r>
            <w:r>
              <w:t xml:space="preserve">= stubs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de produit serveur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22 fichiers mock + persistance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(Zustand)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Démo, pas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UX/design</w:t>
            </w:r>
          </w:p>
        </w:tc>
        <w:tc>
          <w:tcPr/>
          <w:p>
            <w:pPr>
              <w:pStyle w:val="Compact"/>
            </w:pPr>
            <w:r>
              <w:t xml:space="preserve">Design system cohérent, 508 fichiers TS/TSX</w:t>
            </w:r>
          </w:p>
        </w:tc>
        <w:tc>
          <w:tcPr/>
          <w:p>
            <w:pPr>
              <w:pStyle w:val="Compact"/>
            </w:pPr>
            <w:r>
              <w:t xml:space="preserve">Réel atout :</w:t>
            </w:r>
            <w:r>
              <w:t xml:space="preserve"> </w:t>
            </w:r>
            <w:r>
              <w:rPr>
                <w:b/>
                <w:bCs/>
              </w:rPr>
              <w:t xml:space="preserve">ça démo bien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:</w:t>
      </w:r>
      <w:r>
        <w:t xml:space="preserve"> </w:t>
      </w:r>
      <w:r>
        <w:t xml:space="preserve">l’app est un</w:t>
      </w:r>
      <w:r>
        <w:t xml:space="preserve"> </w:t>
      </w:r>
      <w:r>
        <w:rPr>
          <w:b/>
          <w:bCs/>
        </w:rPr>
        <w:t xml:space="preserve">prototype front-end de très bonne facture</w:t>
      </w:r>
      <w:r>
        <w:t xml:space="preserve"> </w:t>
      </w:r>
      <w:r>
        <w:t xml:space="preserve">— précieux pour la vente et la levée, mais</w:t>
      </w:r>
      <w:r>
        <w:t xml:space="preserve"> </w:t>
      </w:r>
      <w:r>
        <w:rPr>
          <w:b/>
          <w:bCs/>
        </w:rPr>
        <w:t xml:space="preserve">ce n’est pas un logiciel exploitable en production</w:t>
      </w:r>
      <w:r>
        <w:t xml:space="preserve">. Multi-tenant, auth, paiements, IA, analytics : tout le back reste à construire.</w:t>
      </w:r>
    </w:p>
    <w:bookmarkEnd w:id="11"/>
    <w:bookmarkStart w:id="12" w:name="la-maturité-de-la-spécification-les-cdc"/>
    <w:p>
      <w:pPr>
        <w:pStyle w:val="Heading3"/>
      </w:pPr>
      <w:r>
        <w:t xml:space="preserve">2.2 La maturité de la spécification (les CDC)</w:t>
      </w:r>
    </w:p>
    <w:p>
      <w:pPr>
        <w:pStyle w:val="FirstParagraph"/>
      </w:pPr>
      <w:r>
        <w:t xml:space="preserve">Le corpus de 16 cahiers est</w:t>
      </w:r>
      <w:r>
        <w:t xml:space="preserve"> </w:t>
      </w:r>
      <w:r>
        <w:rPr>
          <w:b/>
          <w:bCs/>
        </w:rPr>
        <w:t xml:space="preserve">large, cohérent, domaine-littéré</w:t>
      </w:r>
      <w:r>
        <w:t xml:space="preserve"> </w:t>
      </w:r>
      <w:r>
        <w:t xml:space="preserve">— au-dessus de la moyenne d’une équipe pré-seed. C’est un vrai signal positif (« ils comprennent le problème »). Mais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Effort cumulé estimé par les auteurs : ~3 700–4 000+ h de dev</w:t>
      </w:r>
      <w:r>
        <w:t xml:space="preserve">, à livrer en</w:t>
      </w:r>
      <w:r>
        <w:t xml:space="preserve"> </w:t>
      </w:r>
      <w:r>
        <w:rPr>
          <w:b/>
          <w:bCs/>
        </w:rPr>
        <w:t xml:space="preserve">9 plugins WordPress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PLUGIN_DEPENDENCY_ANALYSIS.md</w:t>
      </w:r>
      <w:r>
        <w:t xml:space="preserve">), contre</w:t>
      </w:r>
      <w:r>
        <w:t xml:space="preserve"> </w:t>
      </w:r>
      <w:r>
        <w:rPr>
          <w:b/>
          <w:bCs/>
        </w:rPr>
        <w:t xml:space="preserve">une équipe de 2 fondateurs</w:t>
      </w:r>
      <w:r>
        <w:t xml:space="preserve">. C’est la</w:t>
      </w:r>
      <w:r>
        <w:t xml:space="preserve"> </w:t>
      </w:r>
      <w:r>
        <w:rPr>
          <w:b/>
          <w:bCs/>
        </w:rPr>
        <w:t xml:space="preserve">tension de viabilité n°1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Presque tous les cahiers sont « 🟢 spécification en cours » et « en attente validation Pierre » —</w:t>
      </w:r>
      <w:r>
        <w:t xml:space="preserve"> </w:t>
      </w:r>
      <w:r>
        <w:rPr>
          <w:b/>
          <w:bCs/>
        </w:rPr>
        <w:t xml:space="preserve">non signés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Staging explicite :</w:t>
      </w:r>
      <w:r>
        <w:t xml:space="preserve"> </w:t>
      </w:r>
      <w:r>
        <w:t xml:space="preserve">MVP (juil. 2026) = Passeport, Onboarding, Formation, Coaching, Gamification, coquille Enterprise, RGPD ; V1 (sept. 2026) = Projects SBO, Chatbot, Journal, Abonnements, 1res features IA ; V2 (déc. 2026) = IA avancée.</w:t>
      </w:r>
      <w:r>
        <w:t xml:space="preserve"> </w:t>
      </w:r>
      <w:r>
        <w:rPr>
          <w:b/>
          <w:bCs/>
        </w:rPr>
        <w:t xml:space="preserve">Les features qui justifient la valorisation sont toutes en V2/2027.</w:t>
      </w:r>
    </w:p>
    <w:bookmarkEnd w:id="12"/>
    <w:bookmarkStart w:id="13" w:name="le-moat-disséqué"/>
    <w:p>
      <w:pPr>
        <w:pStyle w:val="Heading3"/>
      </w:pPr>
      <w:r>
        <w:t xml:space="preserve">2.3 Le moat, disséqué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Brique de moat annoncée</w:t>
            </w:r>
          </w:p>
        </w:tc>
        <w:tc>
          <w:tcPr/>
          <w:p>
            <w:pPr>
              <w:pStyle w:val="Compact"/>
            </w:pPr>
            <w:r>
              <w:t xml:space="preserve">Réalité CDC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Passeport = actif données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LearnerCompetency</w:t>
            </w:r>
            <w:r>
              <w:t xml:space="preserve"> </w:t>
            </w:r>
            <w:r>
              <w:t xml:space="preserve">= niveau Dreyfus (int 1-5) +</w:t>
            </w:r>
            <w:r>
              <w:t xml:space="preserve"> </w:t>
            </w:r>
            <w:r>
              <w:rPr>
                <w:rStyle w:val="VerbatimChar"/>
              </w:rPr>
              <w:t xml:space="preserve">assessment_notes</w:t>
            </w:r>
            <w:r>
              <w:t xml:space="preserve"> </w:t>
            </w:r>
            <w:r>
              <w:t xml:space="preserve">libre.</w:t>
            </w:r>
            <w:r>
              <w:t xml:space="preserve"> </w:t>
            </w:r>
            <w:r>
              <w:rPr>
                <w:b/>
                <w:bCs/>
              </w:rPr>
              <w:t xml:space="preserve">Pas de clé étrangère vers une preuve.</w:t>
            </w:r>
            <w:r>
              <w:t xml:space="preserve"> </w:t>
            </w:r>
            <w:r>
              <w:t xml:space="preserve">La preuve n’existe que comme blob JSON optionnel + enum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Schéma, pas actif.</w:t>
            </w:r>
            <w:r>
              <w:t xml:space="preserve"> </w:t>
            </w:r>
            <w:r>
              <w:t xml:space="preserve">Défaut structurel (cf. mémoire interne</w:t>
            </w:r>
            <w:r>
              <w:t xml:space="preserve"> </w:t>
            </w:r>
            <w:r>
              <w:rPr>
                <w:rStyle w:val="VerbatimChar"/>
              </w:rPr>
              <w:t xml:space="preserve">project_passeport_evidence_gap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Preuve par projet (JAC)</w:t>
            </w:r>
          </w:p>
        </w:tc>
        <w:tc>
          <w:tcPr/>
          <w:p>
            <w:pPr>
              <w:pStyle w:val="Compact"/>
            </w:pPr>
            <w:r>
              <w:t xml:space="preserve">Le</w:t>
            </w:r>
            <w:r>
              <w:t xml:space="preserve"> </w:t>
            </w:r>
            <w:r>
              <w:rPr>
                <w:b/>
                <w:bCs/>
              </w:rPr>
              <w:t xml:space="preserve">JAC</w:t>
            </w:r>
            <w:r>
              <w:t xml:space="preserve"> </w:t>
            </w:r>
            <w:r>
              <w:t xml:space="preserve">(Jalon d’Application Critique, cahier 11) est un vrai objet de preuve (</w:t>
            </w:r>
            <w:r>
              <w:rPr>
                <w:rStyle w:val="VerbatimChar"/>
              </w:rPr>
              <w:t xml:space="preserve">deliverable_url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rubric_score</w:t>
            </w:r>
            <w:r>
              <w:t xml:space="preserve">, validateur expert).</w:t>
            </w:r>
            <w:r>
              <w:t xml:space="preserve"> </w:t>
            </w:r>
            <w:r>
              <w:rPr>
                <w:b/>
                <w:bCs/>
              </w:rPr>
              <w:t xml:space="preserve">Mais</w:t>
            </w:r>
            <w:r>
              <w:t xml:space="preserve"> </w:t>
            </w:r>
            <w:r>
              <w:t xml:space="preserve">il vit dans un autre module, couplé de façon lâche, et</w:t>
            </w:r>
            <w:r>
              <w:t xml:space="preserve"> </w:t>
            </w:r>
            <w:r>
              <w:rPr>
                <w:b/>
                <w:bCs/>
              </w:rPr>
              <w:t xml:space="preserve">ne se matérialise qu’avec des clients payants lançant de vrais projets (V1+)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Réel en design, vide au lancement.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 IA talents-projets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Manuel au MVP</w:t>
            </w:r>
            <w:r>
              <w:t xml:space="preserve"> </w:t>
            </w:r>
            <w:r>
              <w:t xml:space="preserve">(« un consultant TLS affecte à la main »). L’auto-configuration IA est « V2+ Vision », déclarée « TOO COMPLEX to validate now » — alors que le cahier dit qu’elle « justifie toute la plateforme ».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Roadmap, pas produit.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intelligence / analytics</w:t>
            </w:r>
          </w:p>
        </w:tc>
        <w:tc>
          <w:tcPr/>
          <w:p>
            <w:pPr>
              <w:pStyle w:val="Compact"/>
            </w:pPr>
            <w:r>
              <w:t xml:space="preserve">Cahier 10 à</w:t>
            </w:r>
            <w:r>
              <w:t xml:space="preserve"> </w:t>
            </w:r>
            <w:r>
              <w:rPr>
                <w:b/>
                <w:bCs/>
              </w:rPr>
              <w:t xml:space="preserve">~0 %</w:t>
            </w:r>
            <w:r>
              <w:t xml:space="preserve">, dépendant de</w:t>
            </w:r>
            <w:r>
              <w:t xml:space="preserve"> </w:t>
            </w:r>
            <w:r>
              <w:rPr>
                <w:i/>
                <w:iCs/>
              </w:rPr>
              <w:t xml:space="preserve">tous</w:t>
            </w:r>
            <w:r>
              <w:t xml:space="preserve"> </w:t>
            </w:r>
            <w:r>
              <w:t xml:space="preserve">les plugins émettant des événements. Dépendance circulaire, back-loaded.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Absent.</w:t>
            </w:r>
            <w:r>
              <w:t xml:space="preserve"> </w:t>
            </w:r>
            <w:r>
              <w:t xml:space="preserve">Or il sous-tend les alertes churn, l’org intelligence, le récit ROI entreprise.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Intégrations SIRH/CRM (lock-in)</w:t>
            </w:r>
          </w:p>
        </w:tc>
        <w:tc>
          <w:tcPr/>
          <w:p>
            <w:pPr>
              <w:pStyle w:val="Compact"/>
            </w:pPr>
            <w:r>
              <w:t xml:space="preserve">Reportées</w:t>
            </w:r>
            <w:r>
              <w:t xml:space="preserve"> </w:t>
            </w:r>
            <w:r>
              <w:rPr>
                <w:b/>
                <w:bCs/>
              </w:rPr>
              <w:t xml:space="preserve">V4+</w:t>
            </w:r>
            <w:r>
              <w:t xml:space="preserve">. Pas de sync HRIS au MVP — que les acheteurs L&amp;D entreprise attendent pourtant.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Reporté.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Synthèse produit :</w:t>
      </w:r>
      <w:r>
        <w:t xml:space="preserve"> </w:t>
      </w:r>
      <w:r>
        <w:t xml:space="preserve">au lancement, TLS est une</w:t>
      </w:r>
      <w:r>
        <w:t xml:space="preserve"> </w:t>
      </w:r>
      <w:r>
        <w:rPr>
          <w:b/>
          <w:bCs/>
        </w:rPr>
        <w:t xml:space="preserve">plateforme learning + coaching compétente, avec un bras services</w:t>
      </w:r>
      <w:r>
        <w:t xml:space="preserve"> </w:t>
      </w:r>
      <w:r>
        <w:t xml:space="preserve">; le</w:t>
      </w:r>
      <w:r>
        <w:t xml:space="preserve"> </w:t>
      </w:r>
      <w:r>
        <w:rPr>
          <w:b/>
          <w:bCs/>
        </w:rPr>
        <w:t xml:space="preserve">« OS des SBO » différenciant est une promesse</w:t>
      </w:r>
      <w:r>
        <w:t xml:space="preserve">, gated derrière des process manuels, un analytics non construit, et un volume de projets clients qui n’existe pas encore.</w:t>
      </w:r>
    </w:p>
    <w:bookmarkEnd w:id="13"/>
    <w:bookmarkStart w:id="14" w:name="Xbcd2a6123c1381d9d4ab5dbf9a23ac1c043a556"/>
    <w:p>
      <w:pPr>
        <w:pStyle w:val="Heading3"/>
      </w:pPr>
      <w:r>
        <w:t xml:space="preserve">2.4 Risque réglementaire sous-évalué (à provisionner)</w:t>
      </w:r>
    </w:p>
    <w:p>
      <w:pPr>
        <w:pStyle w:val="FirstParagraph"/>
      </w:pPr>
      <w:r>
        <w:t xml:space="preserve">Le scoring de compétences (niveaux Dreyfus), le matching talent-projet et la prédiction de churn sont des usages</w:t>
      </w:r>
      <w:r>
        <w:t xml:space="preserve"> </w:t>
      </w:r>
      <w:r>
        <w:rPr>
          <w:b/>
          <w:bCs/>
        </w:rPr>
        <w:t xml:space="preserve">« à haut risque » au sens de l’Annexe III de l’AI Act</w:t>
      </w:r>
      <w:r>
        <w:t xml:space="preserve"> </w:t>
      </w:r>
      <w:r>
        <w:t xml:space="preserve">(éducation/formation professionnelle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t xml:space="preserve">emploi/gestion des travailleurs/allocation des tâches). Les CDC ne scoping la conformité IA que comme</w:t>
      </w:r>
      <w:r>
        <w:t xml:space="preserve"> </w:t>
      </w:r>
      <w:r>
        <w:rPr>
          <w:b/>
          <w:bCs/>
        </w:rPr>
        <w:t xml:space="preserve">transparence (label + override + bias monitoring)</w:t>
      </w:r>
      <w:r>
        <w:t xml:space="preserve"> </w:t>
      </w:r>
      <w:r>
        <w:t xml:space="preserve">— le haut risque déclenche</w:t>
      </w:r>
      <w:r>
        <w:t xml:space="preserve"> </w:t>
      </w:r>
      <w:r>
        <w:rPr>
          <w:b/>
          <w:bCs/>
        </w:rPr>
        <w:t xml:space="preserve">évaluation de conformité, système de gestion des risques, gouvernance des données, supervision humaine documentée</w:t>
      </w:r>
      <w:r>
        <w:t xml:space="preserve">, bien au-delà.</w:t>
      </w:r>
      <w:r>
        <w:t xml:space="preserve"> </w:t>
      </w:r>
      <w:r>
        <w:rPr>
          <w:b/>
          <w:bCs/>
        </w:rPr>
        <w:t xml:space="preserve">Aucun cahier n’évalue cette exposition.</w:t>
      </w:r>
      <w:r>
        <w:t xml:space="preserve"> </w:t>
      </w:r>
      <w:r>
        <w:t xml:space="preserve">C’est un risque sous-provisionné, d’autant que le marketing s’appuie sur « conforme AI Act » comme argument.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e0a069cf3e1e4de51ae9f999a6841ebcddfd272"/>
    <w:p>
      <w:pPr>
        <w:pStyle w:val="Heading2"/>
      </w:pPr>
      <w:r>
        <w:t xml:space="preserve">3. Le marché (France, contexte Europe) — chiffré et sourcé</w:t>
      </w:r>
    </w:p>
    <w:p>
      <w:pPr>
        <w:pStyle w:val="BlockText"/>
      </w:pPr>
      <w:r>
        <w:t xml:space="preserve">Toutes les valeurs ci-dessous sont externes et sourcées (Annexe C). Niveau de confiance indiqué.</w:t>
      </w:r>
    </w:p>
    <w:bookmarkStart w:id="16" w:name="tailles-de-marché"/>
    <w:p>
      <w:pPr>
        <w:pStyle w:val="Heading3"/>
      </w:pPr>
      <w:r>
        <w:t xml:space="preserve">3.1 Tailles de marché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Confiance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 — dépense nationale formation + apprentissage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56,6 Md€</w:t>
            </w:r>
            <w:r>
              <w:t xml:space="preserve"> </w:t>
            </w:r>
            <w:r>
              <w:t xml:space="preserve">(1,94 % du PIB)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DARES / Insee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dont</w:t>
            </w:r>
            <w:r>
              <w:t xml:space="preserve"> </w:t>
            </w:r>
            <w:r>
              <w:rPr>
                <w:b/>
                <w:bCs/>
              </w:rPr>
              <w:t xml:space="preserve">financement direct entreprises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16,4 Md€ (29 %)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~29 Md€</w:t>
            </w:r>
            <w:r>
              <w:t xml:space="preserve"> </w:t>
            </w:r>
            <w:r>
              <w:t xml:space="preserve">avec OPCO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DARES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 — CA filière EdTech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1,8 Md€</w:t>
            </w:r>
            <w:r>
              <w:t xml:space="preserve"> </w:t>
            </w:r>
            <w:r>
              <w:t xml:space="preserve">(+6 %/an, en décélération depuis +11 %/an)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EY-Parthenon × EdTech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dont</w:t>
            </w:r>
            <w:r>
              <w:t xml:space="preserve"> </w:t>
            </w:r>
            <w:r>
              <w:rPr>
                <w:b/>
                <w:bCs/>
              </w:rPr>
              <w:t xml:space="preserve">corporate/professionnel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~66 %</w:t>
            </w:r>
            <w:r>
              <w:t xml:space="preserve"> </w:t>
            </w:r>
            <w:r>
              <w:t xml:space="preserve">(44 % formation pro + 22 % corporate B2B)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  <w:tc>
          <w:tcPr/>
          <w:p>
            <w:pPr>
              <w:pStyle w:val="Compact"/>
            </w:pPr>
            <w:r>
              <w:t xml:space="preserve">EY-Parthenon / AEF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Europe — LMS corporate</w:t>
            </w:r>
          </w:p>
        </w:tc>
        <w:tc>
          <w:tcPr/>
          <w:p>
            <w:pPr>
              <w:pStyle w:val="Compact"/>
            </w:pPr>
            <w:r>
              <w:t xml:space="preserve">~8,4 Md$ (2024) → ~10,1 Md$ (2025), CAGR ~19 %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Straits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Monde — LMS corporate / LXP</w:t>
            </w:r>
          </w:p>
        </w:tc>
        <w:tc>
          <w:tcPr/>
          <w:p>
            <w:pPr>
              <w:pStyle w:val="Compact"/>
            </w:pPr>
            <w:r>
              <w:t xml:space="preserve">~15 Md$ / ~3,7 Md$ (2025), CAGR ~20-23 %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  <w:tc>
          <w:tcPr/>
          <w:p>
            <w:pPr>
              <w:pStyle w:val="Compact"/>
            </w:pPr>
            <w:r>
              <w:t xml:space="preserve">vendors (variance élevée)</w:t>
            </w:r>
          </w:p>
        </w:tc>
      </w:tr>
    </w:tbl>
    <w:p>
      <w:pPr>
        <w:pStyle w:val="BlockText"/>
      </w:pPr>
      <w:r>
        <w:t xml:space="preserve">⚠️ Le chiffre «</w:t>
      </w:r>
      <w:r>
        <w:t xml:space="preserve"> </w:t>
      </w:r>
      <w:r>
        <w:rPr>
          <w:b/>
          <w:bCs/>
        </w:rPr>
        <w:t xml:space="preserve">7,88 Md€ EdTech France</w:t>
      </w:r>
      <w:r>
        <w:t xml:space="preserve"> </w:t>
      </w:r>
      <w:r>
        <w:t xml:space="preserve">» d’un doc interne est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(chiffre global mal étiqueté). Le «</w:t>
      </w:r>
      <w:r>
        <w:t xml:space="preserve"> </w:t>
      </w:r>
      <w:r>
        <w:rPr>
          <w:b/>
          <w:bCs/>
        </w:rPr>
        <w:t xml:space="preserve">320 Md$ marché français</w:t>
      </w:r>
      <w:r>
        <w:t xml:space="preserve"> </w:t>
      </w:r>
      <w:r>
        <w:t xml:space="preserve">» l’est aussi. Ne jamais les propager (cf. Annexe B).</w:t>
      </w:r>
    </w:p>
    <w:p>
      <w:pPr>
        <w:pStyle w:val="FirstParagraph"/>
      </w:pPr>
      <w:r>
        <w:rPr>
          <w:b/>
          <w:bCs/>
        </w:rPr>
        <w:t xml:space="preserve">Lecture TAM/SAM/SOM (ordre de grandeur, illustratif)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</w:t>
      </w:r>
      <w:r>
        <w:t xml:space="preserve"> </w:t>
      </w:r>
      <w:r>
        <w:t xml:space="preserve">(le pot où l’argent coule vraiment) :</w:t>
      </w:r>
      <w:r>
        <w:t xml:space="preserve"> </w:t>
      </w:r>
      <w:r>
        <w:rPr>
          <w:b/>
          <w:bCs/>
        </w:rPr>
        <w:t xml:space="preserve">~29 Md€</w:t>
      </w:r>
      <w:r>
        <w:t xml:space="preserve"> </w:t>
      </w:r>
      <w:r>
        <w:t xml:space="preserve">de budget L&amp;D entreprise/OPCO français ; ou, côté vendeurs,</w:t>
      </w:r>
      <w:r>
        <w:t xml:space="preserve"> </w:t>
      </w:r>
      <w:r>
        <w:rPr>
          <w:b/>
          <w:bCs/>
        </w:rPr>
        <w:t xml:space="preserve">~1,2 Md€</w:t>
      </w:r>
      <w:r>
        <w:t xml:space="preserve"> </w:t>
      </w:r>
      <w:r>
        <w:t xml:space="preserve">de CA EdTech-corporate français (66 % × 1,8 Md€).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</w:t>
      </w:r>
      <w:r>
        <w:t xml:space="preserve"> </w:t>
      </w:r>
      <w:r>
        <w:t xml:space="preserve">(adressable par une couche skills/pédagogie + IA pour ETI mid-market &amp; OF) :</w:t>
      </w:r>
      <w:r>
        <w:t xml:space="preserve"> </w:t>
      </w:r>
      <w:r>
        <w:rPr>
          <w:b/>
          <w:bCs/>
        </w:rPr>
        <w:t xml:space="preserve">fraction basse</w:t>
      </w:r>
      <w:r>
        <w:t xml:space="preserve"> </w:t>
      </w:r>
      <w:r>
        <w:t xml:space="preserve">— les ETI 200-2 000 et OF cherchant à outiller la SBO + littératie IA. Estimation prudente</w:t>
      </w:r>
      <w:r>
        <w:t xml:space="preserve"> </w:t>
      </w:r>
      <w:r>
        <w:rPr>
          <w:b/>
          <w:bCs/>
        </w:rPr>
        <w:t xml:space="preserve">ordre de grandeur 100-300 M€/an</w:t>
      </w:r>
      <w:r>
        <w:t xml:space="preserve"> </w:t>
      </w:r>
      <w:r>
        <w:t xml:space="preserve">de dépense adressable (à affiner ;</w:t>
      </w:r>
      <w:r>
        <w:t xml:space="preserve"> </w:t>
      </w:r>
      <w:r>
        <w:rPr>
          <w:i/>
          <w:iCs/>
        </w:rPr>
        <w:t xml:space="preserve">estimation, non sourcée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SOM</w:t>
      </w:r>
      <w:r>
        <w:t xml:space="preserve"> </w:t>
      </w:r>
      <w:r>
        <w:t xml:space="preserve">(réaliste, 3 ans, boutique bootstrapped à 2 → petite équipe) :</w:t>
      </w:r>
      <w:r>
        <w:t xml:space="preserve"> </w:t>
      </w:r>
      <w:r>
        <w:rPr>
          <w:b/>
          <w:bCs/>
        </w:rPr>
        <w:t xml:space="preserve">~0,3 → 1,5 M€ de CA</w:t>
      </w:r>
      <w:r>
        <w:t xml:space="preserve">, dominé au départ par les services, avec une composante SaaS croissante</w:t>
      </w:r>
      <w:r>
        <w:t xml:space="preserve"> </w:t>
      </w:r>
      <w:r>
        <w:rPr>
          <w:i/>
          <w:iCs/>
        </w:rPr>
        <w:t xml:space="preserve">si</w:t>
      </w:r>
      <w:r>
        <w:t xml:space="preserve"> </w:t>
      </w:r>
      <w:r>
        <w:t xml:space="preserve">le wedge prend. Le plan interne à</w:t>
      </w:r>
      <w:r>
        <w:t xml:space="preserve"> </w:t>
      </w:r>
      <w:r>
        <w:rPr>
          <w:b/>
          <w:bCs/>
        </w:rPr>
        <w:t xml:space="preserve">260 700 €</w:t>
      </w:r>
      <w:r>
        <w:t xml:space="preserve"> </w:t>
      </w:r>
      <w:r>
        <w:t xml:space="preserve">est un SOM an-1 crédible</w:t>
      </w:r>
      <w:r>
        <w:t xml:space="preserve"> </w:t>
      </w:r>
      <w:r>
        <w:rPr>
          <w:b/>
          <w:bCs/>
        </w:rPr>
        <w:t xml:space="preserve">côté services</w:t>
      </w:r>
      <w:r>
        <w:t xml:space="preserve"> </w:t>
      </w:r>
      <w:r>
        <w:t xml:space="preserve">; le SaaS reste à prouver.</w:t>
      </w:r>
    </w:p>
    <w:bookmarkEnd w:id="16"/>
    <w:bookmarkStart w:id="17" w:name="X3b21c870ab87e1f4df11bb080feb9d3f81dc11e"/>
    <w:p>
      <w:pPr>
        <w:pStyle w:val="Heading3"/>
      </w:pPr>
      <w:r>
        <w:t xml:space="preserve">3.2 Santé de la filière EdTech FR — un marché qui mûrit et se serre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~550 entreprises EdTech, ~16 000 emplois</w:t>
      </w:r>
      <w:r>
        <w:t xml:space="preserve"> </w:t>
      </w:r>
      <w:r>
        <w:t xml:space="preserve">(2025), vs ~500/10 000 en 2021.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Dé-concentration favorable :</w:t>
      </w:r>
      <w:r>
        <w:t xml:space="preserve"> </w:t>
      </w:r>
      <w:r>
        <w:t xml:space="preserve">part de CA du top-20 tombée de</w:t>
      </w:r>
      <w:r>
        <w:t xml:space="preserve"> </w:t>
      </w:r>
      <w:r>
        <w:rPr>
          <w:b/>
          <w:bCs/>
        </w:rPr>
        <w:t xml:space="preserve">70 % (2021) → 58 % (2023) → 50 % (2025)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 la place pour un acteur mid-size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Hiver du financement :</w:t>
      </w:r>
      <w:r>
        <w:t xml:space="preserve"> </w:t>
      </w:r>
      <w:r>
        <w:t xml:space="preserve">levées EdTech FR au pic</w:t>
      </w:r>
      <w:r>
        <w:t xml:space="preserve"> </w:t>
      </w:r>
      <w:r>
        <w:rPr>
          <w:b/>
          <w:bCs/>
        </w:rPr>
        <w:t xml:space="preserve">~438 M€ (2021)</w:t>
      </w:r>
      <w:r>
        <w:t xml:space="preserve">,</w:t>
      </w:r>
      <w:r>
        <w:t xml:space="preserve"> </w:t>
      </w:r>
      <w:r>
        <w:rPr>
          <w:b/>
          <w:bCs/>
        </w:rPr>
        <w:t xml:space="preserve">~−66 % depuis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48 % des EdTech</w:t>
      </w:r>
      <w:r>
        <w:t xml:space="preserve"> </w:t>
      </w:r>
      <w:r>
        <w:t xml:space="preserve">signalent un accès public réduit ;</w:t>
      </w:r>
      <w:r>
        <w:t xml:space="preserve"> </w:t>
      </w:r>
      <w:r>
        <w:rPr>
          <w:b/>
          <w:bCs/>
        </w:rPr>
        <w:t xml:space="preserve">12+ M&amp;A</w:t>
      </w:r>
      <w:r>
        <w:t xml:space="preserve"> </w:t>
      </w:r>
      <w:r>
        <w:t xml:space="preserve">depuis 2023. VC français tous secteurs</w:t>
      </w:r>
      <w:r>
        <w:t xml:space="preserve"> </w:t>
      </w:r>
      <w:r>
        <w:rPr>
          <w:b/>
          <w:bCs/>
        </w:rPr>
        <w:t xml:space="preserve">−35 % en valeur au S1 2025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Rounds récents pertinents :</w:t>
      </w:r>
      <w:r>
        <w:t xml:space="preserve"> </w:t>
      </w:r>
      <w:r>
        <w:t xml:space="preserve">Didask</w:t>
      </w:r>
      <w:r>
        <w:t xml:space="preserve"> </w:t>
      </w:r>
      <w:r>
        <w:rPr>
          <w:b/>
          <w:bCs/>
        </w:rPr>
        <w:t xml:space="preserve">10 M€</w:t>
      </w:r>
      <w:r>
        <w:t xml:space="preserve"> </w:t>
      </w:r>
      <w:r>
        <w:t xml:space="preserve">(mai 2025, IA + sciences cognitives —</w:t>
      </w:r>
      <w:r>
        <w:t xml:space="preserve"> </w:t>
      </w:r>
      <w:r>
        <w:rPr>
          <w:i/>
          <w:iCs/>
        </w:rPr>
        <w:t xml:space="preserve">le plus adjacent à vous</w:t>
      </w:r>
      <w:r>
        <w:t xml:space="preserve">) ; 360Learning</w:t>
      </w:r>
      <w:r>
        <w:t xml:space="preserve"> </w:t>
      </w:r>
      <w:r>
        <w:rPr>
          <w:b/>
          <w:bCs/>
        </w:rPr>
        <w:t xml:space="preserve">~60 M$ d’ARR</w:t>
      </w:r>
      <w:r>
        <w:t xml:space="preserve">, ~243 M$ levés ; Edflex</w:t>
      </w:r>
      <w:r>
        <w:t xml:space="preserve"> </w:t>
      </w:r>
      <w:r>
        <w:rPr>
          <w:b/>
          <w:bCs/>
        </w:rPr>
        <w:t xml:space="preserve">18 M$</w:t>
      </w:r>
      <w:r>
        <w:t xml:space="preserve"> </w:t>
      </w:r>
      <w:r>
        <w:t xml:space="preserve">(oct. 2025).</w:t>
      </w:r>
    </w:p>
    <w:p>
      <w:pPr>
        <w:pStyle w:val="FirstParagraph"/>
      </w:pPr>
      <w:r>
        <w:rPr>
          <w:b/>
          <w:bCs/>
        </w:rPr>
        <w:t xml:space="preserve">Implication :</w:t>
      </w:r>
      <w:r>
        <w:t xml:space="preserve"> </w:t>
      </w:r>
      <w:r>
        <w:t xml:space="preserve">marché en maturation, discipliné sur les coûts, avec une</w:t>
      </w:r>
      <w:r>
        <w:t xml:space="preserve"> </w:t>
      </w:r>
      <w:r>
        <w:rPr>
          <w:b/>
          <w:bCs/>
        </w:rPr>
        <w:t xml:space="preserve">vraie ouverture pour un entrant différencié mid-size</w:t>
      </w:r>
      <w:r>
        <w:t xml:space="preserve"> </w:t>
      </w:r>
      <w:r>
        <w:t xml:space="preserve">— mais</w:t>
      </w:r>
      <w:r>
        <w:t xml:space="preserve"> </w:t>
      </w:r>
      <w:r>
        <w:rPr>
          <w:b/>
          <w:bCs/>
        </w:rPr>
        <w:t xml:space="preserve">capital late-stage rare</w:t>
      </w:r>
      <w:r>
        <w:t xml:space="preserve">. Le pari « lever gros pour bâtir vite » est le moins probable des chemins.</w:t>
      </w:r>
    </w:p>
    <w:bookmarkEnd w:id="17"/>
    <w:bookmarkStart w:id="18" w:name="Xd5a22a33a1fec941de6b7ecd07b8e6bbbcdaa05"/>
    <w:p>
      <w:pPr>
        <w:pStyle w:val="Heading3"/>
      </w:pPr>
      <w:r>
        <w:t xml:space="preserve">3.3 La SBO — catégorie réelle, mais naissante (surtout en France)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Preuves macro (Deloitte, enquête mai-juin 2022) :</w:t>
      </w:r>
      <w:r>
        <w:t xml:space="preserve"> </w:t>
      </w:r>
      <w:r>
        <w:t xml:space="preserve">les organisations à pratiques skills-based sont</w:t>
      </w:r>
      <w:r>
        <w:t xml:space="preserve"> </w:t>
      </w:r>
      <w:r>
        <w:rPr>
          <w:b/>
          <w:bCs/>
        </w:rPr>
        <w:t xml:space="preserve">+52 % à innover, +57 % à anticiper le changement, +63 % à atteindre leurs résultats, +107 % à bien placer les talents, +98 % à retenir les hauts performeurs</w:t>
      </w:r>
      <w:r>
        <w:t xml:space="preserve">. ⚠️</w:t>
      </w:r>
      <w:r>
        <w:t xml:space="preserve"> </w:t>
      </w:r>
      <w:r>
        <w:rPr>
          <w:b/>
          <w:bCs/>
        </w:rPr>
        <w:t xml:space="preserve">Ce sont 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probabilités relatives</w:t>
      </w:r>
      <w:r>
        <w:rPr>
          <w:b/>
          <w:bCs/>
        </w:rPr>
        <w:t xml:space="preserve"> </w:t>
      </w:r>
      <w:r>
        <w:rPr>
          <w:b/>
          <w:bCs/>
        </w:rPr>
        <w:t xml:space="preserve">vs non-adopteurs, corrélationnelles, échantillon US</w:t>
      </w:r>
      <w:r>
        <w:t xml:space="preserve"> </w:t>
      </w:r>
      <w:r>
        <w:t xml:space="preserve">— évidence directionnelle, pas ROI causal.</w:t>
      </w:r>
      <w:r>
        <w:t xml:space="preserve"> </w:t>
      </w:r>
      <w:r>
        <w:rPr>
          <w:b/>
          <w:bCs/>
        </w:rPr>
        <w:t xml:space="preserve">Ne pas survendre.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Adoption réelle (Mercer 2024/25, global) :</w:t>
      </w:r>
      <w:r>
        <w:t xml:space="preserve"> </w:t>
      </w:r>
      <w:r>
        <w:t xml:space="preserve">skills-based par domaine —</w:t>
      </w:r>
      <w:r>
        <w:t xml:space="preserve"> </w:t>
      </w:r>
      <w:r>
        <w:rPr>
          <w:b/>
          <w:bCs/>
        </w:rPr>
        <w:t xml:space="preserve">Learning 30 %, Perf 28 %, Career 28 %, Recrutement 27 %, Workforce planning 21 %, Rémunération 19 %</w:t>
      </w:r>
      <w:r>
        <w:t xml:space="preserve">. Freins :</w:t>
      </w:r>
      <w:r>
        <w:t xml:space="preserve"> </w:t>
      </w:r>
      <w:r>
        <w:rPr>
          <w:b/>
          <w:bCs/>
        </w:rPr>
        <w:t xml:space="preserve">capacité RH 40 %, trop de changement 38 %, coût 30 %</w:t>
      </w:r>
      <w:r>
        <w:t xml:space="preserve">. Fondations qui montent (38 % ont une skills library, 55 % mappent skills↔postes) mais</w:t>
      </w:r>
      <w:r>
        <w:t xml:space="preserve"> </w:t>
      </w:r>
      <w:r>
        <w:rPr>
          <w:b/>
          <w:bCs/>
        </w:rPr>
        <w:t xml:space="preserve">début de courbe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France : le discours devance la pratique.</w:t>
      </w:r>
      <w:r>
        <w:t xml:space="preserve"> </w:t>
      </w:r>
      <w:r>
        <w:t xml:space="preserve">Confirmé par les autorités (ANDRH, Neobrain « état des lieux en France » 2025-26) et par 2 études FR 2026.</w:t>
      </w:r>
      <w:r>
        <w:t xml:space="preserve"> </w:t>
      </w:r>
      <w:r>
        <w:rPr>
          <w:b/>
          <w:bCs/>
        </w:rPr>
        <w:t xml:space="preserve">Écart de maturité US → Europe → France.</w:t>
      </w:r>
    </w:p>
    <w:p>
      <w:pPr>
        <w:pStyle w:val="FirstParagraph"/>
      </w:pPr>
      <w:r>
        <w:rPr>
          <w:b/>
          <w:bCs/>
        </w:rPr>
        <w:t xml:space="preserve">C’est le double tranchant central :</w:t>
      </w:r>
      <w:r>
        <w:t xml:space="preserve"> </w:t>
      </w:r>
      <w:r>
        <w:t xml:space="preserve">la France est en</w:t>
      </w:r>
      <w:r>
        <w:t xml:space="preserve"> </w:t>
      </w:r>
      <w:r>
        <w:rPr>
          <w:b/>
          <w:bCs/>
        </w:rPr>
        <w:t xml:space="preserve">territoire early-adopter</w:t>
      </w:r>
      <w:r>
        <w:t xml:space="preserve"> </w:t>
      </w:r>
      <w:r>
        <w:t xml:space="preserve">→ à la fois le</w:t>
      </w:r>
      <w:r>
        <w:t xml:space="preserve"> </w:t>
      </w:r>
      <w:r>
        <w:rPr>
          <w:b/>
          <w:bCs/>
        </w:rPr>
        <w:t xml:space="preserve">risque</w:t>
      </w:r>
      <w:r>
        <w:t xml:space="preserve"> </w:t>
      </w:r>
      <w:r>
        <w:t xml:space="preserve">(marché pas prêt, cycles longs, évangélisation) et la</w:t>
      </w:r>
      <w:r>
        <w:t xml:space="preserve"> </w:t>
      </w:r>
      <w:r>
        <w:rPr>
          <w:b/>
          <w:bCs/>
        </w:rPr>
        <w:t xml:space="preserve">fenêtre</w:t>
      </w:r>
      <w:r>
        <w:t xml:space="preserve"> </w:t>
      </w:r>
      <w:r>
        <w:t xml:space="preserve">(catégorie à nommer et posséder, place laissée par la dé-concentration).</w:t>
      </w:r>
    </w:p>
    <w:bookmarkEnd w:id="18"/>
    <w:bookmarkStart w:id="19" w:name="X77e910734ff970d40f7ca393ac4c71f14275a2e"/>
    <w:p>
      <w:pPr>
        <w:pStyle w:val="Heading3"/>
      </w:pPr>
      <w:r>
        <w:t xml:space="preserve">3.4 Le signal « SBO dans le L&amp;D français » — canal, pas seulement signal</w:t>
      </w:r>
    </w:p>
    <w:p>
      <w:pPr>
        <w:pStyle w:val="FirstParagraph"/>
      </w:pPr>
      <w:r>
        <w:t xml:space="preserve">La SBO est un</w:t>
      </w:r>
      <w:r>
        <w:t xml:space="preserve"> </w:t>
      </w:r>
      <w:r>
        <w:rPr>
          <w:b/>
          <w:bCs/>
        </w:rPr>
        <w:t xml:space="preserve">sujet chaud du L&amp;D/RH français</w:t>
      </w:r>
      <w:r>
        <w:t xml:space="preserve">, porté par des acteurs crédibles : Centre Inffo, Cegos (« organisation pilotée par les compétences »), Lefebvre Dalloz, podcasts ANDRH, Learn Assembly /</w:t>
      </w:r>
      <w:r>
        <w:t xml:space="preserve"> </w:t>
      </w:r>
      <w:r>
        <w:rPr>
          <w:i/>
          <w:iCs/>
        </w:rPr>
        <w:t xml:space="preserve">The Assembly</w:t>
      </w:r>
      <w:r>
        <w:t xml:space="preserve">, myRHline (« 63 podcasts RH 2026 »), Authentic Talent, Digital Learning Academy — avec des épisodes de terrain (ex. SBM Offshore, ~8 000 pers.).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La catégorie est évangélisée pour vous, gratuitement.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canal de distribution + thought leadership</w:t>
      </w:r>
      <w:r>
        <w:t xml:space="preserve">, parfait pour vos profils (le « Baromètre SBO France » de vos docs s’y insère).</w:t>
      </w:r>
    </w:p>
    <w:p>
      <w:pPr>
        <w:pStyle w:val="Compact"/>
        <w:numPr>
          <w:ilvl w:val="0"/>
          <w:numId w:val="100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la conversation appartient aux géants (Cegos, Lefebvre Dalloz, Neobrain, ANDRH) — vous y êtes une petite voix — et « le discours ne se convertit pas encore en achat d’infra ».</w:t>
      </w:r>
      <w:r>
        <w:t xml:space="preserve"> </w:t>
      </w:r>
      <w:r>
        <w:rPr>
          <w:b/>
          <w:bCs/>
        </w:rPr>
        <w:t xml:space="preserve">Le marché veut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comprendre</w:t>
      </w:r>
      <w:r>
        <w:rPr>
          <w:b/>
          <w:bCs/>
        </w:rPr>
        <w:t xml:space="preserve"> </w:t>
      </w:r>
      <w:r>
        <w:rPr>
          <w:b/>
          <w:bCs/>
        </w:rPr>
        <w:t xml:space="preserve">la SBO, pas encore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acheter un OS SBO</w:t>
      </w:r>
      <w:r>
        <w:rPr>
          <w:b/>
          <w:bCs/>
        </w:rPr>
        <w:t xml:space="preserve">.</w:t>
      </w:r>
    </w:p>
    <w:bookmarkEnd w:id="19"/>
    <w:bookmarkStart w:id="20" w:name="X6f9bf04624c3bbad21e9dd529fb38f79926de66"/>
    <w:p>
      <w:pPr>
        <w:pStyle w:val="Heading3"/>
      </w:pPr>
      <w:r>
        <w:t xml:space="preserve">3.5 AI Act Article 4 — vent porteur réel, à jouer honnêtement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vigueur depuis le 2 février 2025</w:t>
      </w:r>
      <w:r>
        <w:t xml:space="preserve"> </w:t>
      </w:r>
      <w:r>
        <w:t xml:space="preserve">: tout</w:t>
      </w:r>
      <w:r>
        <w:t xml:space="preserve"> </w:t>
      </w:r>
      <w:r>
        <w:rPr>
          <w:b/>
          <w:bCs/>
        </w:rPr>
        <w:t xml:space="preserve">fournisseur/déployeur</w:t>
      </w:r>
      <w:r>
        <w:t xml:space="preserve"> </w:t>
      </w:r>
      <w:r>
        <w:t xml:space="preserve">d’IA doit assurer une</w:t>
      </w:r>
      <w:r>
        <w:t xml:space="preserve"> </w:t>
      </w:r>
      <w:r>
        <w:rPr>
          <w:b/>
          <w:bCs/>
        </w:rPr>
        <w:t xml:space="preserve">« littératie IA suffisante »</w:t>
      </w:r>
      <w:r>
        <w:t xml:space="preserve"> </w:t>
      </w:r>
      <w:r>
        <w:t xml:space="preserve">à son personnel.</w:t>
      </w:r>
      <w:r>
        <w:t xml:space="preserve"> </w:t>
      </w:r>
      <w:r>
        <w:rPr>
          <w:b/>
          <w:bCs/>
        </w:rPr>
        <w:t xml:space="preserve">Aucun seuil d’effectif.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Contrôle national dès ~2-3 août 2026</w:t>
      </w:r>
      <w:r>
        <w:t xml:space="preserve"> </w:t>
      </w:r>
      <w:r>
        <w:t xml:space="preserve">(en France :</w:t>
      </w:r>
      <w:r>
        <w:t xml:space="preserve"> </w:t>
      </w:r>
      <w:r>
        <w:rPr>
          <w:b/>
          <w:bCs/>
        </w:rPr>
        <w:t xml:space="preserve">CNIL</w:t>
      </w:r>
      <w:r>
        <w:t xml:space="preserve">). Pas d’amende dédiée à l’Art. 4, mais plafonds AI Act (</w:t>
      </w:r>
      <w:r>
        <w:rPr>
          <w:b/>
          <w:bCs/>
        </w:rPr>
        <w:t xml:space="preserve">15 M€ / 3 % du CA mondial</w:t>
      </w:r>
      <w:r>
        <w:t xml:space="preserve">) qui cadrent le risque.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Taille du besoin FR (proxy adoption IA) :</w:t>
      </w:r>
      <w:r>
        <w:t xml:space="preserve"> </w:t>
      </w:r>
      <w:r>
        <w:t xml:space="preserve">~10 % des entreprises (2024) →</w:t>
      </w:r>
      <w:r>
        <w:t xml:space="preserve"> </w:t>
      </w:r>
      <w:r>
        <w:rPr>
          <w:b/>
          <w:bCs/>
        </w:rPr>
        <w:t xml:space="preserve">~18 %</w:t>
      </w:r>
      <w:r>
        <w:t xml:space="preserve"> </w:t>
      </w:r>
      <w:r>
        <w:t xml:space="preserve">des 10+ salariés (2025), ~33 % des 250+. La population à former</w:t>
      </w:r>
      <w:r>
        <w:t xml:space="preserve"> </w:t>
      </w:r>
      <w:r>
        <w:rPr>
          <w:b/>
          <w:bCs/>
        </w:rPr>
        <w:t xml:space="preserve">grossit mécaniquement</w:t>
      </w:r>
      <w:r>
        <w:t xml:space="preserve"> </w:t>
      </w:r>
      <w:r>
        <w:t xml:space="preserve">avec l’adoption. ⚠️</w:t>
      </w:r>
      <w:r>
        <w:t xml:space="preserve"> </w:t>
      </w:r>
      <w:r>
        <w:rPr>
          <w:b/>
          <w:bCs/>
        </w:rPr>
        <w:t xml:space="preserve">Distinguer l’obligation réelle</w:t>
      </w:r>
      <w:r>
        <w:t xml:space="preserve"> </w:t>
      </w:r>
      <w:r>
        <w:t xml:space="preserve">du</w:t>
      </w:r>
      <w:r>
        <w:t xml:space="preserve"> </w:t>
      </w:r>
      <w:r>
        <w:rPr>
          <w:b/>
          <w:bCs/>
        </w:rPr>
        <w:t xml:space="preserve">hype vendeur</w:t>
      </w:r>
      <w:r>
        <w:t xml:space="preserve"> </w:t>
      </w:r>
      <w:r>
        <w:t xml:space="preserve">(« 15 M€ d’amende par salarié non formé » = faux). Cohérent avec vos règles d’honnêteté.</w:t>
      </w:r>
    </w:p>
    <w:bookmarkEnd w:id="20"/>
    <w:bookmarkStart w:id="21" w:name="X235c0884c0763ddc370cad693c05a307c579d0e"/>
    <w:p>
      <w:pPr>
        <w:pStyle w:val="Heading3"/>
      </w:pPr>
      <w:r>
        <w:t xml:space="preserve">3.6 Mécanique de financement FR — orienter le go-to-market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CPF individuel en contraction structurelle :</w:t>
      </w:r>
      <w:r>
        <w:t xml:space="preserve"> </w:t>
      </w:r>
      <w:r>
        <w:t xml:space="preserve">reste à charge</w:t>
      </w:r>
      <w:r>
        <w:t xml:space="preserve"> </w:t>
      </w:r>
      <w:r>
        <w:rPr>
          <w:b/>
          <w:bCs/>
        </w:rPr>
        <w:t xml:space="preserve">100 € (mai 2024) → 150 € (avril 2026)</w:t>
      </w:r>
      <w:r>
        <w:t xml:space="preserve"> </w:t>
      </w:r>
      <w:r>
        <w:t xml:space="preserve">; entrées</w:t>
      </w:r>
      <w:r>
        <w:t xml:space="preserve"> </w:t>
      </w:r>
      <w:r>
        <w:rPr>
          <w:b/>
          <w:bCs/>
        </w:rPr>
        <w:t xml:space="preserve">~−30 %</w:t>
      </w:r>
      <w:r>
        <w:t xml:space="preserve"> </w:t>
      </w:r>
      <w:r>
        <w:t xml:space="preserve">puis</w:t>
      </w:r>
      <w:r>
        <w:t xml:space="preserve"> </w:t>
      </w:r>
      <w:r>
        <w:rPr>
          <w:b/>
          <w:bCs/>
        </w:rPr>
        <w:t xml:space="preserve">−11 %</w:t>
      </w:r>
      <w:r>
        <w:t xml:space="preserve"> </w:t>
      </w:r>
      <w:r>
        <w:t xml:space="preserve">(2025).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France compétences −1,6 %</w:t>
      </w:r>
      <w:r>
        <w:t xml:space="preserve"> </w:t>
      </w:r>
      <w:r>
        <w:t xml:space="preserve">(13,06 → 12,84 Md€) ; environnement de</w:t>
      </w:r>
      <w:r>
        <w:t xml:space="preserve"> </w:t>
      </w:r>
      <w:r>
        <w:rPr>
          <w:b/>
          <w:bCs/>
        </w:rPr>
        <w:t xml:space="preserve">consolidation des coûts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→ Ancrer le go-to-market sur le plan de développement des compétences + budget OPCO B2B (~29 Md€), pas sur le CPF individuel.</w:t>
      </w:r>
      <w:r>
        <w:t xml:space="preserve"> </w:t>
      </w:r>
      <w:r>
        <w:t xml:space="preserve">Conséquence directe : la ligne interne «</w:t>
      </w:r>
      <w:r>
        <w:t xml:space="preserve"> </w:t>
      </w:r>
      <w:r>
        <w:rPr>
          <w:b/>
          <w:bCs/>
        </w:rPr>
        <w:t xml:space="preserve">Pass Solo 30 €/mois</w:t>
      </w:r>
      <w:r>
        <w:t xml:space="preserve"> </w:t>
      </w:r>
      <w:r>
        <w:t xml:space="preserve">» vise</w:t>
      </w:r>
      <w:r>
        <w:t xml:space="preserve"> </w:t>
      </w:r>
      <w:r>
        <w:rPr>
          <w:b/>
          <w:bCs/>
        </w:rPr>
        <w:t xml:space="preserve">le segment qui décroît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ysage-concurrentiel"/>
    <w:p>
      <w:pPr>
        <w:pStyle w:val="Heading2"/>
      </w:pPr>
      <w:r>
        <w:t xml:space="preserve">4. Paysage concurrentiel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Couloir</w:t>
            </w:r>
          </w:p>
        </w:tc>
        <w:tc>
          <w:tcPr/>
          <w:p>
            <w:pPr>
              <w:pStyle w:val="Compact"/>
            </w:pPr>
            <w:r>
              <w:t xml:space="preserve">Acteurs</w:t>
            </w:r>
          </w:p>
        </w:tc>
        <w:tc>
          <w:tcPr/>
          <w:p>
            <w:pPr>
              <w:pStyle w:val="Compact"/>
            </w:pPr>
            <w:r>
              <w:t xml:space="preserve">Ce qu’ils possèdent</w:t>
            </w:r>
          </w:p>
        </w:tc>
        <w:tc>
          <w:tcPr/>
          <w:p>
            <w:pPr>
              <w:pStyle w:val="Compact"/>
            </w:pPr>
            <w:r>
              <w:t xml:space="preserve">Où TLS peut / ne peut pas jouer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Plateformes L&amp;D entreprise</w:t>
            </w:r>
          </w:p>
        </w:tc>
        <w:tc>
          <w:tcPr/>
          <w:p>
            <w:pPr>
              <w:pStyle w:val="Compact"/>
            </w:pPr>
            <w:r>
              <w:t xml:space="preserve">360Learning (~243 M$), Cornerstone, SAP SF, Workday Learning, Degreed</w:t>
            </w:r>
          </w:p>
        </w:tc>
        <w:tc>
          <w:tcPr/>
          <w:p>
            <w:pPr>
              <w:pStyle w:val="Compact"/>
            </w:pPr>
            <w:r>
              <w:t xml:space="preserve">Scale, budgets, références blue-chip, ROI</w:t>
            </w:r>
          </w:p>
        </w:tc>
        <w:tc>
          <w:tcPr/>
          <w:p>
            <w:pPr>
              <w:pStyle w:val="Compact"/>
            </w:pPr>
            <w:r>
              <w:t xml:space="preserve">❌ Non-jouable frontalement à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EdTech IA pédagogique FR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Didask</w:t>
            </w:r>
            <w:r>
              <w:t xml:space="preserve"> </w:t>
            </w:r>
            <w:r>
              <w:t xml:space="preserve">(10 M€, sciences co.), Edflex</w:t>
            </w:r>
          </w:p>
        </w:tc>
        <w:tc>
          <w:tcPr/>
          <w:p>
            <w:pPr>
              <w:pStyle w:val="Compact"/>
            </w:pPr>
            <w:r>
              <w:t xml:space="preserve">Crédibilité tech, financement</w:t>
            </w:r>
          </w:p>
        </w:tc>
        <w:tc>
          <w:tcPr/>
          <w:p>
            <w:pPr>
              <w:pStyle w:val="Compact"/>
            </w:pPr>
            <w:r>
              <w:t xml:space="preserve">🟡 ADN partagé ; TLS va plus loin sur preuve + métier formateur.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/ talent intelligence</w:t>
            </w:r>
          </w:p>
        </w:tc>
        <w:tc>
          <w:tcPr/>
          <w:p>
            <w:pPr>
              <w:pStyle w:val="Compact"/>
            </w:pPr>
            <w:r>
              <w:t xml:space="preserve">Gloat, Eightfold, Beamery ;</w:t>
            </w:r>
            <w:r>
              <w:t xml:space="preserve"> </w:t>
            </w:r>
            <w:r>
              <w:rPr>
                <w:b/>
                <w:bCs/>
              </w:rPr>
              <w:t xml:space="preserve">FR : 365Talents, Neobrain</w:t>
            </w:r>
          </w:p>
        </w:tc>
        <w:tc>
          <w:tcPr/>
          <w:p>
            <w:pPr>
              <w:pStyle w:val="Compact"/>
            </w:pPr>
            <w:r>
              <w:t xml:space="preserve">Le « Match » par le haut (grands comptes), skills graph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Partenaire, pas concurrent</w:t>
            </w:r>
            <w:r>
              <w:t xml:space="preserve"> </w:t>
            </w:r>
            <w:r>
              <w:t xml:space="preserve">: être la couche</w:t>
            </w:r>
            <w:r>
              <w:t xml:space="preserve"> </w:t>
            </w:r>
            <w:r>
              <w:rPr>
                <w:i/>
                <w:iCs/>
              </w:rPr>
              <w:t xml:space="preserve">pédagogie/preuve</w:t>
            </w:r>
            <w:r>
              <w:t xml:space="preserve"> </w:t>
            </w:r>
            <w:r>
              <w:t xml:space="preserve">au-dessus d’eux.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 IA « Qualiopi » cheap</w:t>
            </w:r>
          </w:p>
        </w:tc>
        <w:tc>
          <w:tcPr/>
          <w:p>
            <w:pPr>
              <w:pStyle w:val="Compact"/>
            </w:pPr>
            <w:r>
              <w:t xml:space="preserve">BGB, IAvenir, SavoirIA…</w:t>
            </w:r>
          </w:p>
        </w:tc>
        <w:tc>
          <w:tcPr/>
          <w:p>
            <w:pPr>
              <w:pStyle w:val="Compact"/>
            </w:pPr>
            <w:r>
              <w:t xml:space="preserve">SEO « formation IA », prix affichés, CPF/OPCO</w:t>
            </w:r>
          </w:p>
        </w:tc>
        <w:tc>
          <w:tcPr/>
          <w:p>
            <w:pPr>
              <w:pStyle w:val="Compact"/>
            </w:pPr>
            <w:r>
              <w:t xml:space="preserve">⚠️ Captent le réflexe d’achat transactionnel ; TLS = transformation, pas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d’État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Passeport de Compétences (Caisse des Dépôts, ~43 M)</w:t>
            </w:r>
          </w:p>
        </w:tc>
        <w:tc>
          <w:tcPr/>
          <w:p>
            <w:pPr>
              <w:pStyle w:val="Compact"/>
            </w:pPr>
            <w:r>
              <w:t xml:space="preserve">Gratuit, officiel, même</w:t>
            </w:r>
            <w:r>
              <w:t xml:space="preserve"> </w:t>
            </w:r>
            <w:r>
              <w:rPr>
                <w:b/>
                <w:bCs/>
              </w:rP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Risque de nommage</w:t>
            </w:r>
            <w:r>
              <w:t xml:space="preserve"> </w:t>
            </w:r>
            <w:r>
              <w:t xml:space="preserve">; opportunité d’interopérer (ESCO/ROME).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 :</w:t>
      </w:r>
      <w:r>
        <w:t xml:space="preserve"> </w:t>
      </w:r>
      <w:r>
        <w:t xml:space="preserve">l’edge honnête de TLS (</w:t>
      </w:r>
      <w:r>
        <w:rPr>
          <w:b/>
          <w:bCs/>
        </w:rPr>
        <w:t xml:space="preserve">formateur augmenté, pédagogie-first, mid-market/OF, boucle de preuve</w:t>
      </w:r>
      <w:r>
        <w:t xml:space="preserve">) est</w:t>
      </w:r>
      <w:r>
        <w:t xml:space="preserve"> </w:t>
      </w:r>
      <w:r>
        <w:rPr>
          <w:b/>
          <w:bCs/>
        </w:rPr>
        <w:t xml:space="preserve">réel mais étroit</w:t>
      </w:r>
      <w:r>
        <w:t xml:space="preserve">. Viser « l’OS SBO entreprise » met TLS face à des acteurs qu’une équipe de 2 ne peut pas outbuilder.</w:t>
      </w:r>
      <w:r>
        <w:t xml:space="preserve"> </w:t>
      </w:r>
      <w:r>
        <w:rPr>
          <w:b/>
          <w:bCs/>
        </w:rPr>
        <w:t xml:space="preserve">La seule position défendable est la niche que les géants ignorent</w:t>
      </w:r>
      <w:r>
        <w:t xml:space="preserve"> </w:t>
      </w:r>
      <w:r>
        <w:t xml:space="preserve">— et transformer les spécialistes skills en</w:t>
      </w:r>
      <w:r>
        <w:t xml:space="preserve"> </w:t>
      </w:r>
      <w:r>
        <w:rPr>
          <w:b/>
          <w:bCs/>
        </w:rPr>
        <w:t xml:space="preserve">canaux</w:t>
      </w:r>
      <w:r>
        <w:t xml:space="preserve"> </w:t>
      </w:r>
      <w:r>
        <w:t xml:space="preserve">(intégration), pas en ennemis.</w:t>
      </w:r>
    </w:p>
    <w:p>
      <w:r>
        <w:pict>
          <v:rect style="width:0;height:1.5pt" o:hralign="center" o:hrstd="t" o:hr="t"/>
        </w:pict>
      </w:r>
    </w:p>
    <w:bookmarkEnd w:id="23"/>
    <w:bookmarkStart w:id="28" w:name="le-modèle-économique-le-vrai-et-le-rêvé"/>
    <w:p>
      <w:pPr>
        <w:pStyle w:val="Heading2"/>
      </w:pPr>
      <w:r>
        <w:t xml:space="preserve">5. Le modèle économique — le vrai, et le rêvé</w:t>
      </w:r>
    </w:p>
    <w:bookmarkStart w:id="24" w:name="Xa426f94d8ca48e80e72497d874ae12dfa158bdd"/>
    <w:p>
      <w:pPr>
        <w:pStyle w:val="Heading3"/>
      </w:pPr>
      <w:r>
        <w:t xml:space="preserve">5.1 Le modèle réel (bottom-up, doc « Catalogue d’Offres &amp; Gouvernance »)</w:t>
      </w:r>
      <w:r>
        <w:t xml:space="preserve"> </w:t>
      </w:r>
      <w:r>
        <w:rPr>
          <w:rStyle w:val="VerbatimChar"/>
        </w:rPr>
        <w:t xml:space="preserve">[interne]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Offre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CA/an</w:t>
            </w:r>
          </w:p>
        </w:tc>
        <w:tc>
          <w:tcPr/>
          <w:p>
            <w:pPr>
              <w:pStyle w:val="Compact"/>
            </w:pPr>
            <w:r>
              <w:t xml:space="preserve">Pilier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Solo (App)</w:t>
            </w:r>
          </w:p>
        </w:tc>
        <w:tc>
          <w:tcPr/>
          <w:p>
            <w:pPr>
              <w:pStyle w:val="Compact"/>
            </w:pPr>
            <w:r>
              <w:t xml:space="preserve">170/mois</w:t>
            </w:r>
          </w:p>
        </w:tc>
        <w:tc>
          <w:tcPr/>
          <w:p>
            <w:pPr>
              <w:pStyle w:val="Compact"/>
            </w:pPr>
            <w:r>
              <w:t xml:space="preserve">30 €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61 200 €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Pro (App)</w:t>
            </w:r>
          </w:p>
        </w:tc>
        <w:tc>
          <w:tcPr/>
          <w:p>
            <w:pPr>
              <w:pStyle w:val="Compact"/>
            </w:pPr>
            <w:r>
              <w:t xml:space="preserve">108/an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27 000 €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Solutions IA Plug &amp; Play</w:t>
            </w:r>
          </w:p>
        </w:tc>
        <w:tc>
          <w:tcPr/>
          <w:p>
            <w:pPr>
              <w:pStyle w:val="Compact"/>
            </w:pPr>
            <w:r>
              <w:t xml:space="preserve">3/an</w:t>
            </w:r>
          </w:p>
        </w:tc>
        <w:tc>
          <w:tcPr/>
          <w:p>
            <w:pPr>
              <w:pStyle w:val="Compact"/>
            </w:pPr>
            <w:r>
              <w:t xml:space="preserve">7 500 €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22 500 €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Méthode STRIDE</w:t>
            </w:r>
          </w:p>
        </w:tc>
        <w:tc>
          <w:tcPr/>
          <w:p>
            <w:pPr>
              <w:pStyle w:val="Compact"/>
            </w:pPr>
            <w:r>
              <w:t xml:space="preserve">3/an</w:t>
            </w:r>
          </w:p>
        </w:tc>
        <w:tc>
          <w:tcPr/>
          <w:p>
            <w:pPr>
              <w:pStyle w:val="Compact"/>
            </w:pPr>
            <w:r>
              <w:t xml:space="preserve">10 000 €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30 000 €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Upskilling L&amp;D</w:t>
            </w:r>
          </w:p>
        </w:tc>
        <w:tc>
          <w:tcPr/>
          <w:p>
            <w:pPr>
              <w:pStyle w:val="Compact"/>
            </w:pPr>
            <w:r>
              <w:t xml:space="preserve">2/an</w:t>
            </w:r>
          </w:p>
        </w:tc>
        <w:tc>
          <w:tcPr/>
          <w:p>
            <w:pPr>
              <w:pStyle w:val="Compact"/>
            </w:pPr>
            <w:r>
              <w:t xml:space="preserve">20 000 €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40 000 €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Conception &amp; Diagnostic (TJM)</w:t>
            </w:r>
          </w:p>
        </w:tc>
        <w:tc>
          <w:tcPr/>
          <w:p>
            <w:pPr>
              <w:pStyle w:val="Compact"/>
            </w:pPr>
            <w:r>
              <w:t xml:space="preserve">30 j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30 000 €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&amp; Animation (TJM)</w:t>
            </w:r>
          </w:p>
        </w:tc>
        <w:tc>
          <w:tcPr/>
          <w:p>
            <w:pPr>
              <w:pStyle w:val="Compact"/>
            </w:pPr>
            <w:r>
              <w:t xml:space="preserve">50 j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50 000 €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260 700 €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Analyse critique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~66 % du CA visé = service humain</w:t>
      </w:r>
      <w:r>
        <w:t xml:space="preserve"> </w:t>
      </w:r>
      <w:r>
        <w:t xml:space="preserve">(P2 92 500 € + P3 80 000 € = 172 500 €). L’app =</w:t>
      </w:r>
      <w:r>
        <w:t xml:space="preserve"> </w:t>
      </w:r>
      <w:r>
        <w:rPr>
          <w:b/>
          <w:bCs/>
        </w:rPr>
        <w:t xml:space="preserve">34 %</w:t>
      </w:r>
      <w:r>
        <w:t xml:space="preserve"> </w:t>
      </w:r>
      <w:r>
        <w:t xml:space="preserve">(88 200 €), et ce 34 % est</w:t>
      </w:r>
      <w:r>
        <w:t xml:space="preserve"> </w:t>
      </w:r>
      <w:r>
        <w:rPr>
          <w:b/>
          <w:bCs/>
        </w:rPr>
        <w:t xml:space="preserve">hypothétique</w:t>
      </w:r>
      <w:r>
        <w:t xml:space="preserve"> </w:t>
      </w:r>
      <w:r>
        <w:t xml:space="preserve">(170 abonnés Solo + 108 Pro, sur un produit sans backend ni client payant).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Plafonné par la capacité :</w:t>
      </w:r>
      <w:r>
        <w:t xml:space="preserve"> </w:t>
      </w:r>
      <w:r>
        <w:t xml:space="preserve">80 jours de TJM + 8 ventes conseil à délivrer + le build produit + tout le marketing (2-3 posts/sem, webinaire mensuel, vidéo mensuelle, newsletter quinzo, 2 articles/mois, 1-2 events/mois, baromètre).</w:t>
      </w:r>
      <w:r>
        <w:t xml:space="preserve"> </w:t>
      </w:r>
      <w:r>
        <w:rPr>
          <w:b/>
          <w:bCs/>
        </w:rPr>
        <w:t xml:space="preserve">≈ 5+ rôles temps plein pour 2 personnes.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sur-extension des fondateurs est le risque d’exécution n°1</w:t>
      </w:r>
      <w:r>
        <w:t xml:space="preserve"> </w:t>
      </w:r>
      <w:r>
        <w:t xml:space="preserve">— et c’est en général</w:t>
      </w:r>
      <w:r>
        <w:t xml:space="preserve"> </w:t>
      </w:r>
      <w:r>
        <w:rPr>
          <w:b/>
          <w:bCs/>
        </w:rPr>
        <w:t xml:space="preserve">le produit qui casse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 « app offert 1 an » avec STRIDE</w:t>
      </w:r>
      <w:r>
        <w:t xml:space="preserve"> </w:t>
      </w:r>
      <w:r>
        <w:t xml:space="preserve">signifie</w:t>
      </w:r>
      <w:r>
        <w:t xml:space="preserve"> </w:t>
      </w:r>
      <w:r>
        <w:rPr>
          <w:b/>
          <w:bCs/>
        </w:rPr>
        <w:t xml:space="preserve">zéro revenu app en an-1 sur vos meilleurs clients qualifiés</w:t>
      </w:r>
      <w:r>
        <w:t xml:space="preserve">, et une conversion an-2 à faire sur un produit non prouvé. Le récurrent est</w:t>
      </w:r>
      <w:r>
        <w:t xml:space="preserve"> </w:t>
      </w:r>
      <w:r>
        <w:rPr>
          <w:b/>
          <w:bCs/>
        </w:rPr>
        <w:t xml:space="preserve">reporté par construction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260 k€ pour 2 fondateurs sur 7 offres ≈ remplacer 2 salaires + frais.</w:t>
      </w:r>
      <w:r>
        <w:t xml:space="preserve"> </w:t>
      </w:r>
      <w:r>
        <w:t xml:space="preserve">Échelle</w:t>
      </w:r>
      <w:r>
        <w:t xml:space="preserve"> </w:t>
      </w:r>
      <w:r>
        <w:rPr>
          <w:b/>
          <w:bCs/>
        </w:rPr>
        <w:t xml:space="preserve">boutique durable</w:t>
      </w:r>
      <w:r>
        <w:t xml:space="preserve">, pas trajectoire venture — sauf inflexion produit.</w:t>
      </w:r>
    </w:p>
    <w:bookmarkEnd w:id="24"/>
    <w:bookmarkStart w:id="25" w:name="X7f57f1dd8ffd659f3cee5599134ad29ad0194cf"/>
    <w:p>
      <w:pPr>
        <w:pStyle w:val="Heading3"/>
      </w:pPr>
      <w:r>
        <w:t xml:space="preserve">5.2 Le modèle « rêvé » (Vision 5 ans) — à manier avec précaution</w:t>
      </w:r>
      <w:r>
        <w:t xml:space="preserve"> </w:t>
      </w:r>
      <w:r>
        <w:rPr>
          <w:rStyle w:val="VerbatimChar"/>
        </w:rPr>
        <w:t xml:space="preserve">[interne — non fiable]</w:t>
      </w:r>
    </w:p>
    <w:p>
      <w:pPr>
        <w:pStyle w:val="FirstParagraph"/>
      </w:pPr>
      <w:r>
        <w:t xml:space="preserve">Le tableau</w:t>
      </w:r>
      <w:r>
        <w:t xml:space="preserve"> </w:t>
      </w:r>
      <w:r>
        <w:rPr>
          <w:b/>
          <w:bCs/>
        </w:rPr>
        <w:t xml:space="preserve">260 700 € → 1,45 M€ (2031)</w:t>
      </w:r>
      <w:r>
        <w:t xml:space="preserve"> </w:t>
      </w:r>
      <w:r>
        <w:t xml:space="preserve">et l’échelle de phases</w:t>
      </w:r>
      <w:r>
        <w:t xml:space="preserve"> </w:t>
      </w:r>
      <w:r>
        <w:rPr>
          <w:b/>
          <w:bCs/>
        </w:rPr>
        <w:t xml:space="preserve">200-250 k€ → 800 k-1 M€ → 5-6 M€ → 8-10 M€</w:t>
      </w:r>
      <w:r>
        <w:t xml:space="preserve"> </w:t>
      </w:r>
      <w:r>
        <w:t xml:space="preserve">sont explicitement annotés</w:t>
      </w:r>
      <w:r>
        <w:t xml:space="preserve"> </w:t>
      </w:r>
      <w:r>
        <w:rPr>
          <w:b/>
          <w:bCs/>
        </w:rPr>
        <w:t xml:space="preserve">« proposé par Gemini Deepsearch »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des projections générées par IA, pas un modèle</w:t>
      </w:r>
      <w:r>
        <w:t xml:space="preserve">. Le même 260 700 € apparaît tantôt comme cible</w:t>
      </w:r>
      <w:r>
        <w:t xml:space="preserve"> </w:t>
      </w:r>
      <w:r>
        <w:rPr>
          <w:b/>
          <w:bCs/>
        </w:rPr>
        <w:t xml:space="preserve">2026</w:t>
      </w:r>
      <w:r>
        <w:t xml:space="preserve">, tantôt</w:t>
      </w:r>
      <w:r>
        <w:t xml:space="preserve"> </w:t>
      </w:r>
      <w:r>
        <w:rPr>
          <w:b/>
          <w:bCs/>
        </w:rPr>
        <w:t xml:space="preserve">2027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Ne jamais présenter ce hockey stick à un financeur (BPI, investisseur).</w:t>
      </w:r>
      <w:r>
        <w:t xml:space="preserve"> </w:t>
      </w:r>
      <w:r>
        <w:t xml:space="preserve">Il sera identifié comme non fondé et</w:t>
      </w:r>
      <w:r>
        <w:t xml:space="preserve"> </w:t>
      </w:r>
      <w:r>
        <w:rPr>
          <w:b/>
          <w:bCs/>
        </w:rPr>
        <w:t xml:space="preserve">abîmera votre meilleur actif : la crédibilité.</w:t>
      </w:r>
      <w:r>
        <w:t xml:space="preserve"> </w:t>
      </w:r>
      <w:r>
        <w:t xml:space="preserve">Reconstruire un modèle bottom-up, hypothèses explicites, avant tout usage externe.</w:t>
      </w:r>
    </w:p>
    <w:bookmarkEnd w:id="25"/>
    <w:bookmarkStart w:id="26" w:name="contradiction-de-pricing-à-refermer"/>
    <w:p>
      <w:pPr>
        <w:pStyle w:val="Heading3"/>
      </w:pPr>
      <w:r>
        <w:t xml:space="preserve">5.3 Contradiction de pricing à refermer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 Notion « Catalogue » :</w:t>
      </w:r>
      <w:r>
        <w:t xml:space="preserve"> </w:t>
      </w:r>
      <w:r>
        <w:t xml:space="preserve">Pass Solo 30 €/mois</w:t>
      </w:r>
      <w:r>
        <w:t xml:space="preserve"> </w:t>
      </w:r>
      <w:r>
        <w:rPr>
          <w:b/>
          <w:bCs/>
        </w:rPr>
        <w:t xml:space="preserve">plat</w:t>
      </w:r>
      <w:r>
        <w:t xml:space="preserve"> </w:t>
      </w:r>
      <w:r>
        <w:t xml:space="preserve">+ Pass Pro 250 €/an.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CDC 11bis :</w:t>
      </w:r>
      <w:r>
        <w:t xml:space="preserve"> </w:t>
      </w:r>
      <w:r>
        <w:t xml:space="preserve">paliers</w:t>
      </w:r>
      <w:r>
        <w:t xml:space="preserve"> </w:t>
      </w:r>
      <w:r>
        <w:rPr>
          <w:b/>
          <w:bCs/>
        </w:rPr>
        <w:t xml:space="preserve">29 / 49 / 79 €</w:t>
      </w:r>
      <w:r>
        <w:t xml:space="preserve"> </w:t>
      </w:r>
      <w:r>
        <w:t xml:space="preserve">(IA payante aux plans 2-3) +</w:t>
      </w:r>
      <w:r>
        <w:t xml:space="preserve"> </w:t>
      </w:r>
      <w:r>
        <w:rPr>
          <w:b/>
          <w:bCs/>
        </w:rPr>
        <w:t xml:space="preserve">~45 €/siège/an</w:t>
      </w:r>
      <w:r>
        <w:t xml:space="preserve"> </w:t>
      </w:r>
      <w:r>
        <w:t xml:space="preserve">entreprise +</w:t>
      </w:r>
      <w:r>
        <w:t xml:space="preserve"> </w:t>
      </w:r>
      <w:r>
        <w:rPr>
          <w:b/>
          <w:bCs/>
        </w:rPr>
        <w:t xml:space="preserve">crédits</w:t>
      </w:r>
      <w:r>
        <w:t xml:space="preserve"> </w:t>
      </w:r>
      <w:r>
        <w:t xml:space="preserve">(Stripe + WooCommerce).</w:t>
      </w:r>
    </w:p>
    <w:p>
      <w:pPr>
        <w:pStyle w:val="FirstParagraph"/>
      </w:pPr>
      <w:r>
        <w:t xml:space="preserve">Deux modèles de prix différents coexistent.</w:t>
      </w:r>
      <w:r>
        <w:t xml:space="preserve"> </w:t>
      </w:r>
      <w:r>
        <w:rPr>
          <w:b/>
          <w:bCs/>
        </w:rPr>
        <w:t xml:space="preserve">Le business model n’est pas figé — il est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non réconcilié</w:t>
      </w:r>
      <w:r>
        <w:rPr>
          <w:b/>
          <w:bCs/>
        </w:rPr>
        <w:t xml:space="preserve">.</w:t>
      </w:r>
      <w:r>
        <w:t xml:space="preserve"> </w:t>
      </w:r>
      <w:r>
        <w:t xml:space="preserve">À trancher avant toute dépense marketing.</w:t>
      </w:r>
    </w:p>
    <w:bookmarkEnd w:id="26"/>
    <w:bookmarkStart w:id="27" w:name="X9bed5a8c6af26c6aaa2d798b488d388a7b78514"/>
    <w:p>
      <w:pPr>
        <w:pStyle w:val="Heading3"/>
      </w:pPr>
      <w:r>
        <w:t xml:space="preserve">5.4 Le flywheel — élégant mais avec un œuf-poule</w:t>
      </w:r>
    </w:p>
    <w:p>
      <w:pPr>
        <w:pStyle w:val="FirstParagraph"/>
      </w:pPr>
      <w:r>
        <w:t xml:space="preserve">Le flywheel « service (P3) → conseil (P2) → app qui reste (P1) » est</w:t>
      </w:r>
      <w:r>
        <w:t xml:space="preserve"> </w:t>
      </w:r>
      <w:r>
        <w:rPr>
          <w:b/>
          <w:bCs/>
        </w:rPr>
        <w:t xml:space="preserve">logiquement sain</w:t>
      </w:r>
      <w:r>
        <w:t xml:space="preserve">. Mais</w:t>
      </w:r>
      <w:r>
        <w:t xml:space="preserve"> </w:t>
      </w:r>
      <w:r>
        <w:rPr>
          <w:b/>
          <w:bCs/>
        </w:rPr>
        <w:t xml:space="preserve">son dernier tour (le SaaS récurrent) est exactement la partie non construite.</w:t>
      </w:r>
      <w:r>
        <w:t xml:space="preserve"> </w:t>
      </w:r>
      <w:r>
        <w:t xml:space="preserve">Le flywheel tourne aujourd’hui sur les services ; il n’a</w:t>
      </w:r>
      <w:r>
        <w:t xml:space="preserve"> </w:t>
      </w:r>
      <w:r>
        <w:rPr>
          <w:b/>
          <w:bCs/>
        </w:rPr>
        <w:t xml:space="preserve">pas encore atteint</w:t>
      </w:r>
      <w:r>
        <w:t xml:space="preserve"> </w:t>
      </w:r>
      <w:r>
        <w:t xml:space="preserve">le flywheel SaaS qui rendrait l’affaire scalable.</w:t>
      </w:r>
      <w:r>
        <w:t xml:space="preserve"> </w:t>
      </w:r>
      <w:r>
        <w:rPr>
          <w:b/>
          <w:bCs/>
        </w:rPr>
        <w:t xml:space="preserve">Le faire tourner suppose de rendre l’app assez robuste pour « rester » — ce qu’elle ne peut pas encore.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wot"/>
    <w:p>
      <w:pPr>
        <w:pStyle w:val="Heading2"/>
      </w:pPr>
      <w:r>
        <w:t xml:space="preserve">6. SWOT</w:t>
      </w:r>
    </w:p>
    <w:bookmarkStart w:id="29" w:name="forces-réelles-sans-complaisance"/>
    <w:p>
      <w:pPr>
        <w:pStyle w:val="Heading3"/>
      </w:pPr>
      <w:r>
        <w:t xml:space="preserve">Forces (réelles, sans complaisance)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Crédibilité métier</w:t>
      </w:r>
      <w:r>
        <w:t xml:space="preserve"> </w:t>
      </w:r>
      <w:r>
        <w:t xml:space="preserve">: ingénieurs pédagogiques + lignée</w:t>
      </w:r>
      <w:r>
        <w:t xml:space="preserve"> </w:t>
      </w:r>
      <w:r>
        <w:rPr>
          <w:b/>
          <w:bCs/>
        </w:rPr>
        <w:t xml:space="preserve">C-Campus</w:t>
      </w:r>
      <w:r>
        <w:t xml:space="preserve"> </w:t>
      </w:r>
      <w:r>
        <w:t xml:space="preserve">(Marc Dennery). « Pédagogues, pas consultants IA génériques » = positionnement</w:t>
      </w:r>
      <w:r>
        <w:t xml:space="preserve"> </w:t>
      </w:r>
      <w:r>
        <w:rPr>
          <w:b/>
          <w:bCs/>
        </w:rPr>
        <w:t xml:space="preserve">défendable</w:t>
      </w:r>
      <w:r>
        <w:t xml:space="preserve"> </w:t>
      </w:r>
      <w:r>
        <w:t xml:space="preserve">dans un marché saturé de « formation ChatGPT ».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Thèse juste et bien timée</w:t>
      </w:r>
      <w:r>
        <w:t xml:space="preserve"> </w:t>
      </w:r>
      <w:r>
        <w:t xml:space="preserve">: la bascule SBO est un macro-mouvement documenté ;</w:t>
      </w:r>
      <w:r>
        <w:t xml:space="preserve"> </w:t>
      </w:r>
      <w:r>
        <w:rPr>
          <w:b/>
          <w:bCs/>
        </w:rPr>
        <w:t xml:space="preserve">Learn → Do → Match</w:t>
      </w:r>
      <w:r>
        <w:t xml:space="preserve"> </w:t>
      </w:r>
      <w:r>
        <w:t xml:space="preserve">articule intelligemment le trou entre LMS pur et conseil pur.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Qualité de spécification</w:t>
      </w:r>
      <w:r>
        <w:t xml:space="preserve"> </w:t>
      </w:r>
      <w:r>
        <w:t xml:space="preserve">au-dessus de la moyenne pré-seed (dé-risque « comprennent-ils le problème ? »).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Offre conseil (STRIDE) réelle et vendable</w:t>
      </w:r>
      <w:r>
        <w:t xml:space="preserve"> </w:t>
      </w:r>
      <w:r>
        <w:t xml:space="preserve">: livrables contractualisés, ancrage terrain, partenariat C-Campus.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Design/UX de l’app de haut niveau</w:t>
      </w:r>
      <w:r>
        <w:t xml:space="preserve"> </w:t>
      </w:r>
      <w:r>
        <w:t xml:space="preserve">→ démo bien (compte pour vente entreprise + levée).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Lucidité interne</w:t>
      </w:r>
      <w:r>
        <w:t xml:space="preserve"> </w:t>
      </w:r>
      <w:r>
        <w:t xml:space="preserve">: les docs s’auto-critiquent (« prix provisoires », « en attente validation »). Rare et dé-risquant.</w:t>
      </w:r>
    </w:p>
    <w:bookmarkEnd w:id="29"/>
    <w:bookmarkStart w:id="30" w:name="faiblesses"/>
    <w:p>
      <w:pPr>
        <w:pStyle w:val="Heading3"/>
      </w:pPr>
      <w:r>
        <w:t xml:space="preserve">Faiblesses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Instabilité de positionnement</w:t>
      </w:r>
      <w:r>
        <w:t xml:space="preserve"> </w:t>
      </w:r>
      <w:r>
        <w:t xml:space="preserve">(pivot B2C → B2B en 6 mois, non refermé ; pricing contradictoire).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Produit = démo, pas produit</w:t>
      </w:r>
      <w:r>
        <w:t xml:space="preserve"> </w:t>
      </w:r>
      <w:r>
        <w:t xml:space="preserve">(pas de backend, ~4 000 h devant, 2 personnes).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Moat vide au lancement</w:t>
      </w:r>
      <w:r>
        <w:t xml:space="preserve"> </w:t>
      </w:r>
      <w:r>
        <w:t xml:space="preserve">(Passeport sans preuve, matching manuel, analytics 0 %).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Modèle financier plafonné et incohérent</w:t>
      </w:r>
      <w:r>
        <w:t xml:space="preserve"> </w:t>
      </w:r>
      <w:r>
        <w:t xml:space="preserve">; hockey stick généré par 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Sur-extension des fondateurs</w:t>
      </w:r>
      <w:r>
        <w:t xml:space="preserve"> </w:t>
      </w:r>
      <w:r>
        <w:t xml:space="preserve">(5+ rôles pour 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Exposition AI Act haut-risque sous-provisionnée.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 seul design-partner</w:t>
      </w:r>
      <w:r>
        <w:t xml:space="preserve"> </w:t>
      </w:r>
      <w:r>
        <w:t xml:space="preserve">(aucune validation de demande multi-clients).</w:t>
      </w:r>
    </w:p>
    <w:bookmarkEnd w:id="30"/>
    <w:bookmarkStart w:id="31" w:name="opportunités"/>
    <w:p>
      <w:pPr>
        <w:pStyle w:val="Heading3"/>
      </w:pPr>
      <w:r>
        <w:t xml:space="preserve">Opportunités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Catégorie SBO en formation en France</w:t>
      </w:r>
      <w:r>
        <w:t xml:space="preserve"> </w:t>
      </w:r>
      <w:r>
        <w:t xml:space="preserve">(fenêtre premier entrant + dé-concentration = place mid-size).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Act Art. 4</w:t>
      </w:r>
      <w:r>
        <w:t xml:space="preserve"> </w:t>
      </w:r>
      <w:r>
        <w:t xml:space="preserve">: demande sans seuil, catalyseur août 2026, même acheteur DRH, éligible OPCO.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Discours SBO</w:t>
      </w:r>
      <w:r>
        <w:t xml:space="preserve"> </w:t>
      </w:r>
      <w:r>
        <w:t xml:space="preserve">(podcasts, ANDRH, Learn Assembly) =</w:t>
      </w:r>
      <w:r>
        <w:t xml:space="preserve"> </w:t>
      </w:r>
      <w:r>
        <w:rPr>
          <w:b/>
          <w:bCs/>
        </w:rPr>
        <w:t xml:space="preserve">canal de distribution</w:t>
      </w:r>
      <w:r>
        <w:t xml:space="preserve"> </w:t>
      </w:r>
      <w:r>
        <w:t xml:space="preserve">peu coûteux, adapté aux profils fondateurs.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Budget entreprise/OPCO ~29 Md€</w:t>
      </w:r>
      <w:r>
        <w:t xml:space="preserve"> </w:t>
      </w:r>
      <w:r>
        <w:t xml:space="preserve">(vs CPF qui décroît).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Partenariat</w:t>
      </w:r>
      <w:r>
        <w:t xml:space="preserve"> </w:t>
      </w:r>
      <w:r>
        <w:t xml:space="preserve">avec les spécialistes skills (Neobrain, 365Talents, Eightfold) = concurrents transformés en canaux.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Learning Buddy / MCP</w:t>
      </w:r>
      <w:r>
        <w:t xml:space="preserve"> </w:t>
      </w:r>
      <w:r>
        <w:t xml:space="preserve">(Option C) : architecture économiquement saine (inférence payée par l’hôte).</w:t>
      </w:r>
    </w:p>
    <w:bookmarkEnd w:id="31"/>
    <w:bookmarkStart w:id="32" w:name="menaces"/>
    <w:p>
      <w:pPr>
        <w:pStyle w:val="Heading3"/>
      </w:pPr>
      <w:r>
        <w:t xml:space="preserve">Menaces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Géants financés</w:t>
      </w:r>
      <w:r>
        <w:t xml:space="preserve"> </w:t>
      </w:r>
      <w:r>
        <w:t xml:space="preserve">(360Learning 243 M$, Degreed, Cornerstone) + spécialistes skills.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Hiver du financement</w:t>
      </w:r>
      <w:r>
        <w:t xml:space="preserve"> </w:t>
      </w:r>
      <w:r>
        <w:t xml:space="preserve">(−66 %) → chemin « lever pour scaler » difficile.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Alternative d’État gratuite</w:t>
      </w:r>
      <w:r>
        <w:t xml:space="preserve"> </w:t>
      </w:r>
      <w:r>
        <w:t xml:space="preserve">sur le nom (Passeport de Compétences).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Réflexe d’achat « formation IA » cheap/CPF</w:t>
      </w:r>
      <w:r>
        <w:t xml:space="preserve"> </w:t>
      </w:r>
      <w:r>
        <w:t xml:space="preserve">qui capte le budget.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Marché « discours &gt; pratique »</w:t>
      </w:r>
      <w:r>
        <w:t xml:space="preserve"> </w:t>
      </w:r>
      <w:r>
        <w:t xml:space="preserve">: cycles longs, risque d’être trop tôt / d’épuiser la trésorerie en évangélisant.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Réglementaire</w:t>
      </w:r>
      <w:r>
        <w:t xml:space="preserve"> </w:t>
      </w:r>
      <w:r>
        <w:t xml:space="preserve">(AI Act haut-risque non provisionné).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rois-scénarios-chiffrés"/>
    <w:p>
      <w:pPr>
        <w:pStyle w:val="Heading2"/>
      </w:pPr>
      <w:r>
        <w:t xml:space="preserve">7. Trois scénarios chiffrés</w:t>
      </w:r>
    </w:p>
    <w:p>
      <w:pPr>
        <w:pStyle w:val="BlockText"/>
      </w:pPr>
      <w:r>
        <w:t xml:space="preserve">Illustratifs, hypothèses explicites, à affiner. Objectif : cadrer les arbitrages, pas prédire.</w:t>
      </w:r>
    </w:p>
    <w:bookmarkStart w:id="34" w:name="scénario-a-boutique-services-assumée"/>
    <w:p>
      <w:pPr>
        <w:pStyle w:val="Heading3"/>
      </w:pPr>
      <w:r>
        <w:t xml:space="preserve">Scénario A — Boutique services assumée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Récit :</w:t>
      </w:r>
      <w:r>
        <w:t xml:space="preserve"> </w:t>
      </w:r>
      <w:r>
        <w:t xml:space="preserve">conseil SBO + formation IA (C-Campus), « passeport » = livrable de service. L’app reste un support léger / démo.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Économie :</w:t>
      </w:r>
      <w:r>
        <w:t xml:space="preserve"> </w:t>
      </w:r>
      <w:r>
        <w:t xml:space="preserve">~260-500 k€ de CA,</w:t>
      </w:r>
      <w:r>
        <w:t xml:space="preserve"> </w:t>
      </w:r>
      <w:r>
        <w:rPr>
          <w:b/>
          <w:bCs/>
        </w:rPr>
        <w:t xml:space="preserve">rentable</w:t>
      </w:r>
      <w:r>
        <w:t xml:space="preserve">, faible risque, dépendante des fondateurs.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Risque :</w:t>
      </w:r>
      <w:r>
        <w:t xml:space="preserve"> </w:t>
      </w:r>
      <w:r>
        <w:t xml:space="preserve">plafond de capacité ; pas de scale ; valeur de revente faible.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Verdict :</w:t>
      </w:r>
      <w:r>
        <w:t xml:space="preserve"> </w:t>
      </w:r>
      <w:r>
        <w:rPr>
          <w:b/>
          <w:bCs/>
        </w:rPr>
        <w:t xml:space="preserve">viable et honnête.</w:t>
      </w:r>
      <w:r>
        <w:t xml:space="preserve"> </w:t>
      </w:r>
      <w:r>
        <w:t xml:space="preserve">Un très bon</w:t>
      </w:r>
      <w:r>
        <w:t xml:space="preserve"> </w:t>
      </w:r>
      <w:r>
        <w:rPr>
          <w:i/>
          <w:iCs/>
        </w:rPr>
        <w:t xml:space="preserve">boutique business</w:t>
      </w:r>
      <w:r>
        <w:t xml:space="preserve">. Question de fondateurs, pas d’échec marché.</w:t>
      </w:r>
    </w:p>
    <w:bookmarkEnd w:id="34"/>
    <w:bookmarkStart w:id="35" w:name="X94ae302980041aa963b5cec07d859e12cf6ccae"/>
    <w:p>
      <w:pPr>
        <w:pStyle w:val="Heading3"/>
      </w:pPr>
      <w:r>
        <w:t xml:space="preserve">Scénario B — Le wedge « couche de preuve, financée par le service » ⭐ (recommandé)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Récit :</w:t>
      </w:r>
      <w:r>
        <w:t xml:space="preserve"> </w:t>
      </w:r>
      <w:r>
        <w:t xml:space="preserve">le service finance un</w:t>
      </w:r>
      <w:r>
        <w:t xml:space="preserve"> </w:t>
      </w:r>
      <w:r>
        <w:rPr>
          <w:b/>
          <w:bCs/>
        </w:rPr>
        <w:t xml:space="preserve">produit mince</w:t>
      </w:r>
      <w:r>
        <w:t xml:space="preserve"> </w:t>
      </w:r>
      <w:r>
        <w:t xml:space="preserve">(Passeport = couche de preuve exposée en API/MCP) ; entrée par</w:t>
      </w:r>
      <w:r>
        <w:t xml:space="preserve"> </w:t>
      </w:r>
      <w:r>
        <w:rPr>
          <w:b/>
          <w:bCs/>
        </w:rPr>
        <w:t xml:space="preserve">AI Literacy Art. 4</w:t>
      </w:r>
      <w:r>
        <w:t xml:space="preserve"> </w:t>
      </w:r>
      <w:r>
        <w:t xml:space="preserve">; ancrage B2B ETI/OF.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Économie :</w:t>
      </w:r>
      <w:r>
        <w:t xml:space="preserve"> </w:t>
      </w:r>
      <w:r>
        <w:t xml:space="preserve">an-1 ≈ scénario A (services) + amorçage SaaS ; 3 ans</w:t>
      </w:r>
      <w:r>
        <w:t xml:space="preserve"> </w:t>
      </w:r>
      <w:r>
        <w:rPr>
          <w:b/>
          <w:bCs/>
        </w:rPr>
        <w:t xml:space="preserve">~0,3 → 1-1,5 M€</w:t>
      </w:r>
      <w:r>
        <w:t xml:space="preserve">, part SaaS croissante, marge qui s’améliore à mesure que la couche de preuve se remplit.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Risque :</w:t>
      </w:r>
      <w:r>
        <w:t xml:space="preserve"> </w:t>
      </w:r>
      <w:r>
        <w:t xml:space="preserve">exécution/focus ; nécessite de</w:t>
      </w:r>
      <w:r>
        <w:t xml:space="preserve"> </w:t>
      </w:r>
      <w:r>
        <w:rPr>
          <w:b/>
          <w:bCs/>
        </w:rPr>
        <w:t xml:space="preserve">renoncer</w:t>
      </w:r>
      <w:r>
        <w:t xml:space="preserve"> </w:t>
      </w:r>
      <w:r>
        <w:t xml:space="preserve">au reste. Cycles B2B longs.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Verdict :</w:t>
      </w:r>
      <w:r>
        <w:t xml:space="preserve"> </w:t>
      </w:r>
      <w:r>
        <w:rPr>
          <w:b/>
          <w:bCs/>
        </w:rPr>
        <w:t xml:space="preserve">le meilleur rapport ambition/faisabilité à 2.</w:t>
      </w:r>
      <w:r>
        <w:t xml:space="preserve"> </w:t>
      </w:r>
      <w:r>
        <w:t xml:space="preserve">Garde la porte ouverte vers la vision sans en dépendre.</w:t>
      </w:r>
    </w:p>
    <w:bookmarkEnd w:id="35"/>
    <w:bookmarkStart w:id="36" w:name="scénario-c-os-sbo-entreprise-la-vision"/>
    <w:p>
      <w:pPr>
        <w:pStyle w:val="Heading3"/>
      </w:pPr>
      <w:r>
        <w:t xml:space="preserve">Scénario C — OS SBO entreprise (la vision)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Récit :</w:t>
      </w:r>
      <w:r>
        <w:t xml:space="preserve"> </w:t>
      </w:r>
      <w:r>
        <w:t xml:space="preserve">construire la plateforme complète (matching IA, org intelligence, marketplace, intégrations SIRH).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Économie :</w:t>
      </w:r>
      <w:r>
        <w:t xml:space="preserve"> </w:t>
      </w:r>
      <w:r>
        <w:t xml:space="preserve">nécessite</w:t>
      </w:r>
      <w:r>
        <w:t xml:space="preserve"> </w:t>
      </w:r>
      <w:r>
        <w:rPr>
          <w:b/>
          <w:bCs/>
        </w:rPr>
        <w:t xml:space="preserve">capital significatif</w:t>
      </w:r>
      <w:r>
        <w:t xml:space="preserve"> </w:t>
      </w:r>
      <w:r>
        <w:t xml:space="preserve">(équipe produit/eng) →</w:t>
      </w:r>
      <w:r>
        <w:t xml:space="preserve"> </w:t>
      </w:r>
      <w:r>
        <w:rPr>
          <w:b/>
          <w:bCs/>
        </w:rPr>
        <w:t xml:space="preserve">5-6 M€ ARR</w:t>
      </w:r>
      <w:r>
        <w:t xml:space="preserve"> </w:t>
      </w:r>
      <w:r>
        <w:t xml:space="preserve">est un horizon</w:t>
      </w:r>
      <w:r>
        <w:t xml:space="preserve"> </w:t>
      </w:r>
      <w:r>
        <w:rPr>
          <w:b/>
          <w:bCs/>
        </w:rPr>
        <w:t xml:space="preserve">5-8 ans</w:t>
      </w:r>
      <w:r>
        <w:t xml:space="preserve">, pas 2027.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Risque :</w:t>
      </w:r>
      <w:r>
        <w:t xml:space="preserve"> </w:t>
      </w:r>
      <w:r>
        <w:rPr>
          <w:b/>
          <w:bCs/>
        </w:rPr>
        <w:t xml:space="preserve">le plus élevé</w:t>
      </w:r>
      <w:r>
        <w:t xml:space="preserve"> </w:t>
      </w:r>
      <w:r>
        <w:t xml:space="preserve">— financement rare, concurrence lourde, features en V2/2027, moat encore vide, sur-extension garantie à 2. Le hockey stick IA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 plan.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Verdict :</w:t>
      </w:r>
      <w:r>
        <w:t xml:space="preserve"> </w:t>
      </w:r>
      <w:r>
        <w:rPr>
          <w:b/>
          <w:bCs/>
        </w:rPr>
        <w:t xml:space="preserve">north star, pas identité court terme.</w:t>
      </w:r>
      <w:r>
        <w:t xml:space="preserve"> </w:t>
      </w:r>
      <w:r>
        <w:t xml:space="preserve">N’y engager de capital qu’après preuves d’usage (Scénario B) + financement dédié + récit unique.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sques-points-de-vigilance-registre"/>
    <w:p>
      <w:pPr>
        <w:pStyle w:val="Heading2"/>
      </w:pPr>
      <w:r>
        <w:t xml:space="preserve">8. Risques &amp; points de vigilance (registre)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Gravité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Sur-extension des fondateurs (5+ rôles / 2)</w:t>
            </w:r>
          </w:p>
        </w:tc>
        <w:tc>
          <w:tcPr/>
          <w:p>
            <w:pPr>
              <w:pStyle w:val="Compact"/>
            </w:pPr>
            <w:r>
              <w:t xml:space="preserve">🔴 Élevée</w:t>
            </w:r>
          </w:p>
        </w:tc>
        <w:tc>
          <w:tcPr/>
          <w:p>
            <w:pPr>
              <w:pStyle w:val="Compact"/>
            </w:pPr>
            <w:r>
              <w:t xml:space="preserve">Renoncer/séquencer (Scénario B) ; externaliser le contenu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Positionnement/pricing non réconcilié</w:t>
            </w:r>
          </w:p>
        </w:tc>
        <w:tc>
          <w:tcPr/>
          <w:p>
            <w:pPr>
              <w:pStyle w:val="Compact"/>
            </w:pPr>
            <w:r>
              <w:t xml:space="preserve">🔴 Élevée</w:t>
            </w:r>
          </w:p>
        </w:tc>
        <w:tc>
          <w:tcPr/>
          <w:p>
            <w:pPr>
              <w:pStyle w:val="Compact"/>
            </w:pPr>
            <w:r>
              <w:t xml:space="preserve">Trancher un seul modèle B2B</w:t>
            </w:r>
            <w:r>
              <w:t xml:space="preserve"> </w:t>
            </w:r>
            <w:r>
              <w:rPr>
                <w:b/>
                <w:bCs/>
              </w:rPr>
              <w:t xml:space="preserve">avant</w:t>
            </w:r>
            <w:r>
              <w:t xml:space="preserve"> </w:t>
            </w:r>
            <w:r>
              <w:t xml:space="preserve">toute dépense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Produit non construit / backend absent</w:t>
            </w:r>
          </w:p>
        </w:tc>
        <w:tc>
          <w:tcPr/>
          <w:p>
            <w:pPr>
              <w:pStyle w:val="Compact"/>
            </w:pPr>
            <w:r>
              <w:t xml:space="preserve">🔴 Élevée</w:t>
            </w:r>
          </w:p>
        </w:tc>
        <w:tc>
          <w:tcPr/>
          <w:p>
            <w:pPr>
              <w:pStyle w:val="Compact"/>
            </w:pPr>
            <w:r>
              <w:t xml:space="preserve">Réduire le scope à la couche de preuve (MCP) ; ne pas bâtir un Workday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Moat vide (Passeport sans preuve)</w:t>
            </w:r>
          </w:p>
        </w:tc>
        <w:tc>
          <w:tcPr/>
          <w:p>
            <w:pPr>
              <w:pStyle w:val="Compact"/>
            </w:pPr>
            <w:r>
              <w:t xml:space="preserve">🟠 Moyenne-élevée</w:t>
            </w:r>
          </w:p>
        </w:tc>
        <w:tc>
          <w:tcPr/>
          <w:p>
            <w:pPr>
              <w:pStyle w:val="Compact"/>
            </w:pPr>
            <w:r>
              <w:t xml:space="preserve">Ajouter le modèle de preuve (evidence FK)</w:t>
            </w:r>
            <w:r>
              <w:t xml:space="preserve"> </w:t>
            </w:r>
            <w:r>
              <w:rPr>
                <w:b/>
                <w:bCs/>
              </w:rPr>
              <w:t xml:space="preserve">maintenant</w:t>
            </w:r>
            <w:r>
              <w:t xml:space="preserve"> </w:t>
            </w:r>
            <w:r>
              <w:t xml:space="preserve">; alimenter par les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AI Act haut-risque non provisionné</w:t>
            </w:r>
          </w:p>
        </w:tc>
        <w:tc>
          <w:tcPr/>
          <w:p>
            <w:pPr>
              <w:pStyle w:val="Compact"/>
            </w:pPr>
            <w:r>
              <w:t xml:space="preserve">🟠 Moyenne-élevée</w:t>
            </w:r>
          </w:p>
        </w:tc>
        <w:tc>
          <w:tcPr/>
          <w:p>
            <w:pPr>
              <w:pStyle w:val="Compact"/>
            </w:pPr>
            <w:r>
              <w:t xml:space="preserve">Audit de classification Annexe III ; provision conformité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Collision de nom (Passeport d’État)</w:t>
            </w:r>
          </w:p>
        </w:tc>
        <w:tc>
          <w:tcPr/>
          <w:p>
            <w:pPr>
              <w:pStyle w:val="Compact"/>
            </w:pPr>
            <w:r>
              <w:t xml:space="preserve">🟡 Moyenne</w:t>
            </w:r>
          </w:p>
        </w:tc>
        <w:tc>
          <w:tcPr/>
          <w:p>
            <w:pPr>
              <w:pStyle w:val="Compact"/>
            </w:pPr>
            <w:r>
              <w:t xml:space="preserve">Renommer OU interopérer (ESCO/ROME) et se positionner « live/prouvé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Dépendance à 1 design-partner</w:t>
            </w:r>
          </w:p>
        </w:tc>
        <w:tc>
          <w:tcPr/>
          <w:p>
            <w:pPr>
              <w:pStyle w:val="Compact"/>
            </w:pPr>
            <w:r>
              <w:t xml:space="preserve">🟠 Moyenne-élevée</w:t>
            </w:r>
          </w:p>
        </w:tc>
        <w:tc>
          <w:tcPr/>
          <w:p>
            <w:pPr>
              <w:pStyle w:val="Compact"/>
            </w:pPr>
            <w:r>
              <w:t xml:space="preserve">Viser 3-5 comptes de référence via le wedge Art.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Hiver du financement</w:t>
            </w:r>
          </w:p>
        </w:tc>
        <w:tc>
          <w:tcPr/>
          <w:p>
            <w:pPr>
              <w:pStyle w:val="Compact"/>
            </w:pPr>
            <w:r>
              <w:t xml:space="preserve">🟡 Moyenne</w:t>
            </w:r>
          </w:p>
        </w:tc>
        <w:tc>
          <w:tcPr/>
          <w:p>
            <w:pPr>
              <w:pStyle w:val="Compact"/>
            </w:pPr>
            <w:r>
              <w:t xml:space="preserve">Bootstrap-first ; trésorerie de service ; ne pas dépendre d’une 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Crédibilité abîmée par chiffres gonflés</w:t>
            </w:r>
          </w:p>
        </w:tc>
        <w:tc>
          <w:tcPr/>
          <w:p>
            <w:pPr>
              <w:pStyle w:val="Compact"/>
            </w:pPr>
            <w:r>
              <w:t xml:space="preserve">🟠 Moyenne-élevée</w:t>
            </w:r>
          </w:p>
        </w:tc>
        <w:tc>
          <w:tcPr/>
          <w:p>
            <w:pPr>
              <w:pStyle w:val="Compact"/>
            </w:pPr>
            <w:r>
              <w:t xml:space="preserve">Bannir le hockey stick IA et toute métrique non sourcée en externe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X35e13eaa23b0fdb540228f8aa689bcfd73b0df3"/>
    <w:p>
      <w:pPr>
        <w:pStyle w:val="Heading2"/>
      </w:pPr>
      <w:r>
        <w:t xml:space="preserve">9. Feuille de route recommandée — « La couche de preuve, financée par le service »</w:t>
      </w:r>
    </w:p>
    <w:p>
      <w:pPr>
        <w:pStyle w:val="FirstParagraph"/>
      </w:pPr>
      <w:r>
        <w:rPr>
          <w:b/>
          <w:bCs/>
        </w:rPr>
        <w:t xml:space="preserve">Principe directeur :</w:t>
      </w:r>
      <w:r>
        <w:t xml:space="preserve"> </w:t>
      </w:r>
      <w:r>
        <w:rPr>
          <w:i/>
          <w:iCs/>
        </w:rPr>
        <w:t xml:space="preserve">ne financez pas la vision avec de la conviction — financez-la avec la trésorerie du service et la preuve d’usage. Chaque euro de produit sert la boucle preuve.</w:t>
      </w:r>
    </w:p>
    <w:bookmarkStart w:id="39" w:name="X4580ead7d6358f13ed5a13a48b7b6e44cea86f7"/>
    <w:p>
      <w:pPr>
        <w:pStyle w:val="Heading3"/>
      </w:pPr>
      <w:r>
        <w:t xml:space="preserve">Horizon 0-3 mois — Trancher &amp; réconcilier (coût quasi nul, impact maximal)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Choisir le wedge (Scénario B)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écrire le NON</w:t>
      </w:r>
      <w:r>
        <w:t xml:space="preserve"> </w:t>
      </w:r>
      <w:r>
        <w:t xml:space="preserve">: matching IA, org intelligence, marketplace, intégrations SIRH →</w:t>
      </w:r>
      <w:r>
        <w:t xml:space="preserve"> </w:t>
      </w:r>
      <w:r>
        <w:rPr>
          <w:b/>
          <w:bCs/>
        </w:rPr>
        <w:t xml:space="preserve">gelés</w:t>
      </w:r>
      <w:r>
        <w:t xml:space="preserve"> </w:t>
      </w:r>
      <w:r>
        <w:t xml:space="preserve">jusqu’à preuves + clients.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Réconcilier pricing en un seul modèle B2B</w:t>
      </w:r>
      <w:r>
        <w:t xml:space="preserve"> </w:t>
      </w:r>
      <w:r>
        <w:t xml:space="preserve">(sièges entreprise + abonnement bundlé au STRIDE, IA en palier payant). Sortir le « Pass Solo » du rôle de moteur (essai uniquement).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Reconstruire le modèle financier bottom-up</w:t>
      </w:r>
      <w:r>
        <w:t xml:space="preserve"> </w:t>
      </w:r>
      <w:r>
        <w:t xml:space="preserve">(sans le hockey stick Gemini) pour tout usage externe.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 AI Act</w:t>
      </w:r>
      <w:r>
        <w:t xml:space="preserve"> </w:t>
      </w:r>
      <w:r>
        <w:t xml:space="preserve">: classifier les usages (Annexe III ?) et provisionner.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Décider : venture ou boutique ?</w:t>
      </w:r>
      <w:r>
        <w:t xml:space="preserve"> </w:t>
      </w:r>
      <w:r>
        <w:t xml:space="preserve">C’est un choix de fondateurs qui conditionne tout le reste.</w:t>
      </w:r>
    </w:p>
    <w:bookmarkEnd w:id="39"/>
    <w:bookmarkStart w:id="40" w:name="X104f81c7ecbf44a3028b2acfe835e769caec3c7"/>
    <w:p>
      <w:pPr>
        <w:pStyle w:val="Heading3"/>
      </w:pPr>
      <w:r>
        <w:t xml:space="preserve">Horizon 3-9 mois — Entrer par un produit exécutable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Lancer le module « AI Literacy conforme Art. 4 »</w:t>
      </w:r>
      <w:r>
        <w:t xml:space="preserve"> </w:t>
      </w:r>
      <w:r>
        <w:t xml:space="preserve">(honnête) : land B2B, éligible OPCO, catalyseur CNIL août 2026,</w:t>
      </w:r>
      <w:r>
        <w:t xml:space="preserve"> </w:t>
      </w:r>
      <w:r>
        <w:rPr>
          <w:b/>
          <w:bCs/>
        </w:rPr>
        <w:t xml:space="preserve">sème le Passeport</w:t>
      </w:r>
      <w:r>
        <w:t xml:space="preserve"> </w:t>
      </w:r>
      <w:r>
        <w:t xml:space="preserve">avec la 1re compétence prouvée.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Corriger le Passeport</w:t>
      </w:r>
      <w:r>
        <w:t xml:space="preserve"> </w:t>
      </w:r>
      <w:r>
        <w:t xml:space="preserve">: ajouter un</w:t>
      </w:r>
      <w:r>
        <w:t xml:space="preserve"> </w:t>
      </w:r>
      <w:r>
        <w:rPr>
          <w:b/>
          <w:bCs/>
        </w:rPr>
        <w:t xml:space="preserve">modèle de preuve first-class (evidence FK)</w:t>
      </w:r>
      <w:r>
        <w:t xml:space="preserve">. Chaque validation coach / badge C-Campus / livrable de mission =</w:t>
      </w:r>
      <w:r>
        <w:t xml:space="preserve"> </w:t>
      </w:r>
      <w:r>
        <w:rPr>
          <w:b/>
          <w:bCs/>
        </w:rPr>
        <w:t xml:space="preserve">preuve structurée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Faire des services le moteur de données du produit</w:t>
      </w:r>
      <w:r>
        <w:t xml:space="preserve"> </w:t>
      </w:r>
      <w:r>
        <w:t xml:space="preserve">: chaque mission STRIDE / session coaching</w:t>
      </w:r>
      <w:r>
        <w:t xml:space="preserve"> </w:t>
      </w:r>
      <w:r>
        <w:rPr>
          <w:b/>
          <w:bCs/>
        </w:rPr>
        <w:t xml:space="preserve">émet des preuves</w:t>
      </w:r>
      <w:r>
        <w:t xml:space="preserve"> </w:t>
      </w:r>
      <w:r>
        <w:t xml:space="preserve">dans le Passeport. Arrêter le « app offert 1 an » → sièges payés dès le mois 1 (inclus dans le prix mission).</w:t>
      </w:r>
    </w:p>
    <w:bookmarkEnd w:id="40"/>
    <w:bookmarkStart w:id="41" w:name="Xd52d5671e557f374e7f5dcebbc50cdf31c8c8f6"/>
    <w:p>
      <w:pPr>
        <w:pStyle w:val="Heading3"/>
      </w:pPr>
      <w:r>
        <w:t xml:space="preserve">Horizon 9-18 mois — Rendre le moat réel &amp; mince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Exposer le Passeport en API propre + serveur MCP</w:t>
      </w:r>
      <w:r>
        <w:t xml:space="preserve"> </w:t>
      </w:r>
      <w:r>
        <w:t xml:space="preserve">(Learning Buddy Option C) : la surface où la couche de preuve devient consommable, inférence payée par l’hôte.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Interopérer</w:t>
      </w:r>
      <w:r>
        <w:t xml:space="preserve"> </w:t>
      </w:r>
      <w:r>
        <w:t xml:space="preserve">avec ESCO/ROME et se positionner face au Passeport d’État (« live, prouvé, projet »).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Partenariats</w:t>
      </w:r>
      <w:r>
        <w:t xml:space="preserve"> </w:t>
      </w:r>
      <w:r>
        <w:t xml:space="preserve">avec 1-2 spécialistes skills (Neobrain/365Talents/Eightfold) : TLS = couche pédagogie/preuve au-dessus du « Match ».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Distribution par le discours</w:t>
      </w:r>
      <w:r>
        <w:t xml:space="preserve"> </w:t>
      </w:r>
      <w:r>
        <w:t xml:space="preserve">: podcasts L&amp;D (ANDRH, Learn Assembly, Authentic Talent) +</w:t>
      </w:r>
      <w:r>
        <w:t xml:space="preserve"> </w:t>
      </w:r>
      <w:r>
        <w:rPr>
          <w:b/>
          <w:bCs/>
        </w:rPr>
        <w:t xml:space="preserve">Baromètre SBO France</w:t>
      </w:r>
      <w:r>
        <w:t xml:space="preserve"> </w:t>
      </w:r>
      <w:r>
        <w:t xml:space="preserve">(category-defining, lead gen, crédibilité).</w:t>
      </w:r>
    </w:p>
    <w:bookmarkEnd w:id="41"/>
    <w:bookmarkStart w:id="42" w:name="ce-quon-mesure-au-lieu-du-hockey-stick"/>
    <w:p>
      <w:pPr>
        <w:pStyle w:val="Heading3"/>
      </w:pPr>
      <w:r>
        <w:t xml:space="preserve">Ce qu’on mesure (au lieu du hockey stick)</w:t>
      </w:r>
    </w:p>
    <w:p>
      <w:pPr>
        <w:pStyle w:val="Compact"/>
        <w:numPr>
          <w:ilvl w:val="0"/>
          <w:numId w:val="1020"/>
        </w:numPr>
      </w:pPr>
      <w:r>
        <w:t xml:space="preserve">Nb de comptes de référence B2B (cible 3-5) · Nb de compétences</w:t>
      </w:r>
      <w:r>
        <w:t xml:space="preserve"> </w:t>
      </w:r>
      <w:r>
        <w:rPr>
          <w:b/>
          <w:bCs/>
        </w:rPr>
        <w:t xml:space="preserve">prouvées</w:t>
      </w:r>
      <w:r>
        <w:t xml:space="preserve"> </w:t>
      </w:r>
      <w:r>
        <w:t xml:space="preserve">au Passeport (evidence, pas Dreyfus auto-déclaré) · % de revenu récurrent vs service · Trésorerie de service (runway) · Coût d’acquisition via discours vs payant.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nnexe-a-sbo-ia-approfondie"/>
    <w:p>
      <w:pPr>
        <w:pStyle w:val="Heading2"/>
      </w:pPr>
      <w:r>
        <w:t xml:space="preserve">Annexe A — SBO &amp; IA (approfondie)</w:t>
      </w:r>
    </w:p>
    <w:bookmarkStart w:id="44" w:name="X97039ad99d7354608e2c6fa53d147f2c743a208"/>
    <w:p>
      <w:pPr>
        <w:pStyle w:val="Heading3"/>
      </w:pPr>
      <w:r>
        <w:t xml:space="preserve">A.1 Pourquoi SBO et IA sont le même sujet</w:t>
      </w:r>
    </w:p>
    <w:p>
      <w:pPr>
        <w:pStyle w:val="FirstParagraph"/>
      </w:pPr>
      <w:r>
        <w:t xml:space="preserve">La SBO structure les décisions RH (recrutement, mobilité, formation, rémunération) autour des</w:t>
      </w:r>
      <w:r>
        <w:t xml:space="preserve"> </w:t>
      </w:r>
      <w:r>
        <w:rPr>
          <w:b/>
          <w:bCs/>
        </w:rPr>
        <w:t xml:space="preserve">compétences réelles</w:t>
      </w:r>
      <w:r>
        <w:t xml:space="preserve"> </w:t>
      </w:r>
      <w:r>
        <w:t xml:space="preserve">plutôt que des postes. Elle</w:t>
      </w:r>
      <w:r>
        <w:t xml:space="preserve"> </w:t>
      </w:r>
      <w:r>
        <w:rPr>
          <w:b/>
          <w:bCs/>
        </w:rPr>
        <w:t xml:space="preserve">ne peut pas exister sans</w:t>
      </w:r>
      <w:r>
        <w:t xml:space="preserve"> </w:t>
      </w:r>
      <w:r>
        <w:t xml:space="preserve">une fonction L&amp;D qui pilote la donnée compétence — et</w:t>
      </w:r>
      <w:r>
        <w:t xml:space="preserve"> </w:t>
      </w:r>
      <w:r>
        <w:rPr>
          <w:b/>
          <w:bCs/>
        </w:rPr>
        <w:t xml:space="preserve">sans IA</w:t>
      </w:r>
      <w:r>
        <w:t xml:space="preserve">, le hub compétences reste statique. L’IA le rend prédictif (cartographie temps réel, matching, recommandation de parcours, détection de skill gaps). C’est exactement l’intersection que TLS revendique — d’où la justesse de la thèse, et la difficulté de l’exécuter à 2.</w:t>
      </w:r>
    </w:p>
    <w:bookmarkEnd w:id="44"/>
    <w:bookmarkStart w:id="45" w:name="a.2-état-de-la-demande-sourcé"/>
    <w:p>
      <w:pPr>
        <w:pStyle w:val="Heading3"/>
      </w:pPr>
      <w:r>
        <w:t xml:space="preserve">A.2 État de la demande (sourcé)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Macro :</w:t>
      </w:r>
      <w:r>
        <w:t xml:space="preserve"> </w:t>
      </w:r>
      <w:r>
        <w:t xml:space="preserve">WEF Future of Jobs 2025 —</w:t>
      </w:r>
      <w:r>
        <w:t xml:space="preserve"> </w:t>
      </w:r>
      <w:r>
        <w:rPr>
          <w:b/>
          <w:bCs/>
        </w:rPr>
        <w:t xml:space="preserve">~39 % des compétences</w:t>
      </w:r>
      <w:r>
        <w:t xml:space="preserve"> </w:t>
      </w:r>
      <w:r>
        <w:t xml:space="preserve">à transformer d’ici 2030 ;</w:t>
      </w:r>
      <w:r>
        <w:t xml:space="preserve"> </w:t>
      </w:r>
      <w:r>
        <w:rPr>
          <w:b/>
          <w:bCs/>
        </w:rPr>
        <w:t xml:space="preserve">63 %</w:t>
      </w:r>
      <w:r>
        <w:t xml:space="preserve"> </w:t>
      </w:r>
      <w:r>
        <w:t xml:space="preserve">des employeurs citent les skills gaps comme frein n°1. Deloitte 2022 — avantages relatifs SBO (52/57/63/98/107 %, corrélationnels).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Adoption :</w:t>
      </w:r>
      <w:r>
        <w:t xml:space="preserve"> </w:t>
      </w:r>
      <w:r>
        <w:t xml:space="preserve">Mercer 2024/25 — début de courbe (Learning 30 %, Rewards/Gigs 19 %) ; freins capacité RH/coût. France = « discours &gt; pratique » (ANDRH, Neobrain).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Outils du marché :</w:t>
      </w:r>
      <w:r>
        <w:t xml:space="preserve"> </w:t>
      </w:r>
      <w:r>
        <w:t xml:space="preserve">LXP skills (Degreed, Cornerstone/EdCast, 360Learning) ; talent intelligence (Eightfold, Beamery, Workday Skills Cloud) ;</w:t>
      </w:r>
      <w:r>
        <w:t xml:space="preserve"> </w:t>
      </w:r>
      <w:r>
        <w:rPr>
          <w:b/>
          <w:bCs/>
        </w:rPr>
        <w:t xml:space="preserve">FR : 365Talents, Neobrain</w:t>
      </w:r>
      <w:r>
        <w:t xml:space="preserve">. Marché LMS ~18 → 50 Md$ (2024-2030).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France, brique d’État :</w:t>
      </w:r>
      <w:r>
        <w:t xml:space="preserve"> </w:t>
      </w:r>
      <w:r>
        <w:t xml:space="preserve">Passeport de Compétences (Caisse des Dépôts) —</w:t>
      </w:r>
      <w:r>
        <w:t xml:space="preserve"> </w:t>
      </w:r>
      <w:r>
        <w:rPr>
          <w:b/>
          <w:bCs/>
        </w:rPr>
        <w:t xml:space="preserve">~43 M de passeports</w:t>
      </w:r>
      <w:r>
        <w:t xml:space="preserve">, gratuit. ESCO (13 485 skills, UE), ROME 4.0 (France Travail) = taxonomies interopérables.</w:t>
      </w:r>
    </w:p>
    <w:bookmarkEnd w:id="45"/>
    <w:bookmarkStart w:id="46" w:name="X6b9c87bbb95cbf9b91fb404819420e7b0d1e233"/>
    <w:p>
      <w:pPr>
        <w:pStyle w:val="Heading3"/>
      </w:pPr>
      <w:r>
        <w:t xml:space="preserve">A.3 IA en L&amp;D — preuve vs hype (à intégrer dans la posture produit)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71 % des L&amp;D</w:t>
      </w:r>
      <w:r>
        <w:t xml:space="preserve"> </w:t>
      </w:r>
      <w:r>
        <w:t xml:space="preserve">explorent/expérimentent/intègrent l’IA (LinkedIn 2025) ; mais</w:t>
      </w:r>
      <w:r>
        <w:t xml:space="preserve"> </w:t>
      </w:r>
      <w:r>
        <w:rPr>
          <w:b/>
          <w:bCs/>
        </w:rPr>
        <w:t xml:space="preserve">80 % la disent importante / ~25 % l’intègrent routinièrement</w:t>
      </w:r>
      <w:r>
        <w:t xml:space="preserve"> </w:t>
      </w:r>
      <w:r>
        <w:t xml:space="preserve">→ adoption</w:t>
      </w:r>
      <w:r>
        <w:t xml:space="preserve"> </w:t>
      </w:r>
      <w:r>
        <w:rPr>
          <w:b/>
          <w:bCs/>
        </w:rPr>
        <w:t xml:space="preserve">large mais peu profonde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Preuve honnête :</w:t>
      </w:r>
      <w:r>
        <w:t xml:space="preserve"> </w:t>
      </w:r>
      <w:r>
        <w:t xml:space="preserve">l’IA d’accès à la connaissance et de</w:t>
      </w:r>
      <w:r>
        <w:t xml:space="preserve"> </w:t>
      </w:r>
      <w:r>
        <w:rPr>
          <w:b/>
          <w:bCs/>
        </w:rPr>
        <w:t xml:space="preserve">tutorat conversationnel</w:t>
      </w:r>
      <w:r>
        <w:t xml:space="preserve"> </w:t>
      </w:r>
      <w:r>
        <w:t xml:space="preserve">montre des gains ; l’IA de</w:t>
      </w:r>
      <w:r>
        <w:t xml:space="preserve"> </w:t>
      </w:r>
      <w:r>
        <w:rPr>
          <w:b/>
          <w:bCs/>
        </w:rPr>
        <w:t xml:space="preserve">génération de contenu</w:t>
      </w:r>
      <w:r>
        <w:t xml:space="preserve"> </w:t>
      </w:r>
      <w:r>
        <w:t xml:space="preserve">ne montre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corrélation fiable avec la rétention/performance. → cohérent avec la doctrine TLS « l’IA augmente la pratique, ne la remplace pas ».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Pièges de citation à bannir</w:t>
      </w:r>
      <w:r>
        <w:t xml:space="preserve"> </w:t>
      </w:r>
      <w:r>
        <w:t xml:space="preserve">(crédibilité) : « +25 % de performance » (non vérifié), étude « cognitive debt » Kosmyna (~18 participants, non peer-reviewed), « 10 % des entreprises utilisent l’IA » (toute IA, pas l’IA générative).</w:t>
      </w:r>
    </w:p>
    <w:bookmarkEnd w:id="46"/>
    <w:bookmarkStart w:id="47" w:name="X24a719c59d4f323e71667c64aacf6ba2299eef8"/>
    <w:p>
      <w:pPr>
        <w:pStyle w:val="Heading3"/>
      </w:pPr>
      <w:r>
        <w:t xml:space="preserve">A.4 Le pari « Passeport = couche » (défensabilité)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Idée :</w:t>
      </w:r>
      <w:r>
        <w:t xml:space="preserve"> </w:t>
      </w:r>
      <w:r>
        <w:t xml:space="preserve">ne pas vendre une app ni un assistant, mais</w:t>
      </w:r>
      <w:r>
        <w:t xml:space="preserve"> </w:t>
      </w:r>
      <w:r>
        <w:rPr>
          <w:b/>
          <w:bCs/>
        </w:rPr>
        <w:t xml:space="preserve">la couche compétences</w:t>
      </w:r>
      <w:r>
        <w:t xml:space="preserve"> </w:t>
      </w:r>
      <w:r>
        <w:t xml:space="preserve">d’une organisation ; l’app et le Learning Buddy en sont des surfaces (brief interne « Learning Buddy Option C »).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Pourquoi c’est la meilleure idée du corpus :</w:t>
      </w:r>
      <w:r>
        <w:t xml:space="preserve"> </w:t>
      </w:r>
      <w:r>
        <w:t xml:space="preserve">en serveur MCP,</w:t>
      </w:r>
      <w:r>
        <w:t xml:space="preserve"> </w:t>
      </w:r>
      <w:r>
        <w:rPr>
          <w:b/>
          <w:bCs/>
        </w:rPr>
        <w:t xml:space="preserve">l’inférence est payée par l’assistant hôte</w:t>
      </w:r>
      <w:r>
        <w:t xml:space="preserve"> </w:t>
      </w:r>
      <w:r>
        <w:t xml:space="preserve">(coût fixe pour TLS), et le moat (le Passeport) reste</w:t>
      </w:r>
      <w:r>
        <w:t xml:space="preserve"> </w:t>
      </w:r>
      <w:r>
        <w:rPr>
          <w:b/>
          <w:bCs/>
        </w:rPr>
        <w:t xml:space="preserve">mince et net</w:t>
      </w:r>
      <w:r>
        <w:t xml:space="preserve"> </w:t>
      </w:r>
      <w:r>
        <w:t xml:space="preserve">— la seule architecture</w:t>
      </w:r>
      <w:r>
        <w:t xml:space="preserve"> </w:t>
      </w:r>
      <w:r>
        <w:rPr>
          <w:b/>
          <w:bCs/>
        </w:rPr>
        <w:t xml:space="preserve">économiquement saine à 2 personnes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Condition de défensabilité :</w:t>
      </w:r>
      <w:r>
        <w:t xml:space="preserve"> </w:t>
      </w:r>
      <w:r>
        <w:t xml:space="preserve">le Passeport doit devenir une</w:t>
      </w:r>
      <w:r>
        <w:t xml:space="preserve"> </w:t>
      </w:r>
      <w:r>
        <w:rPr>
          <w:b/>
          <w:bCs/>
        </w:rPr>
        <w:t xml:space="preserve">API propre avec un vrai modèle de preuve</w:t>
      </w:r>
      <w:r>
        <w:t xml:space="preserve"> </w:t>
      </w:r>
      <w:r>
        <w:rPr>
          <w:i/>
          <w:iCs/>
        </w:rPr>
        <w:t xml:space="preserve">avant</w:t>
      </w:r>
      <w:r>
        <w:t xml:space="preserve"> </w:t>
      </w:r>
      <w:r>
        <w:t xml:space="preserve">d’être exposé. Sans preuve structurée, la couche n’a rien à consigner → le différenciateur disparaît.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Limite :</w:t>
      </w:r>
      <w:r>
        <w:t xml:space="preserve"> </w:t>
      </w:r>
      <w:r>
        <w:t xml:space="preserve">un agent qui « répond » n’a aucune valeur défendable (tout modèle le fait gratuitement). La valeur est</w:t>
      </w:r>
      <w:r>
        <w:t xml:space="preserve"> </w:t>
      </w:r>
      <w:r>
        <w:rPr>
          <w:b/>
          <w:bCs/>
        </w:rPr>
        <w:t xml:space="preserve">la preuve calibrée</w:t>
      </w:r>
      <w:r>
        <w:t xml:space="preserve"> </w:t>
      </w:r>
      <w:r>
        <w:t xml:space="preserve">(niveau réel, parcours, evidence), pas la conversation.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165a2ca7f514717802c5608249c93cda44b5892"/>
    <w:p>
      <w:pPr>
        <w:pStyle w:val="Heading2"/>
      </w:pPr>
      <w:r>
        <w:t xml:space="preserve">Annexe B — Fiabilité des sources internes (tri)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Affirmation interne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Correction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EdTech France = 7,88 Md€ (2024) »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</w:p>
        </w:tc>
        <w:tc>
          <w:tcPr/>
          <w:p>
            <w:pPr>
              <w:pStyle w:val="Compact"/>
            </w:pPr>
            <w:r>
              <w:t xml:space="preserve">Chiffre global mal étiqueté. Réel :</w:t>
            </w:r>
            <w:r>
              <w:t xml:space="preserve"> </w:t>
            </w:r>
            <w:r>
              <w:rPr>
                <w:b/>
                <w:bCs/>
              </w:rPr>
              <w:t xml:space="preserve">1,8 Md€</w:t>
            </w:r>
            <w:r>
              <w:t xml:space="preserve"> </w:t>
            </w:r>
            <w:r>
              <w:t xml:space="preserve">(EY-Parthenon × EdTech France).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Marché français 320 Md$ »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</w:p>
        </w:tc>
        <w:tc>
          <w:tcPr/>
          <w:p>
            <w:pPr>
              <w:pStyle w:val="Compact"/>
            </w:pPr>
            <w:r>
              <w:t xml:space="preserve">Chiffre global digital learning mal attribué à la France.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5 ans : 260 700 € → 1,45 M€ → 5-6 M€ → 8-10 M€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Non fiable</w:t>
            </w:r>
          </w:p>
        </w:tc>
        <w:tc>
          <w:tcPr/>
          <w:p>
            <w:pPr>
              <w:pStyle w:val="Compact"/>
            </w:pPr>
            <w:r>
              <w:t xml:space="preserve">Explicitement « proposé par Gemini Deepsearch » (généré par IA).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Même 260 700 € = cible 2026</w:t>
            </w:r>
            <w:r>
              <w:t xml:space="preserve"> </w:t>
            </w:r>
            <w:r>
              <w:rPr>
                <w:i/>
                <w:iCs/>
              </w:rPr>
              <w:t xml:space="preserve">et</w:t>
            </w:r>
            <w:r>
              <w:t xml:space="preserve"> </w:t>
            </w: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Incohérent</w:t>
            </w:r>
          </w:p>
        </w:tc>
        <w:tc>
          <w:tcPr/>
          <w:p>
            <w:pPr>
              <w:pStyle w:val="Compact"/>
            </w:pPr>
            <w:r>
              <w:t xml:space="preserve">Muddle entre docs ; à trancher.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model « non figé » (FAITS-OFFRES) vs paliers 29/49/79 € (CDC 11bis)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Non réconcilié</w:t>
            </w:r>
          </w:p>
        </w:tc>
        <w:tc>
          <w:tcPr/>
          <w:p>
            <w:pPr>
              <w:pStyle w:val="Compact"/>
            </w:pPr>
            <w:r>
              <w:t xml:space="preserve">Le cadre existe (CDC) ; le go-to-market ne l’a pas adopté. Deux modèles coexistent.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: Pass Solo 30 €/mois (Notion) vs paliers (CDC)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Contradictoire</w:t>
            </w:r>
          </w:p>
        </w:tc>
        <w:tc>
          <w:tcPr/>
          <w:p>
            <w:pPr>
              <w:pStyle w:val="Compact"/>
            </w:pPr>
            <w:r>
              <w:t xml:space="preserve">À unifier.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STRIDE (S-T-</w:t>
            </w:r>
            <w:r>
              <w:rPr>
                <w:b/>
                <w:bCs/>
              </w:rPr>
              <w:t xml:space="preserve">R</w:t>
            </w:r>
            <w:r>
              <w:t xml:space="preserve">-I vs S-T-</w:t>
            </w:r>
            <w:r>
              <w:rPr>
                <w:b/>
                <w:bCs/>
              </w:rPr>
              <w:t xml:space="preserve">I</w:t>
            </w:r>
            <w:r>
              <w:t xml:space="preserve">-R selon docs)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Incohérent</w:t>
            </w:r>
          </w:p>
        </w:tc>
        <w:tc>
          <w:tcPr/>
          <w:p>
            <w:pPr>
              <w:pStyle w:val="Compact"/>
            </w:pPr>
            <w:r>
              <w:t xml:space="preserve">Vos propres docs divergent sur l’ordre de votre méthode.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 SBO Deloitte (+107 % etc.)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Réelles mais à cadrer</w:t>
            </w:r>
          </w:p>
        </w:tc>
        <w:tc>
          <w:tcPr/>
          <w:p>
            <w:pPr>
              <w:pStyle w:val="Compact"/>
            </w:pPr>
            <w:r>
              <w:t xml:space="preserve">Probabilités</w:t>
            </w:r>
            <w:r>
              <w:t xml:space="preserve"> </w:t>
            </w:r>
            <w:r>
              <w:rPr>
                <w:b/>
                <w:bCs/>
              </w:rPr>
              <w:t xml:space="preserve">relatives, corrélationnelles</w:t>
            </w:r>
            <w:r>
              <w:t xml:space="preserve">, 2022, US-skewed. Pas un ROI absolu.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 Premier client = grand groupe FR (non nommé), déployé avec Dinootoo »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Réel</w:t>
            </w:r>
          </w:p>
        </w:tc>
        <w:tc>
          <w:tcPr/>
          <w:p>
            <w:pPr>
              <w:pStyle w:val="Compact"/>
            </w:pPr>
            <w:r>
              <w:t xml:space="preserve">1 seul design-partner ; ne pas nommer le client publiquement.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Qualiopi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Via C-Campus uniquement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  <w:r>
              <w:t xml:space="preserve"> </w:t>
            </w:r>
            <w:r>
              <w:rPr>
                <w:b/>
                <w:bCs/>
              </w:rPr>
              <w:t xml:space="preserve">n’est pas</w:t>
            </w:r>
            <w:r>
              <w:t xml:space="preserve"> </w:t>
            </w:r>
            <w:r>
              <w:t xml:space="preserve">Qualiopi en propre. Ne jamais l’afficher comme 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Métriques d’usage TLS (satisfaction, adoption…)</w:t>
            </w:r>
          </w:p>
        </w:tc>
        <w:tc>
          <w:tcPr/>
          <w:p>
            <w:pPr>
              <w:pStyle w:val="Compact"/>
            </w:pPr>
            <w:r>
              <w:t xml:space="preserve">⚫</w:t>
            </w:r>
            <w:r>
              <w:t xml:space="preserve"> </w:t>
            </w:r>
            <w:r>
              <w:rPr>
                <w:b/>
                <w:bCs/>
              </w:rPr>
              <w:t xml:space="preserve">Inexistantes</w:t>
            </w:r>
          </w:p>
        </w:tc>
        <w:tc>
          <w:tcPr/>
          <w:p>
            <w:pPr>
              <w:pStyle w:val="Compact"/>
            </w:pPr>
            <w:r>
              <w:t xml:space="preserve">Ne rien inventer. Analytics à 0 %.</w:t>
            </w:r>
          </w:p>
        </w:tc>
      </w:tr>
    </w:tbl>
    <w:p>
      <w:pPr>
        <w:pStyle w:val="BodyText"/>
      </w:pPr>
      <w:r>
        <w:rPr>
          <w:b/>
          <w:bCs/>
        </w:rPr>
        <w:t xml:space="preserve">Enseignement :</w:t>
      </w:r>
      <w:r>
        <w:t xml:space="preserve"> </w:t>
      </w:r>
      <w:r>
        <w:t xml:space="preserve">l’incohérence documentaire est un</w:t>
      </w:r>
      <w:r>
        <w:t xml:space="preserve"> </w:t>
      </w:r>
      <w:r>
        <w:rPr>
          <w:b/>
          <w:bCs/>
        </w:rPr>
        <w:t xml:space="preserve">symptôme</w:t>
      </w:r>
      <w:r>
        <w:t xml:space="preserve">, pas un accident — elle reflète l’absence de tranche (positionnement, pricing) et le recours à des générateurs (IA) non relus.</w:t>
      </w:r>
      <w:r>
        <w:t xml:space="preserve"> </w:t>
      </w:r>
      <w:r>
        <w:rPr>
          <w:b/>
          <w:bCs/>
        </w:rPr>
        <w:t xml:space="preserve">Refermer les décisions refermera les docs.</w:t>
      </w:r>
    </w:p>
    <w:p>
      <w:r>
        <w:pict>
          <v:rect style="width:0;height:1.5pt" o:hralign="center" o:hrstd="t" o:hr="t"/>
        </w:pict>
      </w:r>
    </w:p>
    <w:bookmarkEnd w:id="49"/>
    <w:bookmarkStart w:id="50" w:name="X0e7f7048e45d3ad14e606e12c4e2186718e3026"/>
    <w:p>
      <w:pPr>
        <w:pStyle w:val="Heading2"/>
      </w:pPr>
      <w:r>
        <w:t xml:space="preserve">Annexe C — Sources externes (marché, sourcées juillet 2026)</w:t>
      </w:r>
    </w:p>
    <w:p>
      <w:pPr>
        <w:pStyle w:val="FirstParagraph"/>
      </w:pPr>
      <w:r>
        <w:rPr>
          <w:b/>
          <w:bCs/>
        </w:rPr>
        <w:t xml:space="preserve">Marché &amp; filière</w:t>
      </w:r>
      <w:r>
        <w:t xml:space="preserve"> </w:t>
      </w:r>
      <w:r>
        <w:t xml:space="preserve">- DARES / Banque des Territoires — dépense formation FR 56,6 Md€ (2024) : https://www.banquedesterritoires.fr/en-2024-566-milliards-deuros-de-depenses-pour-la-formation-professionnelle-continue-et</w:t>
      </w:r>
      <w:r>
        <w:t xml:space="preserve"> </w:t>
      </w:r>
      <w:r>
        <w:t xml:space="preserve">- DARES — dépenses de formation professionnelle : https://dares.travail-emploi.gouv.fr/donnees/les-depenses-de-formation-professionnelle</w:t>
      </w:r>
      <w:r>
        <w:t xml:space="preserve"> </w:t>
      </w:r>
      <w:r>
        <w:t xml:space="preserve">- EY-Parthenon × EdTech France 2026 (chiffres filière) : https://edtechgrandouest.fr/filiere-edtech-france-2026-etude-ey-parthenon/</w:t>
      </w:r>
      <w:r>
        <w:t xml:space="preserve"> </w:t>
      </w:r>
      <w:r>
        <w:t xml:space="preserve">- AEF Info — répartition CA EdTech 66/26/8 : https://www.aefinfo.fr/depeche/713289</w:t>
      </w:r>
      <w:r>
        <w:t xml:space="preserve"> </w:t>
      </w:r>
      <w:r>
        <w:t xml:space="preserve">- Xerfi — marché de la formation professionnelle : https://www.xerfi.com/presentationetude/le-marche-de-la-formation-professionnelle_sae35</w:t>
      </w:r>
      <w:r>
        <w:t xml:space="preserve"> </w:t>
      </w:r>
      <w:r>
        <w:t xml:space="preserve">- Xerfi — chute des levées EdTech : https://www.xerfi.com/blog/chute-drastique-des-levees-de-fonds-des-start-up-de-l-education_1815</w:t>
      </w:r>
      <w:r>
        <w:t xml:space="preserve"> </w:t>
      </w:r>
      <w:r>
        <w:t xml:space="preserve">- Straits Research — Europe LMS : https://straitsresearch.com/report/lms-market/europe</w:t>
      </w:r>
      <w:r>
        <w:t xml:space="preserve"> </w:t>
      </w:r>
      <w:r>
        <w:t xml:space="preserve">- The Business Research Company — Global LMS : https://www.thebusinessresearchcompany.com/report/learning-management-system-global-market-report</w:t>
      </w:r>
    </w:p>
    <w:p>
      <w:pPr>
        <w:pStyle w:val="BodyText"/>
      </w:pPr>
      <w:r>
        <w:rPr>
          <w:b/>
          <w:bCs/>
        </w:rPr>
        <w:t xml:space="preserve">Concurrence / financements</w:t>
      </w:r>
      <w:r>
        <w:t xml:space="preserve"> </w:t>
      </w:r>
      <w:r>
        <w:t xml:space="preserve">- RH Matin — Didask 10 M€ (2025) : https://www.rhmatin.com/formation/digital-learning/e-learning-didask-leve-10-millions-d-euros-en-integrant-l-ia-au-coeur-de-l-ingenierie-pedagogique.html</w:t>
      </w:r>
      <w:r>
        <w:t xml:space="preserve"> </w:t>
      </w:r>
      <w:r>
        <w:t xml:space="preserve">- BusinessWire — 360Learning 60 M$ ARR : https://www.businesswire.com/news/home/20240207502564/en/</w:t>
      </w:r>
      <w:r>
        <w:t xml:space="preserve"> </w:t>
      </w:r>
      <w:r>
        <w:t xml:space="preserve">- FinancialContent — Edflex 18 M$ (2025) : https://markets.financialcontent.com/stocks/article/accwirecq-2025-10-2-edflex-raises-18m</w:t>
      </w:r>
      <w:r>
        <w:t xml:space="preserve"> </w:t>
      </w:r>
      <w:r>
        <w:t xml:space="preserve">- L’Usine Nouvelle — VC FR S1 2025 −35 % : https://www.usinenouvelle.com/editorial/start-up-l-inquietant-decrochage-des-levees-de-fonds-en-france-au-premier-semestre-2025.N2235220</w:t>
      </w:r>
    </w:p>
    <w:p>
      <w:pPr>
        <w:pStyle w:val="BodyText"/>
      </w:pPr>
      <w:r>
        <w:rPr>
          <w:b/>
          <w:bCs/>
        </w:rPr>
        <w:t xml:space="preserve">SBO / L&amp;D / IA</w:t>
      </w:r>
      <w:r>
        <w:t xml:space="preserve"> </w:t>
      </w:r>
      <w:r>
        <w:t xml:space="preserve">- Deloitte — The Skills-Based Organization (rapport PDF) : https://www.deloitte.com/content/dam/insights/articles/2024/us175310_consulting-the-skills-based-org-report/di-the-skills-based-organization-report.pdf</w:t>
      </w:r>
      <w:r>
        <w:t xml:space="preserve"> </w:t>
      </w:r>
      <w:r>
        <w:t xml:space="preserve">- Mercer — Skills Snapshot (adoption) : https://www.mercer.com/insights/talent-and-transformation/skill-based-talent-management/survey-report-insights-global-skills-technology-and-adoption/</w:t>
      </w:r>
      <w:r>
        <w:t xml:space="preserve"> </w:t>
      </w:r>
      <w:r>
        <w:t xml:space="preserve">- WEF — Future of Jobs Report 2025 : https://reports.weforum.org/docs/WEF_Future_of_Jobs_Report_2025.pdf</w:t>
      </w:r>
      <w:r>
        <w:t xml:space="preserve"> </w:t>
      </w:r>
      <w:r>
        <w:t xml:space="preserve">- ANDRH — Skills-Based Organization : https://www.andrh.fr/article/la-skills-based-organization-revolution-des-emplois-par-les-competences</w:t>
      </w:r>
      <w:r>
        <w:t xml:space="preserve"> </w:t>
      </w:r>
      <w:r>
        <w:t xml:space="preserve">- Neobrain — SBO état des lieux France : https://www.neobrain.io/blog/skills-based-organizations-quel-etat-des-lieux</w:t>
      </w:r>
      <w:r>
        <w:t xml:space="preserve"> </w:t>
      </w:r>
      <w:r>
        <w:t xml:space="preserve">- LinkedIn — 2025 Workplace Learning Report : https://learning.linkedin.com/resources/workplace-learning-report</w:t>
      </w:r>
      <w:r>
        <w:t xml:space="preserve"> </w:t>
      </w:r>
      <w:r>
        <w:t xml:space="preserve">- Continu — AI Learning Agents in Corporate L&amp;D (2025) : https://www.continu.com/research/ai-learning-agents-in-corporate-l-d</w:t>
      </w:r>
      <w:r>
        <w:t xml:space="preserve"> </w:t>
      </w:r>
      <w:r>
        <w:t xml:space="preserve">- Centre Inffo — mettre en place une SBO : https://www.centre-inffo.fr/site-centre-inffo/comment-mettre-en-place-une-skills-based-organization</w:t>
      </w:r>
      <w:r>
        <w:t xml:space="preserve"> </w:t>
      </w:r>
      <w:r>
        <w:t xml:space="preserve">- Cegos — organisation pilotée par les compétences (L&amp;D) : https://www.cegos.fr/ressources/mag/formation-2/management-de-la-formation/organisation-pilotee-par-les-competences-definition-enjeux-et-impacts-pour-le-ld</w:t>
      </w:r>
    </w:p>
    <w:p>
      <w:pPr>
        <w:pStyle w:val="BodyText"/>
      </w:pPr>
      <w:r>
        <w:rPr>
          <w:b/>
          <w:bCs/>
        </w:rPr>
        <w:t xml:space="preserve">Réglementaire &amp; financement</w:t>
      </w:r>
      <w:r>
        <w:t xml:space="preserve"> </w:t>
      </w:r>
      <w:r>
        <w:t xml:space="preserve">- Latham &amp; Watkins — AI Act Art. 4 (littératie) : https://www.lw.com/en/insights/upcoming-eu-ai-act-obligations-mandatory-training-and-prohibited-practices</w:t>
      </w:r>
      <w:r>
        <w:t xml:space="preserve"> </w:t>
      </w:r>
      <w:r>
        <w:t xml:space="preserve">- Capstan — formation des salariés à l’IA (Art. 4) : https://www.capstan.fr/articles/2692-formation-des-salaries-a-lia-5-questions-sur-vos-obligations-demployeur/</w:t>
      </w:r>
      <w:r>
        <w:t xml:space="preserve"> </w:t>
      </w:r>
      <w:r>
        <w:t xml:space="preserve">- Eurostat — usage de l’IA dans les entreprises : https://ec.europa.eu/eurostat/statistics-explained/index.php?title=Use_of_artificial_intelligence_in_enterprises</w:t>
      </w:r>
      <w:r>
        <w:t xml:space="preserve"> </w:t>
      </w:r>
      <w:r>
        <w:t xml:space="preserve">- Insee Première n°2061 — TIC dans les entreprises 2024 : https://www.insee.fr/en/statistiques/8605307</w:t>
      </w:r>
      <w:r>
        <w:t xml:space="preserve"> </w:t>
      </w:r>
      <w:r>
        <w:t xml:space="preserve">- France compétences — usage des fonds 2024 : https://www.francecompetences.fr/fiche/france-competences-publie-son-rapport-2024-sur-lusage-des-fonds-de-la-formation-professionnelle/</w:t>
      </w:r>
      <w:r>
        <w:t xml:space="preserve"> </w:t>
      </w:r>
      <w:r>
        <w:t xml:space="preserve">- monpoleformation — CPF −30 % post-restrictions : https://monpoleformation.fr/cpf-chute-utilisation-nouvelles-restrictions-2025/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 l’étude — v1, 25 juillet 2026. À valider et itérer avec les fondateurs. Les décisions à trancher (§9, horizon 0-3 mois) conditionnent tout le reste.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2026-07-25T12:27:32Z</dcterms:created>
  <dcterms:modified xsi:type="dcterms:W3CDTF">2026-07-25T12:27:32Z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