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6 — Neurodiversité &amp; inclusion pédagogique</w:t>
      </w:r>
    </w:p>
    <w:p>
      <w:pPr>
        <w:pStyle w:val="IntenseQuote"/>
      </w:pPr>
      <w:r>
        <w:rPr>
          <w:b/>
        </w:rPr>
        <w:t>Version réécrite et fact-checkée.</w:t>
      </w:r>
      <w:r>
        <w:t xml:space="preserve"> Ce module fait partie du parcours</w:t>
      </w:r>
    </w:p>
    <w:p>
      <w:pPr>
        <w:pStyle w:val="IntenseQuote"/>
      </w:pPr>
      <w:r>
        <w:t>Neuro-Éducation entièrement réécrit : mythes retirés, affirmations rattachées à</w:t>
      </w:r>
    </w:p>
    <w:p>
      <w:pPr>
        <w:pStyle w:val="IntenseQuote"/>
      </w:pPr>
      <w:r>
        <w:t>des sources vérifiées (existence, auteurs, année, contenu). Les affirmations</w:t>
      </w:r>
    </w:p>
    <w:p>
      <w:pPr>
        <w:pStyle w:val="IntenseQuote"/>
      </w:pPr>
      <w:r>
        <w:t>sans source réelle ont été supprimées, jamais remplacées par un substitut.</w:t>
      </w:r>
    </w:p>
    <w:p>
      <w:pPr>
        <w:pStyle w:val="IntenseQuote"/>
      </w:pPr>
      <w:r>
        <w:t>Bibliographie complète en fin de document.</w:t>
      </w:r>
    </w:p>
    <w:p>
      <w:pPr>
        <w:pStyle w:val="IntenseQuote"/>
      </w:pPr>
    </w:p>
    <w:p>
      <w:pPr>
        <w:pStyle w:val="IntenseQuote"/>
      </w:pPr>
      <w:r>
        <w:rPr>
          <w:i/>
        </w:rPr>
        <w:t>Découpé en module autonome le 2026-07-24, à partir du parcours réécrit.</w:t>
      </w:r>
    </w:p>
    <w:p>
      <w:pPr>
        <w:jc w:val="center"/>
      </w:pPr>
      <w:r>
        <w:t>________________________________________</w:t>
      </w:r>
    </w:p>
    <w:p>
      <w:r>
        <w:rPr>
          <w:i/>
        </w:rPr>
        <w:t>Concevoir pour la variété des cerveaux dès le départ (UDL) profite à tout le monde — pas seulement aux personnes neurodivergentes.</w:t>
      </w:r>
    </w:p>
    <w:p>
      <w:r>
        <w:rPr>
          <w:b/>
        </w:rPr>
        <w:t>Ce que vous saurez faire</w:t>
      </w:r>
    </w:p>
    <w:p>
      <w:pPr>
        <w:pStyle w:val="ListBullet"/>
      </w:pPr>
      <w:r>
        <w:rPr>
          <w:b/>
        </w:rPr>
        <w:t>Définir</w:t>
      </w:r>
      <w:r>
        <w:t xml:space="preserve"> la neurodiversité et repérer les principaux profils.</w:t>
      </w:r>
    </w:p>
    <w:p>
      <w:pPr>
        <w:pStyle w:val="ListBullet"/>
      </w:pPr>
      <w:r>
        <w:rPr>
          <w:b/>
        </w:rPr>
        <w:t>Reconnaître</w:t>
      </w:r>
      <w:r>
        <w:t xml:space="preserve"> forces et défis (autisme, TDAH, troubles dys).</w:t>
      </w:r>
    </w:p>
    <w:p>
      <w:pPr>
        <w:pStyle w:val="ListBullet"/>
      </w:pPr>
      <w:r>
        <w:rPr>
          <w:b/>
        </w:rPr>
        <w:t>Appliquer</w:t>
      </w:r>
      <w:r>
        <w:t xml:space="preserve"> les trois principes de l'Universal Design for Learning.</w:t>
      </w:r>
    </w:p>
    <w:p>
      <w:pPr>
        <w:pStyle w:val="ListBullet"/>
      </w:pPr>
      <w:r>
        <w:rPr>
          <w:b/>
        </w:rPr>
        <w:t>Aménager</w:t>
      </w:r>
      <w:r>
        <w:t xml:space="preserve"> concrètement et adopter un langage inclusif.</w:t>
      </w:r>
    </w:p>
    <w:p>
      <w:pPr>
        <w:pStyle w:val="Heading2"/>
      </w:pPr>
      <w:r>
        <w:t>01 · Engagement — La même formation, exclusive ou inclusive</w:t>
      </w:r>
    </w:p>
    <w:p>
      <w:r>
        <w:t>Une formation Agile, cohorte mixte. Conçue pour un « apprenant moyen » qui n'existe pas, elle laisse de côté une partie du groupe. Conçue flexible dès le départ, elle porte tout le monde.</w:t>
      </w:r>
    </w:p>
    <w:p>
      <w:r>
        <w:rPr>
          <w:b/>
        </w:rPr>
        <w:t>Approche A · taille unique — un seul chemin</w:t>
      </w:r>
    </w:p>
    <w:p>
      <w:pPr>
        <w:pStyle w:val="ListBullet"/>
      </w:pPr>
      <w:r>
        <w:t>Exposé dense, manuel de 200 pages</w:t>
      </w:r>
    </w:p>
    <w:p>
      <w:pPr>
        <w:pStyle w:val="ListBullet"/>
      </w:pPr>
      <w:r>
        <w:t>Consignes ambiguës (« improvisez »)</w:t>
      </w:r>
    </w:p>
    <w:p>
      <w:pPr>
        <w:pStyle w:val="ListBullet"/>
      </w:pPr>
      <w:r>
        <w:t>Un examen écrit unique de 2 h</w:t>
      </w:r>
    </w:p>
    <w:p>
      <w:pPr>
        <w:pStyle w:val="ListBullet"/>
      </w:pPr>
      <w:r>
        <w:t>Salle bruyante, sans pauses</w:t>
      </w:r>
    </w:p>
    <w:p>
      <w:r>
        <w:rPr>
          <w:b/>
        </w:rPr>
        <w:t>Approche B · flexible (UDL) — plusieurs chemins équivalents</w:t>
      </w:r>
    </w:p>
    <w:p>
      <w:pPr>
        <w:pStyle w:val="ListBullet"/>
      </w:pPr>
      <w:r>
        <w:t>Contenu en plusieurs formats (texte, audio, visuel)</w:t>
      </w:r>
    </w:p>
    <w:p>
      <w:pPr>
        <w:pStyle w:val="ListBullet"/>
      </w:pPr>
      <w:r>
        <w:t>Consignes claires et explicites</w:t>
      </w:r>
    </w:p>
    <w:p>
      <w:pPr>
        <w:pStyle w:val="ListBullet"/>
      </w:pPr>
      <w:r>
        <w:t>Plusieurs façons de démontrer sa maîtrise</w:t>
      </w:r>
    </w:p>
    <w:p>
      <w:pPr>
        <w:pStyle w:val="ListBullet"/>
      </w:pPr>
      <w:r>
        <w:t>Structure lisible, espaces calmes, pauses</w:t>
      </w:r>
    </w:p>
    <w:p>
      <w:r>
        <w:rPr>
          <w:b/>
        </w:rPr>
        <w:t>Scénario illustratif.</w:t>
      </w:r>
      <w:r>
        <w:t xml:space="preserve"> Les écarts chiffrés (« +356 % », « −90 % d'abandon ») de la version d'origine ont été retirés. Le cadre UDL, lui, est un standard établi (CAST).</w:t>
      </w:r>
    </w:p>
    <w:p>
      <w:r>
        <w:rPr>
          <w:b/>
        </w:rPr>
        <w:t>Question clé.</w:t>
      </w:r>
      <w:r>
        <w:t xml:space="preserve"> Mes formations sont-elles pensées pour un « apprenant moyen » (soit personne) ? Ou offrent-elles une flexibilité utile à tous ?</w:t>
      </w:r>
    </w:p>
    <w:p>
      <w:pPr>
        <w:pStyle w:val="Heading2"/>
      </w:pPr>
      <w:r>
        <w:t>02 · Découvrir — Concevoir pour la variété</w:t>
      </w:r>
    </w:p>
    <w:p>
      <w:pPr>
        <w:pStyle w:val="Heading3"/>
      </w:pPr>
      <w:r>
        <w:t>Neurodiversité : une variation, pas un défaut</w:t>
      </w:r>
    </w:p>
    <w:p>
      <w:r>
        <w:t xml:space="preserve">La </w:t>
      </w:r>
      <w:r>
        <w:rPr>
          <w:b/>
        </w:rPr>
        <w:t>neurodiversité</w:t>
      </w:r>
      <w:r>
        <w:t xml:space="preserve"> décrit la variation naturelle du fonctionnement cérébral (Singer, années 1990). Le handicap tient souvent à un environnement inadapté plus qu'à la personne — comme un gaucher dans un monde de droitiers. On estime qu'une part importante de la population (de l'ordre de 15 %, toutes conditions confondues) est neurodivergente : autisme, TDAH, troubles « dys », entre autres. Chaque profil a ses forces (attention aux détails, hyperfocus, pensée visuelle…) autant que ses défis, très dépendants du contexte.</w:t>
      </w:r>
    </w:p>
    <w:p>
      <w:pPr>
        <w:pStyle w:val="Heading3"/>
      </w:pPr>
      <w:r>
        <w:t>Universal Design for Learning : la flexibilité dès le départ</w:t>
      </w:r>
    </w:p>
    <w:p>
      <w:r>
        <w:t>Plutôt que d'ajouter des aménagements après coup, l'</w:t>
      </w:r>
      <w:r>
        <w:rPr>
          <w:b/>
        </w:rPr>
        <w:t>UDL</w:t>
      </w:r>
      <w:r>
        <w:t xml:space="preserve"> conçoit dès le départ des situations flexibles (CAST, 2018). Trois principes :</w:t>
      </w:r>
    </w:p>
    <w:p>
      <w:pPr>
        <w:pStyle w:val="ListBullet"/>
      </w:pPr>
      <w:r>
        <w:rPr>
          <w:b/>
        </w:rPr>
        <w:t>Représentation multiple</w:t>
      </w:r>
      <w:r>
        <w:t xml:space="preserve"> — présenter l'information de plusieurs façons (texte, audio, schéma, vidéo sous-titrée).</w:t>
      </w:r>
    </w:p>
    <w:p>
      <w:pPr>
        <w:pStyle w:val="ListBullet"/>
      </w:pPr>
      <w:r>
        <w:rPr>
          <w:b/>
        </w:rPr>
        <w:t>Action &amp; expression multiples</w:t>
      </w:r>
      <w:r>
        <w:t xml:space="preserve"> — plusieurs manières de montrer sa maîtrise (écrit, oral, projet, vidéo), à critères d'évaluation identiques.</w:t>
      </w:r>
    </w:p>
    <w:p>
      <w:pPr>
        <w:pStyle w:val="ListBullet"/>
      </w:pPr>
      <w:r>
        <w:rPr>
          <w:b/>
        </w:rPr>
        <w:t>Engagement multiple</w:t>
      </w:r>
      <w:r>
        <w:t xml:space="preserve"> — des choix, un défi ajusté, du sens (autonomie, compétence, appartenance).</w:t>
      </w:r>
    </w:p>
    <w:p>
      <w:r>
        <w:t>Ce qui aide les personnes neurodivergentes aide aussi les autres : c'est le principe de la marée qui soulève tous les bateaux.</w:t>
      </w:r>
    </w:p>
    <w:p>
      <w:pPr>
        <w:pStyle w:val="Heading3"/>
      </w:pPr>
      <w:r>
        <w:t>Le mythe de la police « miracle »</w:t>
      </w:r>
    </w:p>
    <w:p>
      <w:r>
        <w:t xml:space="preserve">❌ </w:t>
      </w:r>
      <w:r>
        <w:rPr>
          <w:b/>
        </w:rPr>
        <w:t>Idée reçue :</w:t>
      </w:r>
      <w:r>
        <w:t xml:space="preserve"> « La police OpenDyslexic améliore la lecture des personnes dyslexiques.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Aucune amélioration de la vitesse ni de la précision de lecture avec OpenDyslexic (Wery &amp; Diliberto, 2017) ; les polices sans empattement classiques font au moins aussi bien (Rello &amp; Baeza-Yates, 2013). Ce qui aide vraiment : une police lisible, un interlettrage et un interligne augmentés, une taille confortable — pas une police « spéciale ».</w:t>
      </w:r>
    </w:p>
    <w:p>
      <w:pPr>
        <w:pStyle w:val="Heading3"/>
      </w:pPr>
      <w:r>
        <w:t>Multimodalité pour tous — pas de tri par « style »</w:t>
      </w:r>
    </w:p>
    <w:p>
      <w:r>
        <w:t>Proposer plusieurs formats n'est pas trier les apprenants par « style » (mythe VAK vu au module 1). C'est offrir à chacun des mots et des images : cette multimodalité aide tout le monde — un effet fort et bien étayé (Mayer, principe multimédia, d ≈ 1,39).</w:t>
      </w:r>
    </w:p>
    <w:p>
      <w:pPr>
        <w:pStyle w:val="Heading3"/>
      </w:pPr>
      <w:r>
        <w:t>Un langage qui inclut</w:t>
      </w:r>
    </w:p>
    <w:p>
      <w:r>
        <w:t>Parler de personnes (personne autiste, personne TDAH) plutôt que de « souffrance » ou de « déficit ». Et si l'on cite des personnalités, choisir celles qui ont elles-mêmes parlé de leur situation — Richard Branson (dyslexie), Temple Grandin (autisme), Simone Biles (TDAH) — plutôt qu'un diagnostic posé après coup sur une figure historique, invérifiable et sans valeur pédagogique.</w:t>
      </w:r>
    </w:p>
    <w:p>
      <w:pPr>
        <w:pStyle w:val="Heading2"/>
      </w:pPr>
      <w:r>
        <w:t>03 · Réfléchir — Six questions pour vérifier</w:t>
      </w:r>
    </w:p>
    <w:p>
      <w:r>
        <w:rPr>
          <w:b/>
        </w:rPr>
        <w:t>Q1.</w:t>
      </w:r>
      <w:r>
        <w:t xml:space="preserve"> UDL, c'est… ✓ </w:t>
      </w:r>
      <w:r>
        <w:rPr>
          <w:b/>
        </w:rPr>
        <w:t>Universal Design for Learning</w:t>
      </w:r>
      <w:r>
        <w:t xml:space="preserve"> — la flexibilité conçue dès le départ (CAST).</w:t>
      </w:r>
    </w:p>
    <w:p>
      <w:r>
        <w:rPr>
          <w:b/>
        </w:rPr>
        <w:t>Q2.</w:t>
      </w:r>
      <w:r>
        <w:t xml:space="preserve"> La police OpenDyslexic ? ✓ </w:t>
      </w:r>
      <w:r>
        <w:rPr>
          <w:b/>
        </w:rPr>
        <w:t>Pas de bénéfice démontré</w:t>
      </w:r>
      <w:r>
        <w:t xml:space="preserve"> (Wery &amp; Diliberto, 2017) : mieux vaut lisibilité + espacement.</w:t>
      </w:r>
    </w:p>
    <w:p>
      <w:r>
        <w:rPr>
          <w:b/>
        </w:rPr>
        <w:t>Q3.</w:t>
      </w:r>
      <w:r>
        <w:t xml:space="preserve"> La neurodiversité, dans le modèle inclusif ? ✓ </w:t>
      </w:r>
      <w:r>
        <w:rPr>
          <w:b/>
        </w:rPr>
        <w:t>Une variation naturelle</w:t>
      </w:r>
      <w:r>
        <w:t xml:space="preserve"> : on adapte l'environnement, pas la personne.</w:t>
      </w:r>
    </w:p>
    <w:p>
      <w:r>
        <w:rPr>
          <w:b/>
        </w:rPr>
        <w:t>Q4.</w:t>
      </w:r>
      <w:r>
        <w:t xml:space="preserve"> Proposer plusieurs formats, est-ce trier par « style » ? ✓ </w:t>
      </w:r>
      <w:r>
        <w:rPr>
          <w:b/>
        </w:rPr>
        <w:t>Non : multimodalité pour tous</w:t>
      </w:r>
      <w:r>
        <w:t xml:space="preserve"> (Mayer), pas VAK.</w:t>
      </w:r>
    </w:p>
    <w:p>
      <w:r>
        <w:rPr>
          <w:b/>
        </w:rPr>
        <w:t>Q5.</w:t>
      </w:r>
      <w:r>
        <w:t xml:space="preserve"> L'UDL profite à qui ? ✓ </w:t>
      </w:r>
      <w:r>
        <w:rPr>
          <w:b/>
        </w:rPr>
        <w:t>À tous</w:t>
      </w:r>
      <w:r>
        <w:t xml:space="preserve"> — la flexibilité aide aussi les apprenants neurotypiques.</w:t>
      </w:r>
    </w:p>
    <w:p>
      <w:r>
        <w:rPr>
          <w:b/>
        </w:rPr>
        <w:t>Q6.</w:t>
      </w:r>
      <w:r>
        <w:t xml:space="preserve"> Citer une personnalité neurodivergente ? ✓ </w:t>
      </w:r>
      <w:r>
        <w:rPr>
          <w:b/>
        </w:rPr>
        <w:t>Celle qui l'a déclaré elle-même</w:t>
      </w:r>
      <w:r>
        <w:t xml:space="preserve"> (Branson, Grandin, Biles) — pas un diagnostic posthume.</w:t>
      </w:r>
    </w:p>
    <w:p>
      <w:pPr>
        <w:pStyle w:val="Heading2"/>
      </w:pPr>
      <w:r>
        <w:t>04 · Appliquer — Auditer une formation avec l'UDL</w:t>
      </w:r>
    </w:p>
    <w:p>
      <w:r>
        <w:t>Mission (~12 min) : passez une formation au crible des trois principes.</w:t>
      </w:r>
    </w:p>
    <w:p>
      <w:r>
        <w:rPr>
          <w:b/>
        </w:rPr>
        <w:t>Trame</w:t>
      </w:r>
    </w:p>
    <w:p>
      <w:pPr>
        <w:pStyle w:val="ListBullet"/>
      </w:pPr>
      <w:r>
        <w:rPr>
          <w:b/>
        </w:rPr>
        <w:t>Représentation</w:t>
      </w:r>
      <w:r>
        <w:t xml:space="preserve"> — le contenu existe-t-il en plusieurs formats ? Sinon, ajoutez audio et schémas.</w:t>
      </w:r>
    </w:p>
    <w:p>
      <w:pPr>
        <w:pStyle w:val="ListBullet"/>
      </w:pPr>
      <w:r>
        <w:rPr>
          <w:b/>
        </w:rPr>
        <w:t>Action &amp; expression</w:t>
      </w:r>
      <w:r>
        <w:t xml:space="preserve"> — n'y a-t-il qu'une seule façon d'être évalué ? Ouvrez 2-3 options à critères identiques.</w:t>
      </w:r>
    </w:p>
    <w:p>
      <w:pPr>
        <w:pStyle w:val="ListBullet"/>
      </w:pPr>
      <w:r>
        <w:rPr>
          <w:b/>
        </w:rPr>
        <w:t>Engagement</w:t>
      </w:r>
      <w:r>
        <w:t xml:space="preserve"> — le rythme est-il imposé à tous ? Offrez des choix, un défi ajusté, des pauses.</w:t>
      </w:r>
    </w:p>
    <w:p>
      <w:pPr>
        <w:pStyle w:val="ListBullet"/>
      </w:pPr>
      <w:r>
        <w:rPr>
          <w:b/>
        </w:rPr>
        <w:t>Environnement</w:t>
      </w:r>
      <w:r>
        <w:t xml:space="preserve"> — prévoyez consignes explicites et un espace calme.</w:t>
      </w:r>
    </w:p>
    <w:p>
      <w:pPr>
        <w:pStyle w:val="Heading2"/>
      </w:pPr>
      <w:r>
        <w:t>05 · Consolider — Trois phrases à emporter</w:t>
      </w:r>
    </w:p>
    <w:p>
      <w:r>
        <w:t>« Concevoir pour les marges profite à tous. » — La flexibilité pensée pour les uns sert tout le monde.</w:t>
      </w:r>
    </w:p>
    <w:p>
      <w:r>
        <w:t>« Différence n'est pas déficience. » — Des forces, autant que des défis — et des défis contextuels.</w:t>
      </w:r>
    </w:p>
    <w:p>
      <w:r>
        <w:t>« On adapte l'environnement, pas la personne. » — Le handicap naît souvent d'un cadre inadapté.</w:t>
      </w:r>
    </w:p>
    <w:p>
      <w:pPr>
        <w:pStyle w:val="Heading2"/>
      </w:pPr>
      <w:r>
        <w:t>06 · Transférer — Un seul geste, cette semaine</w:t>
      </w:r>
    </w:p>
    <w:p>
      <w:r>
        <w:rPr>
          <w:b/>
        </w:rPr>
        <w:t>À faire.</w:t>
      </w:r>
      <w:r>
        <w:t xml:space="preserve"> Ajoutez une seule option à une séance : un contenu clé disponible aussi en audio ou en schéma, ou une façon alternative de démontrer sa maîtrise. Notez qui s'en saisit — souvent, plus de monde que prévu.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Bibliographie du parcours</w:t>
      </w:r>
    </w:p>
    <w:p>
      <w:r>
        <w:rPr>
          <w:i/>
        </w:rPr>
        <w:t>Toutes vérifiées (existence, auteurs, année, contenu). Les affirmations de science du parcours s'y rattachent ; les claims sans source réelle ont été retirés, non remplacés par des substituts.</w:t>
      </w:r>
    </w:p>
    <w:p>
      <w:pPr>
        <w:pStyle w:val="ListNumber"/>
      </w:pPr>
      <w:r>
        <w:rPr>
          <w:b/>
        </w:rPr>
        <w:t>[Livre]</w:t>
      </w:r>
      <w:r>
        <w:t xml:space="preserve"> Dehaene, S. (2018). </w:t>
      </w:r>
      <w:r>
        <w:rPr>
          <w:i/>
        </w:rPr>
        <w:t>Apprendre ! Les talents du cerveau, le défi des machines.</w:t>
      </w:r>
      <w:r>
        <w:t xml:space="preserve"> Odile Jacob.</w:t>
      </w:r>
    </w:p>
    <w:p>
      <w:pPr>
        <w:pStyle w:val="ListNumber"/>
      </w:pPr>
      <w:r>
        <w:rPr>
          <w:b/>
        </w:rPr>
        <w:t>[Fondateur]</w:t>
      </w:r>
      <w:r>
        <w:t xml:space="preserve"> Hebb, D. O. (1949). </w:t>
      </w:r>
      <w:r>
        <w:rPr>
          <w:i/>
        </w:rPr>
        <w:t>The Organization of Behavior.</w:t>
      </w:r>
      <w:r>
        <w:t xml:space="preserve"> Wiley.</w:t>
      </w:r>
    </w:p>
    <w:p>
      <w:pPr>
        <w:pStyle w:val="ListNumber"/>
      </w:pPr>
      <w:r>
        <w:rPr>
          <w:b/>
        </w:rPr>
        <w:t>[Acad.]</w:t>
      </w:r>
      <w:r>
        <w:t xml:space="preserve"> Miller, G. A. (1956). </w:t>
      </w:r>
      <w:r>
        <w:rPr>
          <w:i/>
        </w:rPr>
        <w:t>The magical number seven, plus or minus two.</w:t>
      </w:r>
      <w:r>
        <w:t xml:space="preserve"> Psychological Review, 63(2).</w:t>
      </w:r>
    </w:p>
    <w:p>
      <w:pPr>
        <w:pStyle w:val="ListNumber"/>
      </w:pPr>
      <w:r>
        <w:rPr>
          <w:b/>
        </w:rPr>
        <w:t>[Acad.]</w:t>
      </w:r>
      <w:r>
        <w:t xml:space="preserve"> Cowan, N. (2001). </w:t>
      </w:r>
      <w:r>
        <w:rPr>
          <w:i/>
        </w:rPr>
        <w:t>The magical number 4 in short-term memory.</w:t>
      </w:r>
      <w:r>
        <w:t xml:space="preserve"> Behavioral and Brain Sciences, 24(1).</w:t>
      </w:r>
    </w:p>
    <w:p>
      <w:pPr>
        <w:pStyle w:val="ListNumber"/>
      </w:pPr>
      <w:r>
        <w:rPr>
          <w:b/>
        </w:rPr>
        <w:t>[Acad.]</w:t>
      </w:r>
      <w:r>
        <w:t xml:space="preserve"> Baddeley, A. (2000). </w:t>
      </w:r>
      <w:r>
        <w:rPr>
          <w:i/>
        </w:rPr>
        <w:t>The episodic buffer: a new component of working memory?</w:t>
      </w:r>
      <w:r>
        <w:t xml:space="preserve"> Trends in Cognitive Sciences, 4(11).</w:t>
      </w:r>
    </w:p>
    <w:p>
      <w:pPr>
        <w:pStyle w:val="ListNumber"/>
      </w:pPr>
      <w:r>
        <w:rPr>
          <w:b/>
        </w:rPr>
        <w:t>[Fondateur]</w:t>
      </w:r>
      <w:r>
        <w:t xml:space="preserve"> Ebbinghaus, H. (1885). </w:t>
      </w:r>
      <w:r>
        <w:rPr>
          <w:i/>
        </w:rPr>
        <w:t>Über das Gedächtnis.</w:t>
      </w:r>
      <w:r>
        <w:t xml:space="preserve"> — courbe de l'oubli.</w:t>
      </w:r>
    </w:p>
    <w:p>
      <w:pPr>
        <w:pStyle w:val="ListNumber"/>
      </w:pPr>
      <w:r>
        <w:rPr>
          <w:b/>
        </w:rPr>
        <w:t>[Acad.]</w:t>
      </w:r>
      <w:r>
        <w:t xml:space="preserve"> Murre, J. M. J. &amp; Dros, J. (2015). </w:t>
      </w:r>
      <w:r>
        <w:rPr>
          <w:i/>
        </w:rPr>
        <w:t>Replication and Analysis of Ebbinghaus' Forgetting Curve.</w:t>
      </w:r>
      <w:r>
        <w:t xml:space="preserve"> PLOS ONE, 10(7). &lt;https://journals.plos.org/plosone/article?id=10.1371/journal.pone.0120644&gt;</w:t>
      </w:r>
    </w:p>
    <w:p>
      <w:pPr>
        <w:pStyle w:val="ListNumber"/>
      </w:pPr>
      <w:r>
        <w:rPr>
          <w:b/>
        </w:rPr>
        <w:t>[Acad.]</w:t>
      </w:r>
      <w:r>
        <w:t xml:space="preserve"> Cepeda, N. J., Pashler, H. et al. (2006). </w:t>
      </w:r>
      <w:r>
        <w:rPr>
          <w:i/>
        </w:rPr>
        <w:t>Distributed practice in verbal recall tasks: A review and quantitative synthesis.</w:t>
      </w:r>
      <w:r>
        <w:t xml:space="preserve"> Psychological Bulletin, 132(3).</w:t>
      </w:r>
    </w:p>
    <w:p>
      <w:pPr>
        <w:pStyle w:val="ListNumber"/>
      </w:pPr>
      <w:r>
        <w:rPr>
          <w:b/>
        </w:rPr>
        <w:t>[Acad.]</w:t>
      </w:r>
      <w:r>
        <w:t xml:space="preserve"> Roediger, H. L. &amp; Karpicke, J. D. (2006). </w:t>
      </w:r>
      <w:r>
        <w:rPr>
          <w:i/>
        </w:rPr>
        <w:t>Test-enhanced learning.</w:t>
      </w:r>
      <w:r>
        <w:t xml:space="preserve"> Psychological Science, 17(3).</w:t>
      </w:r>
    </w:p>
    <w:p>
      <w:pPr>
        <w:pStyle w:val="ListNumber"/>
      </w:pPr>
      <w:r>
        <w:rPr>
          <w:b/>
        </w:rPr>
        <w:t>[Acad.]</w:t>
      </w:r>
      <w:r>
        <w:t xml:space="preserve"> Bjork, R. A. (1994). </w:t>
      </w:r>
      <w:r>
        <w:rPr>
          <w:i/>
        </w:rPr>
        <w:t>Memory and metamemory considerations in the training of human beings.</w:t>
      </w:r>
      <w:r>
        <w:t xml:space="preserve"> — « difficultés désirables ».</w:t>
      </w:r>
    </w:p>
    <w:p>
      <w:pPr>
        <w:pStyle w:val="ListNumber"/>
      </w:pPr>
      <w:r>
        <w:rPr>
          <w:b/>
        </w:rPr>
        <w:t>[Acad.]</w:t>
      </w:r>
      <w:r>
        <w:t xml:space="preserve"> Bradbury, N. A. (2016). </w:t>
      </w:r>
      <w:r>
        <w:rPr>
          <w:i/>
        </w:rPr>
        <w:t>Attention span during lectures: 8 seconds, 10 minutes, or more?</w:t>
      </w:r>
      <w:r>
        <w:t xml:space="preserve"> Advances in Physiology Education, 40(4). &lt;https://journals.physiology.org/doi/full/10.1152/advan.00109.2016&gt;</w:t>
      </w:r>
    </w:p>
    <w:p>
      <w:pPr>
        <w:pStyle w:val="ListNumber"/>
      </w:pPr>
      <w:r>
        <w:rPr>
          <w:b/>
        </w:rPr>
        <w:t>[L&amp;D]</w:t>
      </w:r>
      <w:r>
        <w:t xml:space="preserve"> Maybin, S. (2017). </w:t>
      </w:r>
      <w:r>
        <w:rPr>
          <w:i/>
        </w:rPr>
        <w:t>Busting the attention span myth.</w:t>
      </w:r>
      <w:r>
        <w:t xml:space="preserve"> BBC — More or Less. &lt;https://www.bbc.com/news/health-38896790&gt;</w:t>
      </w:r>
    </w:p>
    <w:p>
      <w:pPr>
        <w:pStyle w:val="ListNumber"/>
      </w:pPr>
      <w:r>
        <w:rPr>
          <w:b/>
        </w:rPr>
        <w:t>[Acad.]</w:t>
      </w:r>
      <w:r>
        <w:t xml:space="preserve"> Mayer, R. E. </w:t>
      </w:r>
      <w:r>
        <w:rPr>
          <w:i/>
        </w:rPr>
        <w:t>Multimedia Learning.</w:t>
      </w:r>
      <w:r>
        <w:t xml:space="preserve"> Cambridge University Press — segmentation (d ≈ 0,52), multimédia (d ≈ 1,39).</w:t>
      </w:r>
    </w:p>
    <w:p>
      <w:pPr>
        <w:pStyle w:val="ListNumber"/>
      </w:pPr>
      <w:r>
        <w:rPr>
          <w:b/>
        </w:rPr>
        <w:t>[Acad.]</w:t>
      </w:r>
      <w:r>
        <w:t xml:space="preserve"> Posner, M. I. &amp; Petersen, S. E. (1990). </w:t>
      </w:r>
      <w:r>
        <w:rPr>
          <w:i/>
        </w:rPr>
        <w:t>The attention system of the human brain.</w:t>
      </w:r>
      <w:r>
        <w:t xml:space="preserve"> Annual Review of Neuroscience, 13.</w:t>
      </w:r>
    </w:p>
    <w:p>
      <w:pPr>
        <w:pStyle w:val="ListNumber"/>
      </w:pPr>
      <w:r>
        <w:rPr>
          <w:b/>
        </w:rPr>
        <w:t>[Acad.]</w:t>
      </w:r>
      <w:r>
        <w:t xml:space="preserve"> Deci, E. L. &amp; Ryan, R. M. — </w:t>
      </w:r>
      <w:r>
        <w:rPr>
          <w:i/>
        </w:rPr>
        <w:t>Self-Determination Theory</w:t>
      </w:r>
      <w:r>
        <w:t xml:space="preserve"> (autonomie, compétence, appartenance).</w:t>
      </w:r>
    </w:p>
    <w:p>
      <w:pPr>
        <w:pStyle w:val="ListNumber"/>
      </w:pPr>
      <w:r>
        <w:rPr>
          <w:b/>
        </w:rPr>
        <w:t>[Acad.]</w:t>
      </w:r>
      <w:r>
        <w:t xml:space="preserve"> Black, P. &amp; Wiliam, D. (1998). </w:t>
      </w:r>
      <w:r>
        <w:rPr>
          <w:i/>
        </w:rPr>
        <w:t>Assessment and Classroom Learning.</w:t>
      </w:r>
      <w:r>
        <w:t xml:space="preserve"> Assessment in Education, 5(1).</w:t>
      </w:r>
    </w:p>
    <w:p>
      <w:pPr>
        <w:pStyle w:val="ListNumber"/>
      </w:pPr>
      <w:r>
        <w:rPr>
          <w:b/>
        </w:rPr>
        <w:t>[Acad.]</w:t>
      </w:r>
      <w:r>
        <w:t xml:space="preserve"> Sisk, V. F. et al. (2018). </w:t>
      </w:r>
      <w:r>
        <w:rPr>
          <w:i/>
        </w:rPr>
        <w:t>…Growth Mind-Sets… Two Meta-Analyses.</w:t>
      </w:r>
      <w:r>
        <w:t xml:space="preserve"> Psychological Science, 29(4). &lt;https://journals.sagepub.com/doi/abs/10.1177/0956797617739704&gt;</w:t>
      </w:r>
    </w:p>
    <w:p>
      <w:pPr>
        <w:pStyle w:val="ListNumber"/>
      </w:pPr>
      <w:r>
        <w:rPr>
          <w:b/>
        </w:rPr>
        <w:t>[Acad.]</w:t>
      </w:r>
      <w:r>
        <w:t xml:space="preserve"> Pashler, H., McDaniel, M., Rohrer, D. &amp; Bjork, R. (2008). </w:t>
      </w:r>
      <w:r>
        <w:rPr>
          <w:i/>
        </w:rPr>
        <w:t>Learning Styles: Concepts and Evidence.</w:t>
      </w:r>
      <w:r>
        <w:t xml:space="preserve"> PSPI, 9(3). &lt;https://journals.sagepub.com/doi/10.1111/j.1539-6053.2009.01038.x&gt;</w:t>
      </w:r>
    </w:p>
    <w:p>
      <w:pPr>
        <w:pStyle w:val="ListNumber"/>
      </w:pPr>
      <w:r>
        <w:rPr>
          <w:b/>
        </w:rPr>
        <w:t>[Acad.]</w:t>
      </w:r>
      <w:r>
        <w:t xml:space="preserve"> Howard-Jones, P. (2014). </w:t>
      </w:r>
      <w:r>
        <w:rPr>
          <w:i/>
        </w:rPr>
        <w:t>Neuroscience and education: myths and messages.</w:t>
      </w:r>
      <w:r>
        <w:t xml:space="preserve"> Nature Reviews Neuroscience, 15(12). &lt;https://www.nature.com/articles/nrn3817&gt;</w:t>
      </w:r>
    </w:p>
    <w:p>
      <w:pPr>
        <w:pStyle w:val="ListNumber"/>
      </w:pPr>
      <w:r>
        <w:rPr>
          <w:b/>
        </w:rPr>
        <w:t>[Acad.]</w:t>
      </w:r>
      <w:r>
        <w:t xml:space="preserve"> Nieuwenhuis, S. (2024). </w:t>
      </w:r>
      <w:r>
        <w:rPr>
          <w:i/>
        </w:rPr>
        <w:t>Arousal and performance: revisiting the inverted-U-shaped curve.</w:t>
      </w:r>
      <w:r>
        <w:t xml:space="preserve"> Trends in Cognitive Sciences, 28(5). &lt;https://www.cell.com/trends/cognitive-sciences/fulltext/S1364-6613(24)00078-0&gt;</w:t>
      </w:r>
    </w:p>
    <w:p>
      <w:pPr>
        <w:pStyle w:val="ListNumber"/>
      </w:pPr>
      <w:r>
        <w:rPr>
          <w:b/>
        </w:rPr>
        <w:t>[Acad.]</w:t>
      </w:r>
      <w:r>
        <w:t xml:space="preserve"> McEwen, B. S., Nasca, C. &amp; Gray, J. D. (2016). </w:t>
      </w:r>
      <w:r>
        <w:rPr>
          <w:i/>
        </w:rPr>
        <w:t>Stress Effects on Neuronal Structure.</w:t>
      </w:r>
      <w:r>
        <w:t xml:space="preserve"> Neuropsychopharmacology, 41(1). &lt;https://www.nature.com/articles/npp2015171&gt;</w:t>
      </w:r>
    </w:p>
    <w:p>
      <w:pPr>
        <w:pStyle w:val="ListNumber"/>
      </w:pPr>
      <w:r>
        <w:rPr>
          <w:b/>
        </w:rPr>
        <w:t>[Livre]</w:t>
      </w:r>
      <w:r>
        <w:t xml:space="preserve"> Goleman, D. (1995). </w:t>
      </w:r>
      <w:r>
        <w:rPr>
          <w:i/>
        </w:rPr>
        <w:t>Emotional Intelligence.</w:t>
      </w:r>
      <w:r>
        <w:t xml:space="preserve"> Bantam — notion d'« amygdala hijack ».</w:t>
      </w:r>
    </w:p>
    <w:p>
      <w:pPr>
        <w:pStyle w:val="ListNumber"/>
      </w:pPr>
      <w:r>
        <w:rPr>
          <w:b/>
        </w:rPr>
        <w:t>[Livre]</w:t>
      </w:r>
      <w:r>
        <w:t xml:space="preserve"> Dweck, C. S. (2006). </w:t>
      </w:r>
      <w:r>
        <w:rPr>
          <w:i/>
        </w:rPr>
        <w:t>Mindset: The New Psychology of Success.</w:t>
      </w:r>
      <w:r>
        <w:t xml:space="preserve"> Random House.</w:t>
      </w:r>
    </w:p>
    <w:p>
      <w:pPr>
        <w:pStyle w:val="ListNumber"/>
      </w:pPr>
      <w:r>
        <w:rPr>
          <w:b/>
        </w:rPr>
        <w:t>[Livre]</w:t>
      </w:r>
      <w:r>
        <w:t xml:space="preserve"> Edmondson, A. C. (2018). </w:t>
      </w:r>
      <w:r>
        <w:rPr>
          <w:i/>
        </w:rPr>
        <w:t>The Fearless Organization.</w:t>
      </w:r>
      <w:r>
        <w:t xml:space="preserve"> Wiley — sécurité psychologique.</w:t>
      </w:r>
    </w:p>
    <w:p>
      <w:pPr>
        <w:pStyle w:val="ListNumber"/>
      </w:pPr>
      <w:r>
        <w:rPr>
          <w:b/>
        </w:rPr>
        <w:t>[Fondateur]</w:t>
      </w:r>
      <w:r>
        <w:t xml:space="preserve"> Vygotsky, L. S. (1978). </w:t>
      </w:r>
      <w:r>
        <w:rPr>
          <w:i/>
        </w:rPr>
        <w:t>Mind in Society.</w:t>
      </w:r>
      <w:r>
        <w:t xml:space="preserve"> Harvard University Press — zone proximale de développement.</w:t>
      </w:r>
    </w:p>
    <w:p>
      <w:pPr>
        <w:pStyle w:val="ListNumber"/>
      </w:pPr>
      <w:r>
        <w:rPr>
          <w:b/>
        </w:rPr>
        <w:t>[Acad.]</w:t>
      </w:r>
      <w:r>
        <w:t xml:space="preserve"> Wery, J. J. &amp; Diliberto, J. A. (2017). </w:t>
      </w:r>
      <w:r>
        <w:rPr>
          <w:i/>
        </w:rPr>
        <w:t>The effect of a specialized dyslexia font, OpenDyslexic, on reading rate and accuracy.</w:t>
      </w:r>
      <w:r>
        <w:t xml:space="preserve"> Annals of Dyslexia, 67(2). &lt;https://link.springer.com/article/10.1007/s11881-016-0127-1&gt;</w:t>
      </w:r>
    </w:p>
    <w:p>
      <w:pPr>
        <w:pStyle w:val="ListNumber"/>
      </w:pPr>
      <w:r>
        <w:rPr>
          <w:b/>
        </w:rPr>
        <w:t>[Acad.]</w:t>
      </w:r>
      <w:r>
        <w:t xml:space="preserve"> Rello, L. &amp; Baeza-Yates, R. (2013). </w:t>
      </w:r>
      <w:r>
        <w:rPr>
          <w:i/>
        </w:rPr>
        <w:t>Good fonts for dyslexia.</w:t>
      </w:r>
      <w:r>
        <w:t xml:space="preserve"> ASSETS '13.</w:t>
      </w:r>
    </w:p>
    <w:p>
      <w:pPr>
        <w:pStyle w:val="ListNumber"/>
      </w:pPr>
      <w:r>
        <w:rPr>
          <w:b/>
        </w:rPr>
        <w:t>[Cadre]</w:t>
      </w:r>
      <w:r>
        <w:t xml:space="preserve"> CAST (2018). </w:t>
      </w:r>
      <w:r>
        <w:rPr>
          <w:i/>
        </w:rPr>
        <w:t>Universal Design for Learning Guidelines version 2.2.</w:t>
      </w:r>
      <w:r>
        <w:t xml:space="preserve"> &lt;https://udlguidelines.cast.org/&gt;</w:t>
      </w:r>
    </w:p>
    <w:p>
      <w:pPr>
        <w:pStyle w:val="ListNumber"/>
      </w:pPr>
      <w:r>
        <w:rPr>
          <w:b/>
        </w:rPr>
        <w:t>[Fondateur]</w:t>
      </w:r>
      <w:r>
        <w:t xml:space="preserve"> Singer, J. (années 1990). — origine du terme « neurodiversité ».</w:t>
      </w:r>
    </w:p>
    <w:p>
      <w:pPr>
        <w:pStyle w:val="ListNumber"/>
      </w:pPr>
      <w:r>
        <w:rPr>
          <w:b/>
        </w:rPr>
        <w:t>[Acad.]</w:t>
      </w:r>
      <w:r>
        <w:t xml:space="preserve"> Sweller, J. (1988). </w:t>
      </w:r>
      <w:r>
        <w:rPr>
          <w:i/>
        </w:rPr>
        <w:t>Cognitive load during problem solving: Effects on learning.</w:t>
      </w:r>
      <w:r>
        <w:t xml:space="preserve"> Cognitive Science, 12(2).</w:t>
      </w:r>
    </w:p>
    <w:p>
      <w:pPr>
        <w:pStyle w:val="ListNumber"/>
      </w:pPr>
      <w:r>
        <w:rPr>
          <w:b/>
        </w:rPr>
        <w:t>[Fondateur]</w:t>
      </w:r>
      <w:r>
        <w:t xml:space="preserve"> Paivio, A. (1971). </w:t>
      </w:r>
      <w:r>
        <w:rPr>
          <w:i/>
        </w:rPr>
        <w:t>Imagery and Verbal Processes.</w:t>
      </w:r>
      <w:r>
        <w:t xml:space="preserve"> — dual coding.</w:t>
      </w:r>
    </w:p>
    <w:p>
      <w:pPr>
        <w:pStyle w:val="ListNumber"/>
      </w:pPr>
      <w:r>
        <w:rPr>
          <w:b/>
        </w:rPr>
        <w:t>[Acad.]</w:t>
      </w:r>
      <w:r>
        <w:t xml:space="preserve"> Kalyuga, S., Chandler, P. &amp; Sweller, J. (2004). </w:t>
      </w:r>
      <w:r>
        <w:rPr>
          <w:i/>
        </w:rPr>
        <w:t>When Redundant On-Screen Text in Multimedia Instruction Can Interfere With Learning.</w:t>
      </w:r>
      <w:r>
        <w:t xml:space="preserve"> Human Factors, 46(3). &lt;https://journals.sagepub.com/doi/10.1518/hfes.46.3.567.50405&gt;</w:t>
      </w:r>
    </w:p>
    <w:p>
      <w:pPr>
        <w:pStyle w:val="ListNumber"/>
      </w:pPr>
      <w:r>
        <w:rPr>
          <w:b/>
        </w:rPr>
        <w:t>[Acad.]</w:t>
      </w:r>
      <w:r>
        <w:t xml:space="preserve"> Diekelmann, S. &amp; Born, J. (2010). </w:t>
      </w:r>
      <w:r>
        <w:rPr>
          <w:i/>
        </w:rPr>
        <w:t>The memory function of sleep.</w:t>
      </w:r>
      <w:r>
        <w:t xml:space="preserve"> Nature Reviews Neuroscience, 11(2). &lt;https://www.nature.com/articles/nrn2762&gt;</w:t>
      </w:r>
    </w:p>
    <w:p>
      <w:pPr>
        <w:pStyle w:val="ListNumber"/>
      </w:pPr>
      <w:r>
        <w:rPr>
          <w:b/>
        </w:rPr>
        <w:t>[Acad.]</w:t>
      </w:r>
      <w:r>
        <w:t xml:space="preserve"> Xie, L. et al. (2013). </w:t>
      </w:r>
      <w:r>
        <w:rPr>
          <w:i/>
        </w:rPr>
        <w:t>Sleep Drives Metabolite Clearance from the Adult Brain.</w:t>
      </w:r>
      <w:r>
        <w:t xml:space="preserve"> Science, 342(6156).</w:t>
      </w:r>
    </w:p>
    <w:p>
      <w:pPr>
        <w:pStyle w:val="ListNumber"/>
      </w:pPr>
      <w:r>
        <w:rPr>
          <w:b/>
        </w:rPr>
        <w:t>[Acad.]</w:t>
      </w:r>
      <w:r>
        <w:t xml:space="preserve"> Williamson, A. M. &amp; Feyer, A.-M. (2000). </w:t>
      </w:r>
      <w:r>
        <w:rPr>
          <w:i/>
        </w:rPr>
        <w:t>Moderate sleep deprivation produces impairments equivalent to legally prescribed levels of alcohol intoxication.</w:t>
      </w:r>
      <w:r>
        <w:t xml:space="preserve"> Occupational and Environmental Medicine, 57(10).</w:t>
      </w:r>
    </w:p>
    <w:p>
      <w:pPr>
        <w:pStyle w:val="ListNumber"/>
      </w:pPr>
      <w:r>
        <w:rPr>
          <w:b/>
        </w:rPr>
        <w:t>[Acad.]</w:t>
      </w:r>
      <w:r>
        <w:t xml:space="preserve"> Mednick, S., Nakayama, K. &amp; Stickgold, R. (2003). </w:t>
      </w:r>
      <w:r>
        <w:rPr>
          <w:i/>
        </w:rPr>
        <w:t>Sleep-dependent learning: a nap is as good as a night.</w:t>
      </w:r>
      <w:r>
        <w:t xml:space="preserve"> Nature Neuroscience, 6(7).</w:t>
      </w:r>
    </w:p>
    <w:p>
      <w:pPr>
        <w:pStyle w:val="ListNumber"/>
      </w:pPr>
      <w:r>
        <w:rPr>
          <w:b/>
        </w:rPr>
        <w:t>[Fondateur]</w:t>
      </w:r>
      <w:r>
        <w:t xml:space="preserve"> Gick, M. L. &amp; Holyoak, K. J. (1980). </w:t>
      </w:r>
      <w:r>
        <w:rPr>
          <w:i/>
        </w:rPr>
        <w:t>Analogical problem solving.</w:t>
      </w:r>
      <w:r>
        <w:t xml:space="preserve"> Cognitive Psychology, 12(3).</w:t>
      </w:r>
    </w:p>
    <w:p>
      <w:pPr>
        <w:pStyle w:val="ListNumber"/>
      </w:pPr>
      <w:r>
        <w:rPr>
          <w:b/>
        </w:rPr>
        <w:t>[Acad.]</w:t>
      </w:r>
      <w:r>
        <w:t xml:space="preserve"> Barnett, S. M. &amp; Ceci, S. J. (2002). </w:t>
      </w:r>
      <w:r>
        <w:rPr>
          <w:i/>
        </w:rPr>
        <w:t>When and where do we apply what we learn? A taxonomy for far transfer.</w:t>
      </w:r>
      <w:r>
        <w:t xml:space="preserve"> Psychological Bulletin, 128(4).</w:t>
      </w:r>
    </w:p>
    <w:p>
      <w:r>
        <w:rPr>
          <w:i/>
        </w:rPr>
        <w:t>The Learning Society · Parcours Neuro-Éducation · réécrit &amp; fact-checké, juillet 2026 · 10 modules — parcours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