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NEURO-ÉDUCATION · Module 7 — Multimodalité &amp; charge cognitive</w:t>
      </w:r>
    </w:p>
    <w:p>
      <w:pPr>
        <w:pStyle w:val="IntenseQuote"/>
      </w:pPr>
      <w:r>
        <w:rPr>
          <w:b/>
        </w:rPr>
        <w:t>Version réécrite et fact-checkée.</w:t>
      </w:r>
      <w:r>
        <w:t xml:space="preserve"> Ce module fait partie du parcours</w:t>
      </w:r>
    </w:p>
    <w:p>
      <w:pPr>
        <w:pStyle w:val="IntenseQuote"/>
      </w:pPr>
      <w:r>
        <w:t>Neuro-Éducation entièrement réécrit : mythes retirés, affirmations rattachées à</w:t>
      </w:r>
    </w:p>
    <w:p>
      <w:pPr>
        <w:pStyle w:val="IntenseQuote"/>
      </w:pPr>
      <w:r>
        <w:t>des sources vérifiées (existence, auteurs, année, contenu). Les affirmations</w:t>
      </w:r>
    </w:p>
    <w:p>
      <w:pPr>
        <w:pStyle w:val="IntenseQuote"/>
      </w:pPr>
      <w:r>
        <w:t>sans source réelle ont été supprimées, jamais remplacées par un substitut.</w:t>
      </w:r>
    </w:p>
    <w:p>
      <w:pPr>
        <w:pStyle w:val="IntenseQuote"/>
      </w:pPr>
      <w:r>
        <w:t>Bibliographie complète en fin de document.</w:t>
      </w:r>
    </w:p>
    <w:p>
      <w:pPr>
        <w:pStyle w:val="IntenseQuote"/>
      </w:pPr>
    </w:p>
    <w:p>
      <w:pPr>
        <w:pStyle w:val="IntenseQuote"/>
      </w:pPr>
      <w:r>
        <w:rPr>
          <w:i/>
        </w:rPr>
        <w:t>Découpé en module autonome le 2026-07-24, à partir du parcours réécrit.</w:t>
      </w:r>
    </w:p>
    <w:p>
      <w:pPr>
        <w:jc w:val="center"/>
      </w:pPr>
      <w:r>
        <w:t>________________________________________</w:t>
      </w:r>
    </w:p>
    <w:p>
      <w:r>
        <w:rPr>
          <w:i/>
        </w:rPr>
        <w:t>Le vrai levier n'est pas de trier les apprenants par « style », mais de ménager la mémoire de travail et d'associer mots et images.</w:t>
      </w:r>
    </w:p>
    <w:p>
      <w:r>
        <w:rPr>
          <w:b/>
        </w:rPr>
        <w:t>Ce que vous saurez faire</w:t>
      </w:r>
    </w:p>
    <w:p>
      <w:pPr>
        <w:pStyle w:val="ListBullet"/>
      </w:pPr>
      <w:r>
        <w:rPr>
          <w:b/>
        </w:rPr>
        <w:t>Expliquer</w:t>
      </w:r>
      <w:r>
        <w:t xml:space="preserve"> les trois charges cognitives (Sweller).</w:t>
      </w:r>
    </w:p>
    <w:p>
      <w:pPr>
        <w:pStyle w:val="ListBullet"/>
      </w:pPr>
      <w:r>
        <w:rPr>
          <w:b/>
        </w:rPr>
        <w:t>Repérer et éliminer</w:t>
      </w:r>
      <w:r>
        <w:t xml:space="preserve"> la surcharge inutile d'un support.</w:t>
      </w:r>
    </w:p>
    <w:p>
      <w:pPr>
        <w:pStyle w:val="ListBullet"/>
      </w:pPr>
      <w:r>
        <w:rPr>
          <w:b/>
        </w:rPr>
        <w:t>Associer</w:t>
      </w:r>
      <w:r>
        <w:t xml:space="preserve"> mots et images de façon complémentaire.</w:t>
      </w:r>
    </w:p>
    <w:p>
      <w:pPr>
        <w:pStyle w:val="ListBullet"/>
      </w:pPr>
      <w:r>
        <w:rPr>
          <w:b/>
        </w:rPr>
        <w:t>Distinguer</w:t>
      </w:r>
      <w:r>
        <w:t xml:space="preserve"> multimodalité pour tous et tri par « style ».</w:t>
      </w:r>
    </w:p>
    <w:p>
      <w:pPr>
        <w:pStyle w:val="Heading2"/>
      </w:pPr>
      <w:r>
        <w:t>01 · Engagement — Une diapositive dense, ou une séquence multimodale</w:t>
      </w:r>
    </w:p>
    <w:p>
      <w:r>
        <w:t>Le même contenu — un processus, un concept — peut arriver sous forme d'un mur de texte lu à voix haute, ou d'un schéma clair commenté et manipulé. Le second n'est pas « plus joli » : il ménage la mémoire de travail.</w:t>
      </w:r>
    </w:p>
    <w:p>
      <w:r>
        <w:rPr>
          <w:b/>
        </w:rPr>
        <w:t>Approche A · le mur de texte — tout, en mots</w:t>
      </w:r>
    </w:p>
    <w:p>
      <w:pPr>
        <w:pStyle w:val="ListBullet"/>
      </w:pPr>
      <w:r>
        <w:t>50 mots par diapositive, lus à voix haute</w:t>
      </w:r>
    </w:p>
    <w:p>
      <w:pPr>
        <w:pStyle w:val="ListBullet"/>
      </w:pPr>
      <w:r>
        <w:t>Aucune image, tout est abstrait</w:t>
      </w:r>
    </w:p>
    <w:p>
      <w:pPr>
        <w:pStyle w:val="ListBullet"/>
      </w:pPr>
      <w:r>
        <w:t>Texte à l'écran + narration identique</w:t>
      </w:r>
    </w:p>
    <w:p>
      <w:pPr>
        <w:pStyle w:val="ListBullet"/>
      </w:pPr>
      <w:r>
        <w:t>L'apprenant regarde, note, décroche</w:t>
      </w:r>
    </w:p>
    <w:p>
      <w:r>
        <w:rPr>
          <w:b/>
        </w:rPr>
        <w:t>Approche B · mots + images — réparti, complémentaire</w:t>
      </w:r>
    </w:p>
    <w:p>
      <w:pPr>
        <w:pStyle w:val="ListBullet"/>
      </w:pPr>
      <w:r>
        <w:t>3 points clés (&lt; 15 mots) + un schéma clair</w:t>
      </w:r>
    </w:p>
    <w:p>
      <w:pPr>
        <w:pStyle w:val="ListBullet"/>
      </w:pPr>
      <w:r>
        <w:t>L'image montre ce que le texte explique</w:t>
      </w:r>
    </w:p>
    <w:p>
      <w:pPr>
        <w:pStyle w:val="ListBullet"/>
      </w:pPr>
      <w:r>
        <w:t>Une manipulation courte pour ancrer</w:t>
      </w:r>
    </w:p>
    <w:p>
      <w:pPr>
        <w:pStyle w:val="ListBullet"/>
      </w:pPr>
      <w:r>
        <w:t>Un quiz de récupération pour vérifier</w:t>
      </w:r>
    </w:p>
    <w:p>
      <w:r>
        <w:rPr>
          <w:b/>
        </w:rPr>
        <w:t>Scénario illustratif.</w:t>
      </w:r>
      <w:r>
        <w:t xml:space="preserve"> Les gains chiffrés (« +350 % d'engagement ») de la version d'origine ont été retirés. Le principe — charge cognitive et mots + images — est, lui, très étayé.</w:t>
      </w:r>
    </w:p>
    <w:p>
      <w:r>
        <w:rPr>
          <w:b/>
        </w:rPr>
        <w:t>Question clé.</w:t>
      </w:r>
      <w:r>
        <w:t xml:space="preserve"> Mes supports ménagent-ils la mémoire de travail ? Ou saturent-ils par du texte dense et des sources dupliquées ?</w:t>
      </w:r>
    </w:p>
    <w:p>
      <w:pPr>
        <w:pStyle w:val="Heading2"/>
      </w:pPr>
      <w:r>
        <w:t>02 · Découvrir — Ménager la mémoire, associer les canaux</w:t>
      </w:r>
    </w:p>
    <w:p>
      <w:pPr>
        <w:pStyle w:val="Heading3"/>
      </w:pPr>
      <w:r>
        <w:t>Trois charges cognitives</w:t>
      </w:r>
    </w:p>
    <w:p>
      <w:r>
        <w:t>La mémoire de travail est étroite — de l'ordre de quatre éléments (Cowan, 2001). La théorie de la charge cognitive (Sweller) en distingue trois :</w:t>
      </w:r>
    </w:p>
    <w:p>
      <w:pPr>
        <w:pStyle w:val="ListBullet"/>
      </w:pPr>
      <w:r>
        <w:rPr>
          <w:b/>
        </w:rPr>
        <w:t>Intrinsèque</w:t>
      </w:r>
      <w:r>
        <w:t xml:space="preserve"> — la difficulté propre du contenu ; on la découpe (étayage), on ne la supprime pas.</w:t>
      </w:r>
    </w:p>
    <w:p>
      <w:pPr>
        <w:pStyle w:val="ListBullet"/>
      </w:pPr>
      <w:r>
        <w:rPr>
          <w:b/>
        </w:rPr>
        <w:t>Inutile</w:t>
      </w:r>
      <w:r>
        <w:t xml:space="preserve"> (</w:t>
      </w:r>
      <w:r>
        <w:rPr>
          <w:i/>
        </w:rPr>
        <w:t>extraneous</w:t>
      </w:r>
      <w:r>
        <w:t xml:space="preserve">) — celle qu'ajoute un mauvais design (texte dense, éléments parasites) : à </w:t>
      </w:r>
      <w:r>
        <w:rPr>
          <w:b/>
        </w:rPr>
        <w:t>éliminer</w:t>
      </w:r>
      <w:r>
        <w:t>.</w:t>
      </w:r>
    </w:p>
    <w:p>
      <w:pPr>
        <w:pStyle w:val="ListBullet"/>
      </w:pPr>
      <w:r>
        <w:rPr>
          <w:b/>
        </w:rPr>
        <w:t>Utile</w:t>
      </w:r>
      <w:r>
        <w:t xml:space="preserve"> (</w:t>
      </w:r>
      <w:r>
        <w:rPr>
          <w:i/>
        </w:rPr>
        <w:t>germane</w:t>
      </w:r>
      <w:r>
        <w:t xml:space="preserve">) — l'effort qui construit l'apprentissage (comparer, résoudre, expliquer) : à </w:t>
      </w:r>
      <w:r>
        <w:rPr>
          <w:b/>
        </w:rPr>
        <w:t>favoriser</w:t>
      </w:r>
      <w:r>
        <w:t>.</w:t>
      </w:r>
    </w:p>
    <w:p>
      <w:pPr>
        <w:pStyle w:val="Heading3"/>
      </w:pPr>
      <w:r>
        <w:t>Mots + images : le principe multimédia</w:t>
      </w:r>
    </w:p>
    <w:p>
      <w:r>
        <w:t xml:space="preserve">Apprendre à partir de mots et d'images pertinentes est plus efficace qu'à partir de mots seuls : c'est le principe multimédia de Mayer, un effet fort (d ≈ 1,39), ancré dans le dual coding (Paivio, 1971). Trois conditions : images </w:t>
      </w:r>
      <w:r>
        <w:rPr>
          <w:b/>
        </w:rPr>
        <w:t>complémentaires</w:t>
      </w:r>
      <w:r>
        <w:t xml:space="preserve"> (pas décoratives), </w:t>
      </w:r>
      <w:r>
        <w:rPr>
          <w:b/>
        </w:rPr>
        <w:t>proches</w:t>
      </w:r>
      <w:r>
        <w:t xml:space="preserve"> du texte, et un ensemble </w:t>
      </w:r>
      <w:r>
        <w:rPr>
          <w:b/>
        </w:rPr>
        <w:t>sobre</w:t>
      </w:r>
      <w:r>
        <w:t xml:space="preserve"> (sinon on recrée de la surcharge).</w:t>
      </w:r>
    </w:p>
    <w:p>
      <w:pPr>
        <w:pStyle w:val="Heading3"/>
      </w:pPr>
      <w:r>
        <w:t>Attention au piège de la redondance</w:t>
      </w:r>
    </w:p>
    <w:p>
      <w:r>
        <w:t xml:space="preserve">❌ </w:t>
      </w:r>
      <w:r>
        <w:rPr>
          <w:b/>
        </w:rPr>
        <w:t>Idée reçue :</w:t>
      </w:r>
      <w:r>
        <w:t xml:space="preserve"> « Présenter la même information sur trois canaux (visuel + auditif + kinesthésique) augmente la maîtrise de 45 %. »</w:t>
      </w:r>
    </w:p>
    <w:p>
      <w:r>
        <w:t xml:space="preserve">✅ </w:t>
      </w:r>
      <w:r>
        <w:rPr>
          <w:b/>
        </w:rPr>
        <w:t>Ce que dit la recherche :</w:t>
      </w:r>
      <w:r>
        <w:t xml:space="preserve"> C'est l'inverse. Dupliquer la même information (par exemple lire à l'écran un texte identique à la narration) surcharge la mémoire de travail : c'est l'effet de redondance (Kalyuga, Chandler &amp; Sweller, 2004). Ce qui aide, ce sont des sources complémentaires (un schéma + une explication), pas des sources identiques empilées.</w:t>
      </w:r>
    </w:p>
    <w:p>
      <w:pPr>
        <w:pStyle w:val="Heading3"/>
      </w:pPr>
      <w:r>
        <w:t>Multimodalité pour tous — pas de tri par « style »</w:t>
      </w:r>
    </w:p>
    <w:p>
      <w:r>
        <w:t>Varier les formats (dire, montrer, faire) profite à tout le monde et combat la monotonie. Ce n'est pas la même chose que de classer chacun en « visuel », « auditif » ou « kinesthésique » pour lui servir son « style » : ce tri-là est un neuromythe (Pashler et al., 2008 ; Howard-Jones, 2014).</w:t>
      </w:r>
    </w:p>
    <w:p>
      <w:pPr>
        <w:pStyle w:val="Heading2"/>
      </w:pPr>
      <w:r>
        <w:t>03 · Réfléchir — Six questions pour vérifier</w:t>
      </w:r>
    </w:p>
    <w:p>
      <w:r>
        <w:rPr>
          <w:b/>
        </w:rPr>
        <w:t>Q1.</w:t>
      </w:r>
      <w:r>
        <w:t xml:space="preserve"> La charge cognitive à éliminer ? ✓ </w:t>
      </w:r>
      <w:r>
        <w:rPr>
          <w:b/>
        </w:rPr>
        <w:t>La charge inutile</w:t>
      </w:r>
      <w:r>
        <w:t xml:space="preserve"> (</w:t>
      </w:r>
      <w:r>
        <w:rPr>
          <w:i/>
        </w:rPr>
        <w:t>extraneous</w:t>
      </w:r>
      <w:r>
        <w:t>) : texte dense, éléments parasites.</w:t>
      </w:r>
    </w:p>
    <w:p>
      <w:r>
        <w:rPr>
          <w:b/>
        </w:rPr>
        <w:t>Q2.</w:t>
      </w:r>
      <w:r>
        <w:t xml:space="preserve"> Mots + images pertinentes ? ✓ </w:t>
      </w:r>
      <w:r>
        <w:rPr>
          <w:b/>
        </w:rPr>
        <w:t>Effet fort</w:t>
      </w:r>
      <w:r>
        <w:t xml:space="preserve"> (Mayer, d ≈ 1,39) — pas le « +35 % » souvent cité.</w:t>
      </w:r>
    </w:p>
    <w:p>
      <w:r>
        <w:rPr>
          <w:b/>
        </w:rPr>
        <w:t>Q3.</w:t>
      </w:r>
      <w:r>
        <w:t xml:space="preserve"> La même info sur trois canaux ? ✓ </w:t>
      </w:r>
      <w:r>
        <w:rPr>
          <w:b/>
        </w:rPr>
        <w:t>Nuit</w:t>
      </w:r>
      <w:r>
        <w:t xml:space="preserve"> : effet de redondance (Kalyuga, Chandler &amp; Sweller, 2004). Préférer des sources complémentaires.</w:t>
      </w:r>
    </w:p>
    <w:p>
      <w:r>
        <w:rPr>
          <w:b/>
        </w:rPr>
        <w:t>Q4.</w:t>
      </w:r>
      <w:r>
        <w:t xml:space="preserve"> Capacité de la mémoire de travail ? ✓ </w:t>
      </w:r>
      <w:r>
        <w:rPr>
          <w:b/>
        </w:rPr>
        <w:t>Étroite</w:t>
      </w:r>
      <w:r>
        <w:t xml:space="preserve"> — environ 4 éléments (Cowan, 2001).</w:t>
      </w:r>
    </w:p>
    <w:p>
      <w:r>
        <w:rPr>
          <w:b/>
        </w:rPr>
        <w:t>Q5.</w:t>
      </w:r>
      <w:r>
        <w:t xml:space="preserve"> Varier les formats ? ✓ </w:t>
      </w:r>
      <w:r>
        <w:rPr>
          <w:b/>
        </w:rPr>
        <w:t>Bénéfique à tous</w:t>
      </w:r>
      <w:r>
        <w:t xml:space="preserve"> — mais ce n'est pas trier par « style ».</w:t>
      </w:r>
    </w:p>
    <w:p>
      <w:r>
        <w:rPr>
          <w:b/>
        </w:rPr>
        <w:t>Q6.</w:t>
      </w:r>
      <w:r>
        <w:t xml:space="preserve"> Les « styles d'apprentissage » VAK ? ✓ </w:t>
      </w:r>
      <w:r>
        <w:rPr>
          <w:b/>
        </w:rPr>
        <w:t>Neuromythe</w:t>
      </w:r>
      <w:r>
        <w:t xml:space="preserve"> (Pashler et al., 2008).</w:t>
      </w:r>
    </w:p>
    <w:p>
      <w:pPr>
        <w:pStyle w:val="Heading2"/>
      </w:pPr>
      <w:r>
        <w:t>04 · Appliquer — Refaire une diapositive</w:t>
      </w:r>
    </w:p>
    <w:p>
      <w:r>
        <w:t>Mission (~10 min) : prenez une diapositive dense et transformez-la en mots + image.</w:t>
      </w:r>
    </w:p>
    <w:p>
      <w:r>
        <w:rPr>
          <w:b/>
        </w:rPr>
        <w:t>Trame</w:t>
      </w:r>
    </w:p>
    <w:p>
      <w:pPr>
        <w:pStyle w:val="ListBullet"/>
      </w:pPr>
      <w:r>
        <w:rPr>
          <w:b/>
        </w:rPr>
        <w:t>Réduire le texte</w:t>
      </w:r>
      <w:r>
        <w:t xml:space="preserve"> à 3 points clés (moins de 15 mots).</w:t>
      </w:r>
    </w:p>
    <w:p>
      <w:pPr>
        <w:pStyle w:val="ListBullet"/>
      </w:pPr>
      <w:r>
        <w:rPr>
          <w:b/>
        </w:rPr>
        <w:t>Ajouter une image</w:t>
      </w:r>
      <w:r>
        <w:t xml:space="preserve"> qui montre ce que le texte explique (schéma, pas décoration).</w:t>
      </w:r>
    </w:p>
    <w:p>
      <w:pPr>
        <w:pStyle w:val="ListBullet"/>
      </w:pPr>
      <w:r>
        <w:rPr>
          <w:b/>
        </w:rPr>
        <w:t>Rapprocher</w:t>
      </w:r>
      <w:r>
        <w:t xml:space="preserve"> texte et image, supprimer le superflu (animations, fonds, doublons).</w:t>
      </w:r>
    </w:p>
    <w:p>
      <w:pPr>
        <w:pStyle w:val="ListBullet"/>
      </w:pPr>
      <w:r>
        <w:rPr>
          <w:b/>
        </w:rPr>
        <w:t>Éviter</w:t>
      </w:r>
      <w:r>
        <w:t xml:space="preserve"> de lire à voix haute un texte identique à l'écran (redondance).</w:t>
      </w:r>
    </w:p>
    <w:p>
      <w:pPr>
        <w:pStyle w:val="Heading2"/>
      </w:pPr>
      <w:r>
        <w:t>05 · Consolider — Trois phrases à emporter</w:t>
      </w:r>
    </w:p>
    <w:p>
      <w:r>
        <w:t>« Mots + images valent mieux qu'un seul. » — À condition qu'ils se complètent — et restent sobres.</w:t>
      </w:r>
    </w:p>
    <w:p>
      <w:r>
        <w:t>« Ce qui surcharge n'apprend pas. » — On élimine la charge inutile, on préserve l'effort utile.</w:t>
      </w:r>
    </w:p>
    <w:p>
      <w:r>
        <w:t>« Varier les formats, oui ; trier par "style", non. » — La multimodalité est pour tout le monde.</w:t>
      </w:r>
    </w:p>
    <w:p>
      <w:pPr>
        <w:pStyle w:val="Heading2"/>
      </w:pPr>
      <w:r>
        <w:t>06 · Transférer — Un seul geste, cette semaine</w:t>
      </w:r>
    </w:p>
    <w:p>
      <w:r>
        <w:rPr>
          <w:b/>
        </w:rPr>
        <w:t>À faire.</w:t>
      </w:r>
      <w:r>
        <w:t xml:space="preserve"> Prenez la diapositive la plus chargée d'un support et réduisez-la à moins de 15 mots + une image qui explique. Comparez la clarté — pour vous d'abord, puis pour le groupe.</w:t>
      </w:r>
    </w:p>
    <w:p>
      <w:pPr>
        <w:jc w:val="center"/>
      </w:pPr>
      <w:r>
        <w:t>________________________________________</w:t>
      </w:r>
    </w:p>
    <w:p>
      <w:pPr>
        <w:pStyle w:val="Heading1"/>
      </w:pPr>
      <w:r>
        <w:t>Bibliographie du parcours</w:t>
      </w:r>
    </w:p>
    <w:p>
      <w:r>
        <w:rPr>
          <w:i/>
        </w:rPr>
        <w:t>Toutes vérifiées (existence, auteurs, année, contenu). Les affirmations de science du parcours s'y rattachent ; les claims sans source réelle ont été retirés, non remplacés par des substituts.</w:t>
      </w:r>
    </w:p>
    <w:p>
      <w:pPr>
        <w:pStyle w:val="ListNumber"/>
      </w:pPr>
      <w:r>
        <w:rPr>
          <w:b/>
        </w:rPr>
        <w:t>[Livre]</w:t>
      </w:r>
      <w:r>
        <w:t xml:space="preserve"> Dehaene, S. (2018). </w:t>
      </w:r>
      <w:r>
        <w:rPr>
          <w:i/>
        </w:rPr>
        <w:t>Apprendre ! Les talents du cerveau, le défi des machines.</w:t>
      </w:r>
      <w:r>
        <w:t xml:space="preserve"> Odile Jacob.</w:t>
      </w:r>
    </w:p>
    <w:p>
      <w:pPr>
        <w:pStyle w:val="ListNumber"/>
      </w:pPr>
      <w:r>
        <w:rPr>
          <w:b/>
        </w:rPr>
        <w:t>[Fondateur]</w:t>
      </w:r>
      <w:r>
        <w:t xml:space="preserve"> Hebb, D. O. (1949). </w:t>
      </w:r>
      <w:r>
        <w:rPr>
          <w:i/>
        </w:rPr>
        <w:t>The Organization of Behavior.</w:t>
      </w:r>
      <w:r>
        <w:t xml:space="preserve"> Wiley.</w:t>
      </w:r>
    </w:p>
    <w:p>
      <w:pPr>
        <w:pStyle w:val="ListNumber"/>
      </w:pPr>
      <w:r>
        <w:rPr>
          <w:b/>
        </w:rPr>
        <w:t>[Acad.]</w:t>
      </w:r>
      <w:r>
        <w:t xml:space="preserve"> Miller, G. A. (1956). </w:t>
      </w:r>
      <w:r>
        <w:rPr>
          <w:i/>
        </w:rPr>
        <w:t>The magical number seven, plus or minus two.</w:t>
      </w:r>
      <w:r>
        <w:t xml:space="preserve"> Psychological Review, 63(2).</w:t>
      </w:r>
    </w:p>
    <w:p>
      <w:pPr>
        <w:pStyle w:val="ListNumber"/>
      </w:pPr>
      <w:r>
        <w:rPr>
          <w:b/>
        </w:rPr>
        <w:t>[Acad.]</w:t>
      </w:r>
      <w:r>
        <w:t xml:space="preserve"> Cowan, N. (2001). </w:t>
      </w:r>
      <w:r>
        <w:rPr>
          <w:i/>
        </w:rPr>
        <w:t>The magical number 4 in short-term memory.</w:t>
      </w:r>
      <w:r>
        <w:t xml:space="preserve"> Behavioral and Brain Sciences, 24(1).</w:t>
      </w:r>
    </w:p>
    <w:p>
      <w:pPr>
        <w:pStyle w:val="ListNumber"/>
      </w:pPr>
      <w:r>
        <w:rPr>
          <w:b/>
        </w:rPr>
        <w:t>[Acad.]</w:t>
      </w:r>
      <w:r>
        <w:t xml:space="preserve"> Baddeley, A. (2000). </w:t>
      </w:r>
      <w:r>
        <w:rPr>
          <w:i/>
        </w:rPr>
        <w:t>The episodic buffer: a new component of working memory?</w:t>
      </w:r>
      <w:r>
        <w:t xml:space="preserve"> Trends in Cognitive Sciences, 4(11).</w:t>
      </w:r>
    </w:p>
    <w:p>
      <w:pPr>
        <w:pStyle w:val="ListNumber"/>
      </w:pPr>
      <w:r>
        <w:rPr>
          <w:b/>
        </w:rPr>
        <w:t>[Fondateur]</w:t>
      </w:r>
      <w:r>
        <w:t xml:space="preserve"> Ebbinghaus, H. (1885). </w:t>
      </w:r>
      <w:r>
        <w:rPr>
          <w:i/>
        </w:rPr>
        <w:t>Über das Gedächtnis.</w:t>
      </w:r>
      <w:r>
        <w:t xml:space="preserve"> — courbe de l'oubli.</w:t>
      </w:r>
    </w:p>
    <w:p>
      <w:pPr>
        <w:pStyle w:val="ListNumber"/>
      </w:pPr>
      <w:r>
        <w:rPr>
          <w:b/>
        </w:rPr>
        <w:t>[Acad.]</w:t>
      </w:r>
      <w:r>
        <w:t xml:space="preserve"> Murre, J. M. J. &amp; Dros, J. (2015). </w:t>
      </w:r>
      <w:r>
        <w:rPr>
          <w:i/>
        </w:rPr>
        <w:t>Replication and Analysis of Ebbinghaus' Forgetting Curve.</w:t>
      </w:r>
      <w:r>
        <w:t xml:space="preserve"> PLOS ONE, 10(7). &lt;https://journals.plos.org/plosone/article?id=10.1371/journal.pone.0120644&gt;</w:t>
      </w:r>
    </w:p>
    <w:p>
      <w:pPr>
        <w:pStyle w:val="ListNumber"/>
      </w:pPr>
      <w:r>
        <w:rPr>
          <w:b/>
        </w:rPr>
        <w:t>[Acad.]</w:t>
      </w:r>
      <w:r>
        <w:t xml:space="preserve"> Cepeda, N. J., Pashler, H. et al. (2006). </w:t>
      </w:r>
      <w:r>
        <w:rPr>
          <w:i/>
        </w:rPr>
        <w:t>Distributed practice in verbal recall tasks: A review and quantitative synthesis.</w:t>
      </w:r>
      <w:r>
        <w:t xml:space="preserve"> Psychological Bulletin, 132(3).</w:t>
      </w:r>
    </w:p>
    <w:p>
      <w:pPr>
        <w:pStyle w:val="ListNumber"/>
      </w:pPr>
      <w:r>
        <w:rPr>
          <w:b/>
        </w:rPr>
        <w:t>[Acad.]</w:t>
      </w:r>
      <w:r>
        <w:t xml:space="preserve"> Roediger, H. L. &amp; Karpicke, J. D. (2006). </w:t>
      </w:r>
      <w:r>
        <w:rPr>
          <w:i/>
        </w:rPr>
        <w:t>Test-enhanced learning.</w:t>
      </w:r>
      <w:r>
        <w:t xml:space="preserve"> Psychological Science, 17(3).</w:t>
      </w:r>
    </w:p>
    <w:p>
      <w:pPr>
        <w:pStyle w:val="ListNumber"/>
      </w:pPr>
      <w:r>
        <w:rPr>
          <w:b/>
        </w:rPr>
        <w:t>[Acad.]</w:t>
      </w:r>
      <w:r>
        <w:t xml:space="preserve"> Bjork, R. A. (1994). </w:t>
      </w:r>
      <w:r>
        <w:rPr>
          <w:i/>
        </w:rPr>
        <w:t>Memory and metamemory considerations in the training of human beings.</w:t>
      </w:r>
      <w:r>
        <w:t xml:space="preserve"> — « difficultés désirables ».</w:t>
      </w:r>
    </w:p>
    <w:p>
      <w:pPr>
        <w:pStyle w:val="ListNumber"/>
      </w:pPr>
      <w:r>
        <w:rPr>
          <w:b/>
        </w:rPr>
        <w:t>[Acad.]</w:t>
      </w:r>
      <w:r>
        <w:t xml:space="preserve"> Bradbury, N. A. (2016). </w:t>
      </w:r>
      <w:r>
        <w:rPr>
          <w:i/>
        </w:rPr>
        <w:t>Attention span during lectures: 8 seconds, 10 minutes, or more?</w:t>
      </w:r>
      <w:r>
        <w:t xml:space="preserve"> Advances in Physiology Education, 40(4). &lt;https://journals.physiology.org/doi/full/10.1152/advan.00109.2016&gt;</w:t>
      </w:r>
    </w:p>
    <w:p>
      <w:pPr>
        <w:pStyle w:val="ListNumber"/>
      </w:pPr>
      <w:r>
        <w:rPr>
          <w:b/>
        </w:rPr>
        <w:t>[L&amp;D]</w:t>
      </w:r>
      <w:r>
        <w:t xml:space="preserve"> Maybin, S. (2017). </w:t>
      </w:r>
      <w:r>
        <w:rPr>
          <w:i/>
        </w:rPr>
        <w:t>Busting the attention span myth.</w:t>
      </w:r>
      <w:r>
        <w:t xml:space="preserve"> BBC — More or Less. &lt;https://www.bbc.com/news/health-38896790&gt;</w:t>
      </w:r>
    </w:p>
    <w:p>
      <w:pPr>
        <w:pStyle w:val="ListNumber"/>
      </w:pPr>
      <w:r>
        <w:rPr>
          <w:b/>
        </w:rPr>
        <w:t>[Acad.]</w:t>
      </w:r>
      <w:r>
        <w:t xml:space="preserve"> Mayer, R. E. </w:t>
      </w:r>
      <w:r>
        <w:rPr>
          <w:i/>
        </w:rPr>
        <w:t>Multimedia Learning.</w:t>
      </w:r>
      <w:r>
        <w:t xml:space="preserve"> Cambridge University Press — segmentation (d ≈ 0,52), multimédia (d ≈ 1,39).</w:t>
      </w:r>
    </w:p>
    <w:p>
      <w:pPr>
        <w:pStyle w:val="ListNumber"/>
      </w:pPr>
      <w:r>
        <w:rPr>
          <w:b/>
        </w:rPr>
        <w:t>[Acad.]</w:t>
      </w:r>
      <w:r>
        <w:t xml:space="preserve"> Posner, M. I. &amp; Petersen, S. E. (1990). </w:t>
      </w:r>
      <w:r>
        <w:rPr>
          <w:i/>
        </w:rPr>
        <w:t>The attention system of the human brain.</w:t>
      </w:r>
      <w:r>
        <w:t xml:space="preserve"> Annual Review of Neuroscience, 13.</w:t>
      </w:r>
    </w:p>
    <w:p>
      <w:pPr>
        <w:pStyle w:val="ListNumber"/>
      </w:pPr>
      <w:r>
        <w:rPr>
          <w:b/>
        </w:rPr>
        <w:t>[Acad.]</w:t>
      </w:r>
      <w:r>
        <w:t xml:space="preserve"> Deci, E. L. &amp; Ryan, R. M. — </w:t>
      </w:r>
      <w:r>
        <w:rPr>
          <w:i/>
        </w:rPr>
        <w:t>Self-Determination Theory</w:t>
      </w:r>
      <w:r>
        <w:t xml:space="preserve"> (autonomie, compétence, appartenance).</w:t>
      </w:r>
    </w:p>
    <w:p>
      <w:pPr>
        <w:pStyle w:val="ListNumber"/>
      </w:pPr>
      <w:r>
        <w:rPr>
          <w:b/>
        </w:rPr>
        <w:t>[Acad.]</w:t>
      </w:r>
      <w:r>
        <w:t xml:space="preserve"> Black, P. &amp; Wiliam, D. (1998). </w:t>
      </w:r>
      <w:r>
        <w:rPr>
          <w:i/>
        </w:rPr>
        <w:t>Assessment and Classroom Learning.</w:t>
      </w:r>
      <w:r>
        <w:t xml:space="preserve"> Assessment in Education, 5(1).</w:t>
      </w:r>
    </w:p>
    <w:p>
      <w:pPr>
        <w:pStyle w:val="ListNumber"/>
      </w:pPr>
      <w:r>
        <w:rPr>
          <w:b/>
        </w:rPr>
        <w:t>[Acad.]</w:t>
      </w:r>
      <w:r>
        <w:t xml:space="preserve"> Sisk, V. F. et al. (2018). </w:t>
      </w:r>
      <w:r>
        <w:rPr>
          <w:i/>
        </w:rPr>
        <w:t>…Growth Mind-Sets… Two Meta-Analyses.</w:t>
      </w:r>
      <w:r>
        <w:t xml:space="preserve"> Psychological Science, 29(4). &lt;https://journals.sagepub.com/doi/abs/10.1177/0956797617739704&gt;</w:t>
      </w:r>
    </w:p>
    <w:p>
      <w:pPr>
        <w:pStyle w:val="ListNumber"/>
      </w:pPr>
      <w:r>
        <w:rPr>
          <w:b/>
        </w:rPr>
        <w:t>[Acad.]</w:t>
      </w:r>
      <w:r>
        <w:t xml:space="preserve"> Pashler, H., McDaniel, M., Rohrer, D. &amp; Bjork, R. (2008). </w:t>
      </w:r>
      <w:r>
        <w:rPr>
          <w:i/>
        </w:rPr>
        <w:t>Learning Styles: Concepts and Evidence.</w:t>
      </w:r>
      <w:r>
        <w:t xml:space="preserve"> PSPI, 9(3). &lt;https://journals.sagepub.com/doi/10.1111/j.1539-6053.2009.01038.x&gt;</w:t>
      </w:r>
    </w:p>
    <w:p>
      <w:pPr>
        <w:pStyle w:val="ListNumber"/>
      </w:pPr>
      <w:r>
        <w:rPr>
          <w:b/>
        </w:rPr>
        <w:t>[Acad.]</w:t>
      </w:r>
      <w:r>
        <w:t xml:space="preserve"> Howard-Jones, P. (2014). </w:t>
      </w:r>
      <w:r>
        <w:rPr>
          <w:i/>
        </w:rPr>
        <w:t>Neuroscience and education: myths and messages.</w:t>
      </w:r>
      <w:r>
        <w:t xml:space="preserve"> Nature Reviews Neuroscience, 15(12). &lt;https://www.nature.com/articles/nrn3817&gt;</w:t>
      </w:r>
    </w:p>
    <w:p>
      <w:pPr>
        <w:pStyle w:val="ListNumber"/>
      </w:pPr>
      <w:r>
        <w:rPr>
          <w:b/>
        </w:rPr>
        <w:t>[Acad.]</w:t>
      </w:r>
      <w:r>
        <w:t xml:space="preserve"> Nieuwenhuis, S. (2024). </w:t>
      </w:r>
      <w:r>
        <w:rPr>
          <w:i/>
        </w:rPr>
        <w:t>Arousal and performance: revisiting the inverted-U-shaped curve.</w:t>
      </w:r>
      <w:r>
        <w:t xml:space="preserve"> Trends in Cognitive Sciences, 28(5). &lt;https://www.cell.com/trends/cognitive-sciences/fulltext/S1364-6613(24)00078-0&gt;</w:t>
      </w:r>
    </w:p>
    <w:p>
      <w:pPr>
        <w:pStyle w:val="ListNumber"/>
      </w:pPr>
      <w:r>
        <w:rPr>
          <w:b/>
        </w:rPr>
        <w:t>[Acad.]</w:t>
      </w:r>
      <w:r>
        <w:t xml:space="preserve"> McEwen, B. S., Nasca, C. &amp; Gray, J. D. (2016). </w:t>
      </w:r>
      <w:r>
        <w:rPr>
          <w:i/>
        </w:rPr>
        <w:t>Stress Effects on Neuronal Structure.</w:t>
      </w:r>
      <w:r>
        <w:t xml:space="preserve"> Neuropsychopharmacology, 41(1). &lt;https://www.nature.com/articles/npp2015171&gt;</w:t>
      </w:r>
    </w:p>
    <w:p>
      <w:pPr>
        <w:pStyle w:val="ListNumber"/>
      </w:pPr>
      <w:r>
        <w:rPr>
          <w:b/>
        </w:rPr>
        <w:t>[Livre]</w:t>
      </w:r>
      <w:r>
        <w:t xml:space="preserve"> Goleman, D. (1995). </w:t>
      </w:r>
      <w:r>
        <w:rPr>
          <w:i/>
        </w:rPr>
        <w:t>Emotional Intelligence.</w:t>
      </w:r>
      <w:r>
        <w:t xml:space="preserve"> Bantam — notion d'« amygdala hijack ».</w:t>
      </w:r>
    </w:p>
    <w:p>
      <w:pPr>
        <w:pStyle w:val="ListNumber"/>
      </w:pPr>
      <w:r>
        <w:rPr>
          <w:b/>
        </w:rPr>
        <w:t>[Livre]</w:t>
      </w:r>
      <w:r>
        <w:t xml:space="preserve"> Dweck, C. S. (2006). </w:t>
      </w:r>
      <w:r>
        <w:rPr>
          <w:i/>
        </w:rPr>
        <w:t>Mindset: The New Psychology of Success.</w:t>
      </w:r>
      <w:r>
        <w:t xml:space="preserve"> Random House.</w:t>
      </w:r>
    </w:p>
    <w:p>
      <w:pPr>
        <w:pStyle w:val="ListNumber"/>
      </w:pPr>
      <w:r>
        <w:rPr>
          <w:b/>
        </w:rPr>
        <w:t>[Livre]</w:t>
      </w:r>
      <w:r>
        <w:t xml:space="preserve"> Edmondson, A. C. (2018). </w:t>
      </w:r>
      <w:r>
        <w:rPr>
          <w:i/>
        </w:rPr>
        <w:t>The Fearless Organization.</w:t>
      </w:r>
      <w:r>
        <w:t xml:space="preserve"> Wiley — sécurité psychologique.</w:t>
      </w:r>
    </w:p>
    <w:p>
      <w:pPr>
        <w:pStyle w:val="ListNumber"/>
      </w:pPr>
      <w:r>
        <w:rPr>
          <w:b/>
        </w:rPr>
        <w:t>[Fondateur]</w:t>
      </w:r>
      <w:r>
        <w:t xml:space="preserve"> Vygotsky, L. S. (1978). </w:t>
      </w:r>
      <w:r>
        <w:rPr>
          <w:i/>
        </w:rPr>
        <w:t>Mind in Society.</w:t>
      </w:r>
      <w:r>
        <w:t xml:space="preserve"> Harvard University Press — zone proximale de développement.</w:t>
      </w:r>
    </w:p>
    <w:p>
      <w:pPr>
        <w:pStyle w:val="ListNumber"/>
      </w:pPr>
      <w:r>
        <w:rPr>
          <w:b/>
        </w:rPr>
        <w:t>[Acad.]</w:t>
      </w:r>
      <w:r>
        <w:t xml:space="preserve"> Wery, J. J. &amp; Diliberto, J. A. (2017). </w:t>
      </w:r>
      <w:r>
        <w:rPr>
          <w:i/>
        </w:rPr>
        <w:t>The effect of a specialized dyslexia font, OpenDyslexic, on reading rate and accuracy.</w:t>
      </w:r>
      <w:r>
        <w:t xml:space="preserve"> Annals of Dyslexia, 67(2). &lt;https://link.springer.com/article/10.1007/s11881-016-0127-1&gt;</w:t>
      </w:r>
    </w:p>
    <w:p>
      <w:pPr>
        <w:pStyle w:val="ListNumber"/>
      </w:pPr>
      <w:r>
        <w:rPr>
          <w:b/>
        </w:rPr>
        <w:t>[Acad.]</w:t>
      </w:r>
      <w:r>
        <w:t xml:space="preserve"> Rello, L. &amp; Baeza-Yates, R. (2013). </w:t>
      </w:r>
      <w:r>
        <w:rPr>
          <w:i/>
        </w:rPr>
        <w:t>Good fonts for dyslexia.</w:t>
      </w:r>
      <w:r>
        <w:t xml:space="preserve"> ASSETS '13.</w:t>
      </w:r>
    </w:p>
    <w:p>
      <w:pPr>
        <w:pStyle w:val="ListNumber"/>
      </w:pPr>
      <w:r>
        <w:rPr>
          <w:b/>
        </w:rPr>
        <w:t>[Cadre]</w:t>
      </w:r>
      <w:r>
        <w:t xml:space="preserve"> CAST (2018). </w:t>
      </w:r>
      <w:r>
        <w:rPr>
          <w:i/>
        </w:rPr>
        <w:t>Universal Design for Learning Guidelines version 2.2.</w:t>
      </w:r>
      <w:r>
        <w:t xml:space="preserve"> &lt;https://udlguidelines.cast.org/&gt;</w:t>
      </w:r>
    </w:p>
    <w:p>
      <w:pPr>
        <w:pStyle w:val="ListNumber"/>
      </w:pPr>
      <w:r>
        <w:rPr>
          <w:b/>
        </w:rPr>
        <w:t>[Fondateur]</w:t>
      </w:r>
      <w:r>
        <w:t xml:space="preserve"> Singer, J. (années 1990). — origine du terme « neurodiversité ».</w:t>
      </w:r>
    </w:p>
    <w:p>
      <w:pPr>
        <w:pStyle w:val="ListNumber"/>
      </w:pPr>
      <w:r>
        <w:rPr>
          <w:b/>
        </w:rPr>
        <w:t>[Acad.]</w:t>
      </w:r>
      <w:r>
        <w:t xml:space="preserve"> Sweller, J. (1988). </w:t>
      </w:r>
      <w:r>
        <w:rPr>
          <w:i/>
        </w:rPr>
        <w:t>Cognitive load during problem solving: Effects on learning.</w:t>
      </w:r>
      <w:r>
        <w:t xml:space="preserve"> Cognitive Science, 12(2).</w:t>
      </w:r>
    </w:p>
    <w:p>
      <w:pPr>
        <w:pStyle w:val="ListNumber"/>
      </w:pPr>
      <w:r>
        <w:rPr>
          <w:b/>
        </w:rPr>
        <w:t>[Fondateur]</w:t>
      </w:r>
      <w:r>
        <w:t xml:space="preserve"> Paivio, A. (1971). </w:t>
      </w:r>
      <w:r>
        <w:rPr>
          <w:i/>
        </w:rPr>
        <w:t>Imagery and Verbal Processes.</w:t>
      </w:r>
      <w:r>
        <w:t xml:space="preserve"> — dual coding.</w:t>
      </w:r>
    </w:p>
    <w:p>
      <w:pPr>
        <w:pStyle w:val="ListNumber"/>
      </w:pPr>
      <w:r>
        <w:rPr>
          <w:b/>
        </w:rPr>
        <w:t>[Acad.]</w:t>
      </w:r>
      <w:r>
        <w:t xml:space="preserve"> Kalyuga, S., Chandler, P. &amp; Sweller, J. (2004). </w:t>
      </w:r>
      <w:r>
        <w:rPr>
          <w:i/>
        </w:rPr>
        <w:t>When Redundant On-Screen Text in Multimedia Instruction Can Interfere With Learning.</w:t>
      </w:r>
      <w:r>
        <w:t xml:space="preserve"> Human Factors, 46(3). &lt;https://journals.sagepub.com/doi/10.1518/hfes.46.3.567.50405&gt;</w:t>
      </w:r>
    </w:p>
    <w:p>
      <w:pPr>
        <w:pStyle w:val="ListNumber"/>
      </w:pPr>
      <w:r>
        <w:rPr>
          <w:b/>
        </w:rPr>
        <w:t>[Acad.]</w:t>
      </w:r>
      <w:r>
        <w:t xml:space="preserve"> Diekelmann, S. &amp; Born, J. (2010). </w:t>
      </w:r>
      <w:r>
        <w:rPr>
          <w:i/>
        </w:rPr>
        <w:t>The memory function of sleep.</w:t>
      </w:r>
      <w:r>
        <w:t xml:space="preserve"> Nature Reviews Neuroscience, 11(2). &lt;https://www.nature.com/articles/nrn2762&gt;</w:t>
      </w:r>
    </w:p>
    <w:p>
      <w:pPr>
        <w:pStyle w:val="ListNumber"/>
      </w:pPr>
      <w:r>
        <w:rPr>
          <w:b/>
        </w:rPr>
        <w:t>[Acad.]</w:t>
      </w:r>
      <w:r>
        <w:t xml:space="preserve"> Xie, L. et al. (2013). </w:t>
      </w:r>
      <w:r>
        <w:rPr>
          <w:i/>
        </w:rPr>
        <w:t>Sleep Drives Metabolite Clearance from the Adult Brain.</w:t>
      </w:r>
      <w:r>
        <w:t xml:space="preserve"> Science, 342(6156).</w:t>
      </w:r>
    </w:p>
    <w:p>
      <w:pPr>
        <w:pStyle w:val="ListNumber"/>
      </w:pPr>
      <w:r>
        <w:rPr>
          <w:b/>
        </w:rPr>
        <w:t>[Acad.]</w:t>
      </w:r>
      <w:r>
        <w:t xml:space="preserve"> Williamson, A. M. &amp; Feyer, A.-M. (2000). </w:t>
      </w:r>
      <w:r>
        <w:rPr>
          <w:i/>
        </w:rPr>
        <w:t>Moderate sleep deprivation produces impairments equivalent to legally prescribed levels of alcohol intoxication.</w:t>
      </w:r>
      <w:r>
        <w:t xml:space="preserve"> Occupational and Environmental Medicine, 57(10).</w:t>
      </w:r>
    </w:p>
    <w:p>
      <w:pPr>
        <w:pStyle w:val="ListNumber"/>
      </w:pPr>
      <w:r>
        <w:rPr>
          <w:b/>
        </w:rPr>
        <w:t>[Acad.]</w:t>
      </w:r>
      <w:r>
        <w:t xml:space="preserve"> Mednick, S., Nakayama, K. &amp; Stickgold, R. (2003). </w:t>
      </w:r>
      <w:r>
        <w:rPr>
          <w:i/>
        </w:rPr>
        <w:t>Sleep-dependent learning: a nap is as good as a night.</w:t>
      </w:r>
      <w:r>
        <w:t xml:space="preserve"> Nature Neuroscience, 6(7).</w:t>
      </w:r>
    </w:p>
    <w:p>
      <w:pPr>
        <w:pStyle w:val="ListNumber"/>
      </w:pPr>
      <w:r>
        <w:rPr>
          <w:b/>
        </w:rPr>
        <w:t>[Fondateur]</w:t>
      </w:r>
      <w:r>
        <w:t xml:space="preserve"> Gick, M. L. &amp; Holyoak, K. J. (1980). </w:t>
      </w:r>
      <w:r>
        <w:rPr>
          <w:i/>
        </w:rPr>
        <w:t>Analogical problem solving.</w:t>
      </w:r>
      <w:r>
        <w:t xml:space="preserve"> Cognitive Psychology, 12(3).</w:t>
      </w:r>
    </w:p>
    <w:p>
      <w:pPr>
        <w:pStyle w:val="ListNumber"/>
      </w:pPr>
      <w:r>
        <w:rPr>
          <w:b/>
        </w:rPr>
        <w:t>[Acad.]</w:t>
      </w:r>
      <w:r>
        <w:t xml:space="preserve"> Barnett, S. M. &amp; Ceci, S. J. (2002). </w:t>
      </w:r>
      <w:r>
        <w:rPr>
          <w:i/>
        </w:rPr>
        <w:t>When and where do we apply what we learn? A taxonomy for far transfer.</w:t>
      </w:r>
      <w:r>
        <w:t xml:space="preserve"> Psychological Bulletin, 128(4).</w:t>
      </w:r>
    </w:p>
    <w:p>
      <w:r>
        <w:rPr>
          <w:i/>
        </w:rPr>
        <w:t>The Learning Society · Parcours Neuro-Éducation · réécrit &amp; fact-checké, juillet 2026 · 10 modules — parcours complet.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