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10 — Synthèse &amp; plan d'action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Rassembler les neuf modules en une pratique cohérente — et un plan concret pour transformer une formation.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Relier</w:t>
      </w:r>
      <w:r>
        <w:t xml:space="preserve"> les neuf principes en une pratique unique.</w:t>
      </w:r>
    </w:p>
    <w:p>
      <w:pPr>
        <w:pStyle w:val="ListBullet"/>
      </w:pPr>
      <w:r>
        <w:rPr>
          <w:b/>
        </w:rPr>
        <w:t>Repérer</w:t>
      </w:r>
      <w:r>
        <w:t xml:space="preserve"> les synergies — plusieurs leviers dans un seul geste.</w:t>
      </w:r>
    </w:p>
    <w:p>
      <w:pPr>
        <w:pStyle w:val="ListBullet"/>
      </w:pPr>
      <w:r>
        <w:rPr>
          <w:b/>
        </w:rPr>
        <w:t>Auditer</w:t>
      </w:r>
      <w:r>
        <w:t xml:space="preserve"> une formation existante.</w:t>
      </w:r>
    </w:p>
    <w:p>
      <w:pPr>
        <w:pStyle w:val="ListBullet"/>
      </w:pPr>
      <w:r>
        <w:rPr>
          <w:b/>
        </w:rPr>
        <w:t>Bâtir</w:t>
      </w:r>
      <w:r>
        <w:t xml:space="preserve"> un plan de transformation réaliste.</w:t>
      </w:r>
    </w:p>
    <w:p>
      <w:pPr>
        <w:pStyle w:val="Heading2"/>
      </w:pPr>
      <w:r>
        <w:t>01 · Engagement — Neuf modules, une seule séance</w:t>
      </w:r>
    </w:p>
    <w:p>
      <w:r>
        <w:t xml:space="preserve">Ce ne sont pas neuf recettes à appliquer l'une après l'autre. Ce sont neuf </w:t>
      </w:r>
      <w:r>
        <w:rPr>
          <w:b/>
        </w:rPr>
        <w:t>dimensions</w:t>
      </w:r>
      <w:r>
        <w:t xml:space="preserve"> d'une même séance bien conçue — qui s'activent souvent ensemble.</w:t>
      </w:r>
    </w:p>
    <w:p>
      <w:pPr>
        <w:pStyle w:val="Heading2"/>
      </w:pPr>
      <w:r>
        <w:t>02 · Découvrir — Les neuf principes, et leurs synergies</w:t>
      </w:r>
    </w:p>
    <w:p>
      <w:pPr>
        <w:pStyle w:val="Heading3"/>
      </w:pPr>
      <w:r>
        <w:t>Le parcours en neuf lignes</w:t>
      </w:r>
    </w:p>
    <w:p>
      <w:pPr>
        <w:pStyle w:val="ListNumber"/>
      </w:pPr>
      <w:r>
        <w:rPr>
          <w:b/>
        </w:rPr>
        <w:t>Fondements</w:t>
      </w:r>
      <w:r>
        <w:t xml:space="preserve"> — un cerveau plastique, les quatre piliers de Dehaene.</w:t>
      </w:r>
    </w:p>
    <w:p>
      <w:pPr>
        <w:pStyle w:val="ListNumber"/>
      </w:pPr>
      <w:r>
        <w:rPr>
          <w:b/>
        </w:rPr>
        <w:t>Mémoire</w:t>
      </w:r>
      <w:r>
        <w:t xml:space="preserve"> — espacer et se tester battent le bachotage.</w:t>
      </w:r>
    </w:p>
    <w:p>
      <w:pPr>
        <w:pStyle w:val="ListNumber"/>
      </w:pPr>
      <w:r>
        <w:rPr>
          <w:b/>
        </w:rPr>
        <w:t>Attention</w:t>
      </w:r>
      <w:r>
        <w:t xml:space="preserve"> — pas de minuteur interne ; l'intérêt et l'autonomie soutiennent le focus.</w:t>
      </w:r>
    </w:p>
    <w:p>
      <w:pPr>
        <w:pStyle w:val="ListNumber"/>
      </w:pPr>
      <w:r>
        <w:rPr>
          <w:b/>
        </w:rPr>
        <w:t>Feedback</w:t>
      </w:r>
      <w:r>
        <w:t xml:space="preserve"> — évaluer pour apprendre ; un retour utile, à temps.</w:t>
      </w:r>
    </w:p>
    <w:p>
      <w:pPr>
        <w:pStyle w:val="ListNumber"/>
      </w:pPr>
      <w:r>
        <w:rPr>
          <w:b/>
        </w:rPr>
        <w:t>Émotion</w:t>
      </w:r>
      <w:r>
        <w:t xml:space="preserve"> — la sécurité psychologique et un défi ajusté.</w:t>
      </w:r>
    </w:p>
    <w:p>
      <w:pPr>
        <w:pStyle w:val="ListNumber"/>
      </w:pPr>
      <w:r>
        <w:rPr>
          <w:b/>
        </w:rPr>
        <w:t>Neurodiversité</w:t>
      </w:r>
      <w:r>
        <w:t xml:space="preserve"> — concevoir flexible dès le départ (UDL) profite à tous.</w:t>
      </w:r>
    </w:p>
    <w:p>
      <w:pPr>
        <w:pStyle w:val="ListNumber"/>
      </w:pPr>
      <w:r>
        <w:rPr>
          <w:b/>
        </w:rPr>
        <w:t>Charge cognitive</w:t>
      </w:r>
      <w:r>
        <w:t xml:space="preserve"> — ménager la mémoire, associer mots et images.</w:t>
      </w:r>
    </w:p>
    <w:p>
      <w:pPr>
        <w:pStyle w:val="ListNumber"/>
      </w:pPr>
      <w:r>
        <w:rPr>
          <w:b/>
        </w:rPr>
        <w:t>Sommeil</w:t>
      </w:r>
      <w:r>
        <w:t xml:space="preserve"> — on consolide en dormant, pas en veillant.</w:t>
      </w:r>
    </w:p>
    <w:p>
      <w:pPr>
        <w:pStyle w:val="ListNumber"/>
      </w:pPr>
      <w:r>
        <w:rPr>
          <w:b/>
        </w:rPr>
        <w:t>Transfert</w:t>
      </w:r>
      <w:r>
        <w:t xml:space="preserve"> — le concevoir, avec variété d'exemples et analogies explicites.</w:t>
      </w:r>
    </w:p>
    <w:p>
      <w:pPr>
        <w:pStyle w:val="Heading3"/>
      </w:pPr>
      <w:r>
        <w:t>Une synergie concrète</w:t>
      </w:r>
    </w:p>
    <w:p>
      <w:r>
        <w:t xml:space="preserve">Un simple </w:t>
      </w:r>
      <w:r>
        <w:rPr>
          <w:b/>
        </w:rPr>
        <w:t>quiz de récupération en fin de séance</w:t>
      </w:r>
      <w:r>
        <w:t xml:space="preserve"> active à lui seul plusieurs principes : la récupération active (mémoire), un feedback immédiat, une pointe de motivation et d'émotion positive, du visuel et de l'oral (multimodalité), et il s'inscrit dans un espacement déjà planifié. Autrement dit : bien pensés, les leviers ne s'additionnent pas — ils se renforcent.</w:t>
      </w:r>
    </w:p>
    <w:p>
      <w:pPr>
        <w:pStyle w:val="Heading3"/>
      </w:pPr>
      <w:r>
        <w:t>Un auto-audit rapide</w:t>
      </w:r>
    </w:p>
    <w:p>
      <w:r>
        <w:rPr>
          <w:b/>
        </w:rPr>
        <w:t>Passez votre formation au crible :</w:t>
      </w:r>
    </w:p>
    <w:p>
      <w:pPr>
        <w:pStyle w:val="ListBullet"/>
      </w:pPr>
      <w:r>
        <w:rPr>
          <w:b/>
        </w:rPr>
        <w:t>Mémoire</w:t>
      </w:r>
      <w:r>
        <w:t xml:space="preserve"> — récupération régulière ? reprises espacées ?</w:t>
      </w:r>
    </w:p>
    <w:p>
      <w:pPr>
        <w:pStyle w:val="ListBullet"/>
      </w:pPr>
      <w:r>
        <w:rPr>
          <w:b/>
        </w:rPr>
        <w:t>Attention</w:t>
      </w:r>
      <w:r>
        <w:t xml:space="preserve"> — ouverture qui capte ? formats variés ? pauses ?</w:t>
      </w:r>
    </w:p>
    <w:p>
      <w:pPr>
        <w:pStyle w:val="ListBullet"/>
      </w:pPr>
      <w:r>
        <w:rPr>
          <w:b/>
        </w:rPr>
        <w:t>Émotion</w:t>
      </w:r>
      <w:r>
        <w:t xml:space="preserve"> — climat sûr ? défi ajusté ? retours bienveillants ?</w:t>
      </w:r>
    </w:p>
    <w:p>
      <w:pPr>
        <w:pStyle w:val="ListBullet"/>
      </w:pPr>
      <w:r>
        <w:rPr>
          <w:b/>
        </w:rPr>
        <w:t>Inclusion</w:t>
      </w:r>
      <w:r>
        <w:t xml:space="preserve"> — plusieurs formats ? plusieurs façons d'être évalué ?</w:t>
      </w:r>
    </w:p>
    <w:p>
      <w:pPr>
        <w:pStyle w:val="ListBullet"/>
      </w:pPr>
      <w:r>
        <w:rPr>
          <w:b/>
        </w:rPr>
        <w:t>Charge &amp; supports</w:t>
      </w:r>
      <w:r>
        <w:t xml:space="preserve"> — mots + images ? pas de surcharge ni de doublons ?</w:t>
      </w:r>
    </w:p>
    <w:p>
      <w:pPr>
        <w:pStyle w:val="ListBullet"/>
      </w:pPr>
      <w:r>
        <w:rPr>
          <w:b/>
        </w:rPr>
        <w:t>Sommeil &amp; transfert</w:t>
      </w:r>
      <w:r>
        <w:t xml:space="preserve"> — sessions bien placées ? exemples variés ? usage suivi à distance ?</w:t>
      </w:r>
    </w:p>
    <w:p>
      <w:pPr>
        <w:pStyle w:val="Heading2"/>
      </w:pPr>
      <w:r>
        <w:t>03 · Réfléchir — Quatre questions de synthèse</w:t>
      </w:r>
    </w:p>
    <w:p>
      <w:r>
        <w:rPr>
          <w:b/>
        </w:rPr>
        <w:t>Q1.</w:t>
      </w:r>
      <w:r>
        <w:t xml:space="preserve"> Les neuf modules sont… ✓ </w:t>
      </w:r>
      <w:r>
        <w:rPr>
          <w:b/>
        </w:rPr>
        <w:t>Des dimensions simultanées</w:t>
      </w:r>
      <w:r>
        <w:t xml:space="preserve"> d'une même séance, pas des étapes isolées.</w:t>
      </w:r>
    </w:p>
    <w:p>
      <w:r>
        <w:rPr>
          <w:b/>
        </w:rPr>
        <w:t>Q2.</w:t>
      </w:r>
      <w:r>
        <w:t xml:space="preserve"> Le geste à plus fort effet de levier ? ✓ </w:t>
      </w:r>
      <w:r>
        <w:rPr>
          <w:b/>
        </w:rPr>
        <w:t>La récupération active espacée</w:t>
      </w:r>
      <w:r>
        <w:t>, avec feedback : elle mobilise plusieurs principes d'un coup.</w:t>
      </w:r>
    </w:p>
    <w:p>
      <w:r>
        <w:rPr>
          <w:b/>
        </w:rPr>
        <w:t>Q3.</w:t>
      </w:r>
      <w:r>
        <w:t xml:space="preserve"> Mots + images ? ✓ </w:t>
      </w:r>
      <w:r>
        <w:rPr>
          <w:b/>
        </w:rPr>
        <w:t>Effet fort</w:t>
      </w:r>
      <w:r>
        <w:t xml:space="preserve"> (Mayer, principe multimédia) — à condition d'être complémentaires et sobres.</w:t>
      </w:r>
    </w:p>
    <w:p>
      <w:r>
        <w:rPr>
          <w:b/>
        </w:rPr>
        <w:t>Q4.</w:t>
      </w:r>
      <w:r>
        <w:t xml:space="preserve"> Par où commencer une transformation ? ✓ </w:t>
      </w:r>
      <w:r>
        <w:rPr>
          <w:b/>
        </w:rPr>
        <w:t>Un audit</w:t>
      </w:r>
      <w:r>
        <w:t>, puis deux ou trois changements prioritaires — pas tout à la fois.</w:t>
      </w:r>
    </w:p>
    <w:p>
      <w:pPr>
        <w:pStyle w:val="Heading2"/>
      </w:pPr>
      <w:r>
        <w:t>04 · Appliquer — Un plan de transformation</w:t>
      </w:r>
    </w:p>
    <w:p>
      <w:r>
        <w:t>Mission (~15 min) : bâtissez un plan réaliste pour une de vos formations.</w:t>
      </w:r>
    </w:p>
    <w:p>
      <w:r>
        <w:rPr>
          <w:b/>
        </w:rPr>
        <w:t>Feuille de route</w:t>
      </w:r>
    </w:p>
    <w:p>
      <w:pPr>
        <w:pStyle w:val="ListBullet"/>
      </w:pPr>
      <w:r>
        <w:rPr>
          <w:b/>
        </w:rPr>
        <w:t>Auditer</w:t>
      </w:r>
      <w:r>
        <w:t xml:space="preserve"> — repérer les 3 écarts les plus coûteux.</w:t>
      </w:r>
    </w:p>
    <w:p>
      <w:pPr>
        <w:pStyle w:val="ListBullet"/>
      </w:pPr>
      <w:r>
        <w:rPr>
          <w:b/>
        </w:rPr>
        <w:t>Concevoir</w:t>
      </w:r>
      <w:r>
        <w:t xml:space="preserve"> — d'abord la mémoire (récupération + espacement) et le feedback ; ce sont les plus rentables.</w:t>
      </w:r>
    </w:p>
    <w:p>
      <w:pPr>
        <w:pStyle w:val="ListBullet"/>
      </w:pPr>
      <w:r>
        <w:rPr>
          <w:b/>
        </w:rPr>
        <w:t>Piloter</w:t>
      </w:r>
      <w:r>
        <w:t xml:space="preserve"> — tester sur un groupe, recueillir des retours, ajuster.</w:t>
      </w:r>
    </w:p>
    <w:p>
      <w:pPr>
        <w:pStyle w:val="ListBullet"/>
      </w:pPr>
      <w:r>
        <w:rPr>
          <w:b/>
        </w:rPr>
        <w:t>Pérenniser</w:t>
      </w:r>
      <w:r>
        <w:t xml:space="preserve"> — documenter, et prévoir l'évaluation d'usage à quelques mois.</w:t>
      </w:r>
    </w:p>
    <w:p>
      <w:pPr>
        <w:pStyle w:val="Heading2"/>
      </w:pPr>
      <w:r>
        <w:t>05 · Consolider — Les phrases-clés du parcours</w:t>
      </w:r>
    </w:p>
    <w:p>
      <w:r>
        <w:t>« Se tester bat relire ; espacer bat entasser. » — Les deux leviers de mémoire les plus solides — et les plus faciles à installer.</w:t>
      </w:r>
    </w:p>
    <w:p>
      <w:r>
        <w:t>« On apprend là où l'on se sent en sécurité. » — Le climat précède le contenu.</w:t>
      </w:r>
    </w:p>
    <w:p>
      <w:r>
        <w:t>« Concevoir pour les marges profite à tous. » — La flexibilité n'est pas une faveur ; c'est un meilleur design.</w:t>
      </w:r>
    </w:p>
    <w:p>
      <w:pPr>
        <w:pStyle w:val="Heading2"/>
      </w:pPr>
      <w:r>
        <w:t>06 · Transférer — Clôture</w:t>
      </w:r>
    </w:p>
    <w:p>
      <w:r>
        <w:rPr>
          <w:b/>
        </w:rPr>
        <w:t>Attestation de parcours — interne.</w:t>
      </w:r>
      <w:r>
        <w:t xml:space="preserve"> Terminer ce parcours, c'est valider une pratique, pas obtenir un diplôme. Ce contenu est une ressource de formation interne à The Learning Society : il ne délivre ni certification officielle, ni crédit reconnu, ni équivalence. L'engagement qui compte est concret : appliquer, mesurer l'usage, itérer.</w:t>
      </w:r>
    </w:p>
    <w:p>
      <w:r>
        <w:rPr>
          <w:b/>
        </w:rPr>
        <w:t>Votre engagement.</w:t>
      </w:r>
      <w:r>
        <w:t xml:space="preserve"> Choisissez une formation et deux changements à y installer ce mois-ci (idéalement : récupération espacée + un feedback plus utile). Notez une façon simple d'en mesurer l'usage réel, à quelques mois.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