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 : PRINCIPES UI DESIGN — LES 4C</w:t>
      </w:r>
    </w:p>
    <w:p>
      <w:r>
        <w:rPr>
          <w:b/>
        </w:rPr>
        <w:t>Durée : 55 minutes · 50 slides</w:t>
      </w:r>
    </w:p>
    <w:p>
      <w:pPr>
        <w:pStyle w:val="IntenseQuote"/>
      </w:pPr>
      <w:r>
        <w:rPr>
          <w:b/>
        </w:rPr>
        <w:t>Version corrigée du 2026-07-23.</w:t>
      </w:r>
      <w:r>
        <w:t xml:space="preserve"> Le framework 4C et son contenu sont solides.</w:t>
      </w:r>
    </w:p>
    <w:p>
      <w:pPr>
        <w:pStyle w:val="IntenseQuote"/>
      </w:pPr>
      <w:r>
        <w:t>Corrections : l'erreur de contraste (la même qu'au module 1), les secondes</w:t>
      </w:r>
    </w:p>
    <w:p>
      <w:pPr>
        <w:pStyle w:val="IntenseQuote"/>
      </w:pPr>
      <w:r>
        <w:t>fabriquées de la loi de Hick, la confusion Miller/Cowan, et deux détails sur le</w:t>
      </w:r>
    </w:p>
    <w:p>
      <w:pPr>
        <w:pStyle w:val="IntenseQuote"/>
      </w:pPr>
      <w:r>
        <w:t>design system TLS. Journal en fin de document.</w:t>
      </w:r>
    </w:p>
    <w:p>
      <w:r>
        <w:t xml:space="preserve">Les 4C — </w:t>
      </w:r>
      <w:r>
        <w:rPr>
          <w:b/>
        </w:rPr>
        <w:t>Clarté, Cohérence, Contraste, Confort</w:t>
      </w:r>
      <w:r>
        <w:t xml:space="preserve"> — sont un cadre de décision</w:t>
      </w:r>
    </w:p>
    <w:p>
      <w:r>
        <w:t>maison, cohérent et utile. (Ce n'est pas un standard industrie « officiel » : à</w:t>
      </w:r>
    </w:p>
    <w:p>
      <w:r>
        <w:t>présenter comme un outil de travail TLS, pas comme une norme établie.)</w:t>
      </w:r>
    </w:p>
    <w:p>
      <w:pPr>
        <w:pStyle w:val="ListBullet"/>
      </w:pPr>
      <w:r>
        <w:rPr>
          <w:b/>
        </w:rPr>
        <w:t>Clarté</w:t>
      </w:r>
      <w:r>
        <w:t xml:space="preserve"> : l'utilisateur comprend quoi faire sans aide</w:t>
      </w:r>
    </w:p>
    <w:p>
      <w:pPr>
        <w:pStyle w:val="ListBullet"/>
      </w:pPr>
      <w:r>
        <w:rPr>
          <w:b/>
        </w:rPr>
        <w:t>Cohérence</w:t>
      </w:r>
      <w:r>
        <w:t xml:space="preserve"> : des patterns répétés → apprentissage rapide</w:t>
      </w:r>
    </w:p>
    <w:p>
      <w:pPr>
        <w:pStyle w:val="ListBullet"/>
      </w:pPr>
      <w:r>
        <w:rPr>
          <w:b/>
        </w:rPr>
        <w:t>Contraste</w:t>
      </w:r>
      <w:r>
        <w:t xml:space="preserve"> : actions principales et secondaires distinguées</w:t>
      </w:r>
    </w:p>
    <w:p>
      <w:pPr>
        <w:pStyle w:val="ListBullet"/>
      </w:pPr>
      <w:r>
        <w:rPr>
          <w:b/>
        </w:rPr>
        <w:t>Confort</w:t>
      </w:r>
      <w:r>
        <w:t xml:space="preserve"> : charge cognitive faible, interface familière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1 · CLARTÉ (slides 1-15)</w:t>
      </w:r>
    </w:p>
    <w:p>
      <w:pPr>
        <w:pStyle w:val="IntenseQuote"/>
      </w:pPr>
      <w:r>
        <w:rPr>
          <w:i/>
        </w:rPr>
        <w:t>« Don't make me think »</w:t>
      </w:r>
      <w:r>
        <w:t xml:space="preserve"> — Steve Krug.</w:t>
      </w:r>
    </w:p>
    <w:p>
      <w:r>
        <w:t>La clarté, c'est zéro ambiguïté sur trois questions : que fait ce bouton ? où</w:t>
      </w:r>
    </w:p>
    <w:p>
      <w:r>
        <w:t>suis-je ? que se passe-t-il après ce clic ?</w:t>
      </w:r>
    </w:p>
    <w:p>
      <w:r>
        <w:rPr>
          <w:b/>
        </w:rPr>
        <w:t>Le libellé fait l'essentiel de la clarté</w:t>
      </w:r>
    </w:p>
    <w:p>
      <w:pPr>
        <w:pStyle w:val="ListBullet"/>
      </w:pPr>
      <w:r>
        <w:t>❌ « Valider », « OK », « Cliquez ici »</w:t>
      </w:r>
    </w:p>
    <w:p>
      <w:pPr>
        <w:pStyle w:val="ListBullet"/>
      </w:pPr>
      <w:r>
        <w:t>✅ « Créer mon compte », « Confirmer l'achat », « Télécharger le certificat »</w:t>
      </w:r>
    </w:p>
    <w:p>
      <w:pPr>
        <w:pStyle w:val="ListBullet"/>
      </w:pPr>
      <w:r>
        <w:rPr>
          <w:b/>
        </w:rPr>
        <w:t>Règle : verbe + objet</w:t>
      </w:r>
      <w:r>
        <w:t xml:space="preserve"> (action + résultat)</w:t>
      </w:r>
    </w:p>
    <w:p>
      <w:r>
        <w:rPr>
          <w:b/>
        </w:rPr>
        <w:t>Les affordances</w:t>
      </w:r>
      <w:r>
        <w:t xml:space="preserve"> sont les signaux visuels d'interactivité : un bouton en relief</w:t>
      </w:r>
    </w:p>
    <w:p>
      <w:r>
        <w:t>et coloré dit « je suis cliquable », un lien souligné dit « je suis un lien », un</w:t>
      </w:r>
    </w:p>
    <w:p>
      <w:r>
        <w:t>champ bordé dit « tapez ici ».</w:t>
      </w:r>
    </w:p>
    <w:p>
      <w:r>
        <w:rPr>
          <w:b/>
        </w:rPr>
        <w:t>Le retour immédiat</w:t>
      </w:r>
      <w:r>
        <w:t xml:space="preserve"> : chaque action doit produire un signal visuel — chargement,</w:t>
      </w:r>
    </w:p>
    <w:p>
      <w:r>
        <w:t>coche de succès, notification. Sans retour, l'utilisateur doute d'avoir cliqué.</w:t>
      </w:r>
    </w:p>
    <w:p>
      <w:r>
        <w:rPr>
          <w:b/>
        </w:rPr>
        <w:t>Prévenir l'erreur plutôt que l'afficher</w:t>
      </w:r>
      <w:r>
        <w:t xml:space="preserve"> : désactiver un bouton tant que le</w:t>
      </w:r>
    </w:p>
    <w:p>
      <w:r>
        <w:t>formulaire est invalide vaut mieux qu'un message d'erreur après coup.</w:t>
      </w:r>
    </w:p>
    <w:p>
      <w:r>
        <w:rPr>
          <w:b/>
        </w:rPr>
        <w:t>Divulgation progressive</w:t>
      </w:r>
      <w:r>
        <w:t xml:space="preserve"> : ne montrer que ce dont l'utilisateur a besoin</w:t>
      </w:r>
    </w:p>
    <w:p>
      <w:r>
        <w:t>maintenant — un formulaire de 50 champs devient un parcours en 5 étapes.</w:t>
      </w:r>
    </w:p>
    <w:p>
      <w:r>
        <w:rPr>
          <w:b/>
        </w:rPr>
        <w:t>Iconographie</w:t>
      </w:r>
      <w:r>
        <w:t xml:space="preserve"> : icône + libellé. Une icône seule n'est claire que si elle est</w:t>
      </w:r>
    </w:p>
    <w:p>
      <w:r>
        <w:t>universelle (loupe, roue dentée).</w:t>
      </w:r>
    </w:p>
    <w:p>
      <w:r>
        <w:rPr>
          <w:i/>
        </w:rPr>
        <w:t>Exemples analysés</w:t>
      </w:r>
      <w:r>
        <w:t xml:space="preserve"> : Stripe (libellés verbe + objet, notifications, onglets),</w:t>
      </w:r>
    </w:p>
    <w:p>
      <w:r>
        <w:t>Coursera (« S'inscrire gratuitement » plutôt qu'un vague « Commencer »).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2 · COHÉRENCE (slides 16-30)</w:t>
      </w:r>
    </w:p>
    <w:p>
      <w:r>
        <w:t>La cohérence, c'est le pattern répété : l'utilisateur apprend une fois, applique</w:t>
      </w:r>
    </w:p>
    <w:p>
      <w:r>
        <w:t xml:space="preserve">partout. </w:t>
      </w:r>
      <w:r>
        <w:rPr>
          <w:b/>
        </w:rPr>
        <w:t>Trois types</w:t>
      </w:r>
      <w:r>
        <w:t xml:space="preserve"> :</w:t>
      </w:r>
    </w:p>
    <w:p>
      <w:pPr>
        <w:pStyle w:val="ListNumber"/>
      </w:pPr>
      <w:r>
        <w:rPr>
          <w:b/>
        </w:rPr>
        <w:t>Visuelle</w:t>
      </w:r>
      <w:r>
        <w:t xml:space="preserve"> — couleurs, typographie, espacement identiques</w:t>
      </w:r>
    </w:p>
    <w:p>
      <w:pPr>
        <w:pStyle w:val="ListNumber"/>
      </w:pPr>
      <w:r>
        <w:rPr>
          <w:b/>
        </w:rPr>
        <w:t>Fonctionnelle</w:t>
      </w:r>
      <w:r>
        <w:t xml:space="preserve"> — une même action produit un même résultat (supprimer →</w:t>
      </w:r>
    </w:p>
    <w:p>
      <w:r>
        <w:t xml:space="preserve">   toujours une confirmation)</w:t>
      </w:r>
    </w:p>
    <w:p>
      <w:pPr>
        <w:pStyle w:val="ListNumber"/>
      </w:pPr>
      <w:r>
        <w:rPr>
          <w:b/>
        </w:rPr>
        <w:t>Externe</w:t>
      </w:r>
      <w:r>
        <w:t xml:space="preserve"> — s'aligner sur les conventions du secteur plutôt que réinventer</w:t>
      </w:r>
    </w:p>
    <w:p>
      <w:r>
        <w:rPr>
          <w:b/>
        </w:rPr>
        <w:t>La bibliothèque de composants</w:t>
      </w:r>
      <w:r>
        <w:t xml:space="preserve"> est l'outil de cohérence : au lieu de redessiner</w:t>
      </w:r>
    </w:p>
    <w:p>
      <w:r>
        <w:t xml:space="preserve">un bouton à chaque page, on crée un composant </w:t>
      </w:r>
      <w:r>
        <w:rPr>
          <w:rFonts w:ascii="Consolas" w:hAnsi="Consolas"/>
          <w:color w:val="B03030"/>
          <w:sz w:val="19"/>
        </w:rPr>
        <w:t>Bouton</w:t>
      </w:r>
      <w:r>
        <w:t xml:space="preserve"> (variantes : primaire,</w:t>
      </w:r>
    </w:p>
    <w:p>
      <w:r>
        <w:t>secondaire, fantôme) réutilisé partout. Un correctif à un endroit se propage</w:t>
      </w:r>
    </w:p>
    <w:p>
      <w:r>
        <w:t>partout.</w:t>
      </w:r>
    </w:p>
    <w:p>
      <w:r>
        <w:rPr>
          <w:b/>
        </w:rPr>
        <w:t>Les design systems</w:t>
      </w:r>
      <w:r>
        <w:t xml:space="preserve"> portent cette cohérence à l'échelle : Material Design</w:t>
      </w:r>
    </w:p>
    <w:p>
      <w:r>
        <w:t xml:space="preserve">(Google), Human Interface Guidelines (Apple), et le </w:t>
      </w:r>
      <w:r>
        <w:rPr>
          <w:b/>
        </w:rPr>
        <w:t>design system TLS</w:t>
      </w:r>
      <w:r>
        <w:t>.</w:t>
      </w:r>
    </w:p>
    <w:p>
      <w:r>
        <w:rPr>
          <w:b/>
        </w:rPr>
        <w:t>Conventions de nommage</w:t>
      </w:r>
      <w:r>
        <w:t xml:space="preserve"> : « Confirmer » partout, pas « Valider / Envoyer / OK /</w:t>
      </w:r>
    </w:p>
    <w:p>
      <w:r>
        <w:t>Go » pour la même action.</w:t>
      </w:r>
    </w:p>
    <w:p>
      <w:r>
        <w:rPr>
          <w:b/>
        </w:rPr>
        <w:t>Cohérence fonctionnelle des actions destructives</w:t>
      </w:r>
      <w:r>
        <w:t xml:space="preserve"> : toujours une modale de</w:t>
      </w:r>
    </w:p>
    <w:p>
      <w:r>
        <w:t>confirmation, toujours « Annuler » (secondaire) + « Supprimer » (rouge), jamais de</w:t>
      </w:r>
    </w:p>
    <w:p>
      <w:r>
        <w:t>suppression directe.</w:t>
      </w:r>
    </w:p>
    <w:p>
      <w:pPr>
        <w:pStyle w:val="IntenseQuote"/>
      </w:pPr>
      <w:r>
        <w:t xml:space="preserve">⚠️ </w:t>
      </w:r>
      <w:r>
        <w:rPr>
          <w:b/>
        </w:rPr>
        <w:t>Deux corrections sur le design system TLS.</w:t>
      </w:r>
      <w:r>
        <w:t xml:space="preserve"> La version précédente</w:t>
      </w:r>
    </w:p>
    <w:p>
      <w:pPr>
        <w:pStyle w:val="IntenseQuote"/>
      </w:pPr>
      <w:r>
        <w:t xml:space="preserve">affirmait « 87 composants documentés dans </w:t>
      </w:r>
      <w:r>
        <w:rPr>
          <w:b/>
        </w:rPr>
        <w:t>Storybook</w:t>
      </w:r>
      <w:r>
        <w:t xml:space="preserve"> ». C'est faux sur deux</w:t>
      </w:r>
    </w:p>
    <w:p>
      <w:pPr>
        <w:pStyle w:val="IntenseQuote"/>
      </w:pPr>
      <w:r>
        <w:t xml:space="preserve">points : le DS TLS </w:t>
      </w:r>
      <w:r>
        <w:rPr>
          <w:b/>
        </w:rPr>
        <w:t>n'utilise pas Storybook</w:t>
      </w:r>
      <w:r>
        <w:t xml:space="preserve"> (le showcase est</w:t>
      </w:r>
    </w:p>
    <w:p>
      <w:pPr>
        <w:pStyle w:val="IntenseQuote"/>
      </w:pPr>
      <w:r>
        <w:rPr>
          <w:rFonts w:ascii="Consolas" w:hAnsi="Consolas"/>
          <w:color w:val="B03030"/>
          <w:sz w:val="19"/>
        </w:rPr>
        <w:t>src/pages/Components.tsx</w:t>
      </w:r>
      <w:r>
        <w:t xml:space="preserve">), et il compte </w:t>
      </w:r>
      <w:r>
        <w:rPr>
          <w:b/>
        </w:rPr>
        <w:t>plus de 90 composants</w:t>
      </w:r>
      <w:r>
        <w:t xml:space="preserve"> (≈ 51 </w:t>
      </w:r>
      <w:r>
        <w:rPr>
          <w:rFonts w:ascii="Consolas" w:hAnsi="Consolas"/>
          <w:color w:val="B03030"/>
          <w:sz w:val="19"/>
        </w:rPr>
        <w:t>ui</w:t>
      </w:r>
      <w:r>
        <w:t xml:space="preserve"> +</w:t>
      </w:r>
    </w:p>
    <w:p>
      <w:pPr>
        <w:pStyle w:val="IntenseQuote"/>
      </w:pPr>
      <w:r>
        <w:t xml:space="preserve">40 </w:t>
      </w:r>
      <w:r>
        <w:rPr>
          <w:rFonts w:ascii="Consolas" w:hAnsi="Consolas"/>
          <w:color w:val="B03030"/>
          <w:sz w:val="19"/>
        </w:rPr>
        <w:t>patterns</w:t>
      </w:r>
      <w:r>
        <w:t xml:space="preserve"> + noyau). À recompter et re-libeller.</w:t>
      </w:r>
    </w:p>
    <w:p>
      <w:pPr>
        <w:pStyle w:val="IntenseQuote"/>
      </w:pPr>
      <w:r>
        <w:t xml:space="preserve">⚠️ </w:t>
      </w:r>
      <w:r>
        <w:rPr>
          <w:b/>
        </w:rPr>
        <w:t>Airbnb</w:t>
      </w:r>
      <w:r>
        <w:t xml:space="preserve"> — « 200+ composants, 10 000+ écrans » : ordre de grandeur</w:t>
      </w:r>
    </w:p>
    <w:p>
      <w:pPr>
        <w:pStyle w:val="IntenseQuote"/>
      </w:pPr>
      <w:r>
        <w:t>plausible mais chiffres exacts non vérifiables. Adoucir en « des centaines de</w:t>
      </w:r>
    </w:p>
    <w:p>
      <w:pPr>
        <w:pStyle w:val="IntenseQuote"/>
      </w:pPr>
      <w:r>
        <w:t>composants ».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3 · CONTRASTE (slides 31-40)</w:t>
      </w:r>
    </w:p>
    <w:p>
      <w:pPr>
        <w:pStyle w:val="IntenseQuote"/>
      </w:pPr>
      <w:r>
        <w:rPr>
          <w:i/>
        </w:rPr>
        <w:t>« When everything is bold, nothing is bold. »</w:t>
      </w:r>
    </w:p>
    <w:p>
      <w:r>
        <w:t>Le contraste crée la hiérarchie visuelle : l'utilisateur voit immédiatement</w:t>
      </w:r>
    </w:p>
    <w:p>
      <w:r>
        <w:t xml:space="preserve">l'action principale et l'information importante. </w:t>
      </w:r>
      <w:r>
        <w:rPr>
          <w:b/>
        </w:rPr>
        <w:t>Quatre leviers</w:t>
      </w:r>
      <w:r>
        <w:t xml:space="preserve"> : taille,</w:t>
      </w:r>
    </w:p>
    <w:p>
      <w:r>
        <w:t>graisse, couleur, espace.</w:t>
      </w:r>
    </w:p>
    <w:p>
      <w:r>
        <w:rPr>
          <w:b/>
        </w:rPr>
        <w:t>Hiérarchie des boutons TLS</w:t>
      </w:r>
      <w:r>
        <w:t xml:space="preserve"> : primaire (contraste maximal, gradient, ombre),</w:t>
      </w:r>
    </w:p>
    <w:p>
      <w:r>
        <w:t>secondaire (bordure, fond transparent), fantôme (texte seul). **Un seul bouton</w:t>
      </w:r>
    </w:p>
    <w:p>
      <w:r>
        <w:t>primaire par écran.**</w:t>
      </w:r>
    </w:p>
    <w:p>
      <w:pPr>
        <w:pStyle w:val="Heading3"/>
      </w:pPr>
      <w:r>
        <w:t>⚠️ Contraste couleur = accessibilité (correction)</w:t>
      </w:r>
    </w:p>
    <w:p>
      <w:r>
        <w:t>Les seuils WCAG sont exacts : AA texte normal 4,5:1, grand texte 3:1, AAA 7:1.</w:t>
      </w:r>
    </w:p>
    <w:p>
      <w:r>
        <w:t xml:space="preserve">Mais l'exemple était faux — </w:t>
      </w:r>
      <w:r>
        <w:rPr>
          <w:b/>
        </w:rPr>
        <w:t>la même erreur qu'au module 1</w:t>
      </w:r>
      <w:r>
        <w:t xml:space="preserve"> :</w:t>
      </w:r>
    </w:p>
    <w:p>
      <w:pPr>
        <w:pStyle w:val="IntenseQuote"/>
      </w:pPr>
      <w:r>
        <w:t xml:space="preserve">Le module affichait « teal TLS </w:t>
      </w:r>
      <w:r>
        <w:rPr>
          <w:rFonts w:ascii="Consolas" w:hAnsi="Consolas"/>
          <w:color w:val="B03030"/>
          <w:sz w:val="19"/>
        </w:rPr>
        <w:t>#55A1B4</w:t>
      </w:r>
      <w:r>
        <w:t xml:space="preserve"> sur blanc = 4,6:1 ✅ AA ».</w:t>
      </w:r>
    </w:p>
    <w:p>
      <w:pPr>
        <w:pStyle w:val="IntenseQuote"/>
      </w:pPr>
      <w:r>
        <w:rPr>
          <w:b/>
        </w:rPr>
        <w:t>La réalité : 2,94:1 — échec.</w:t>
      </w:r>
      <w:r>
        <w:t xml:space="preserve"> Pour du texte AA, utiliser </w:t>
      </w:r>
      <w:r>
        <w:rPr>
          <w:rFonts w:ascii="Consolas" w:hAnsi="Consolas"/>
          <w:color w:val="B03030"/>
          <w:sz w:val="19"/>
        </w:rPr>
        <w:t>#3D7786</w:t>
      </w:r>
    </w:p>
    <w:p>
      <w:pPr>
        <w:pStyle w:val="IntenseQuote"/>
      </w:pPr>
      <w:r>
        <w:t xml:space="preserve">(primary-700) = </w:t>
      </w:r>
      <w:r>
        <w:rPr>
          <w:b/>
        </w:rPr>
        <w:t>5,02:1</w:t>
      </w:r>
      <w:r>
        <w:t>. Le teal clair est une couleur de fond, pas de texte.</w:t>
      </w:r>
    </w:p>
    <w:p>
      <w:r>
        <w:t>C'est le point où un module sur le contraste doit être irréprochable. Voir le</w:t>
      </w:r>
    </w:p>
    <w:p>
      <w:r>
        <w:t>module 1 pour la matrice complète recalculée.</w:t>
      </w:r>
    </w:p>
    <w:p>
      <w:r>
        <w:rPr>
          <w:b/>
        </w:rPr>
        <w:t>Anti-pattern</w:t>
      </w:r>
      <w:r>
        <w:t xml:space="preserve"> : cinq boutons de même taille et couleur → paralysie. Solution :</w:t>
      </w:r>
    </w:p>
    <w:p>
      <w:r>
        <w:t>un primaire, deux secondaires, le reste en fantôme.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4 · CONFORT (slides 41-50)</w:t>
      </w:r>
    </w:p>
    <w:p>
      <w:r>
        <w:t>Le confort, c'est la charge cognitive minimale : l'utilisateur se sent maître, pas</w:t>
      </w:r>
    </w:p>
    <w:p>
      <w:r>
        <w:t xml:space="preserve">débordé. L'idée que </w:t>
      </w:r>
      <w:r>
        <w:rPr>
          <w:b/>
        </w:rPr>
        <w:t>le familier est plus rapide que le nouveau</w:t>
      </w:r>
      <w:r>
        <w:t xml:space="preserve"> est réelle</w:t>
      </w:r>
    </w:p>
    <w:p>
      <w:r>
        <w:t xml:space="preserve">(loi de Jakob : les utilisateurs passent l'essentiel de leur temps sur </w:t>
      </w:r>
      <w:r>
        <w:rPr>
          <w:i/>
        </w:rPr>
        <w:t>d'autres</w:t>
      </w:r>
    </w:p>
    <w:p>
      <w:r>
        <w:t>sites, et attendent que le vôtre fonctionne pareil). *(Formule attribuée à Nielsen</w:t>
      </w:r>
    </w:p>
    <w:p>
      <w:r>
        <w:t>dans la version précédente entre guillemets — c'est une paraphrase de son idée,</w:t>
      </w:r>
    </w:p>
    <w:p>
      <w:r>
        <w:t>pas une citation attestée mot pour mot.)*</w:t>
      </w:r>
    </w:p>
    <w:p>
      <w:r>
        <w:rPr>
          <w:b/>
        </w:rPr>
        <w:t>Les trois charges cognitives</w:t>
      </w:r>
      <w:r>
        <w:t xml:space="preserve"> (Sweller) : intrinsèque (la difficulté de la</w:t>
      </w:r>
    </w:p>
    <w:p>
      <w:r>
        <w:t xml:space="preserve">tâche, irréductible), </w:t>
      </w:r>
      <w:r>
        <w:rPr>
          <w:b/>
        </w:rPr>
        <w:t>extrinsèque (la complexité de l'interface, réductible)</w:t>
      </w:r>
      <w:r>
        <w:t>,</w:t>
      </w:r>
    </w:p>
    <w:p>
      <w:r>
        <w:t>germane (l'effort d'apprentissage, utile). L'objectif de conception : réduire la</w:t>
      </w:r>
    </w:p>
    <w:p>
      <w:r>
        <w:t>charge extrinsèque.</w:t>
      </w:r>
    </w:p>
    <w:p>
      <w:pPr>
        <w:pStyle w:val="Heading3"/>
      </w:pPr>
      <w:r>
        <w:t>⚠️ La loi de Hick (correction)</w:t>
      </w:r>
    </w:p>
    <w:p>
      <w:r>
        <w:t>La loi est réelle : le temps de décision croît avec le nombre d'options</w:t>
      </w:r>
    </w:p>
    <w:p>
      <w:r>
        <w:t>(RT = b·log₂(n+1)).</w:t>
      </w:r>
    </w:p>
    <w:p>
      <w:pPr>
        <w:pStyle w:val="IntenseQuote"/>
      </w:pPr>
      <w:r>
        <w:t xml:space="preserve">⚠️ </w:t>
      </w:r>
      <w:r>
        <w:rPr>
          <w:b/>
        </w:rPr>
        <w:t>Mais les secondes affichées étaient fabriquées</w:t>
      </w:r>
      <w:r>
        <w:t xml:space="preserve"> : « 2 options → 1 s, 10 →</w:t>
      </w:r>
    </w:p>
    <w:p>
      <w:pPr>
        <w:pStyle w:val="IntenseQuote"/>
      </w:pPr>
      <w:r>
        <w:t>3,5 s, 100 → 7 s ». Avec un coefficient réaliste (b ≈ 0,15 s), 10 options ≈</w:t>
      </w:r>
    </w:p>
    <w:p>
      <w:pPr>
        <w:pStyle w:val="IntenseQuote"/>
      </w:pPr>
      <w:r>
        <w:rPr>
          <w:b/>
        </w:rPr>
        <w:t>0,5 s</w:t>
      </w:r>
      <w:r>
        <w:t xml:space="preserve">, pas 3,5. On </w:t>
      </w:r>
      <w:r>
        <w:rPr>
          <w:b/>
        </w:rPr>
        <w:t>garde la loi, on retire le tableau de secondes</w:t>
      </w:r>
      <w:r>
        <w:t xml:space="preserve"> (ou on</w:t>
      </w:r>
    </w:p>
    <w:p>
      <w:pPr>
        <w:pStyle w:val="IntenseQuote"/>
      </w:pPr>
      <w:r>
        <w:t>le marque « illustratif, non calibré »).</w:t>
      </w:r>
    </w:p>
    <w:p>
      <w:pPr>
        <w:pStyle w:val="Heading3"/>
      </w:pPr>
      <w:r>
        <w:t>⚠️ Le nombre magique (correction)</w:t>
      </w:r>
    </w:p>
    <w:p>
      <w:r>
        <w:t>La version précédente appliquait « moins de 7 options par décision » (le 7±2 de</w:t>
      </w:r>
    </w:p>
    <w:p>
      <w:r>
        <w:t>Miller).</w:t>
      </w:r>
    </w:p>
    <w:p>
      <w:pPr>
        <w:pStyle w:val="IntenseQuote"/>
      </w:pPr>
      <w:r>
        <w:t xml:space="preserve">⚠️ Le 7±2 de Miller (1956) est </w:t>
      </w:r>
      <w:r>
        <w:rPr>
          <w:b/>
        </w:rPr>
        <w:t>l'empan mnésique immédiat</w:t>
      </w:r>
      <w:r>
        <w:t>, régulièrement mal</w:t>
      </w:r>
    </w:p>
    <w:p>
      <w:pPr>
        <w:pStyle w:val="IntenseQuote"/>
      </w:pPr>
      <w:r>
        <w:t>transposé au design de menus. La capacité de la mémoire de travail a été révisée</w:t>
      </w:r>
    </w:p>
    <w:p>
      <w:pPr>
        <w:pStyle w:val="IntenseQuote"/>
      </w:pPr>
      <w:r>
        <w:t xml:space="preserve">à </w:t>
      </w:r>
      <w:r>
        <w:rPr>
          <w:b/>
        </w:rPr>
        <w:t>~4 chunks (Cowan, 2001)</w:t>
      </w:r>
      <w:r>
        <w:t>. À corriger — et **c'est cohérent avec le module</w:t>
      </w:r>
    </w:p>
    <w:p>
      <w:pPr>
        <w:pStyle w:val="IntenseQuote"/>
      </w:pPr>
      <w:r>
        <w:t>Mémoire du parcours Neuro**.</w:t>
      </w:r>
    </w:p>
    <w:p>
      <w:r>
        <w:rPr>
          <w:b/>
        </w:rPr>
        <w:t>Leviers de confort qui tiennent</w:t>
      </w:r>
      <w:r>
        <w:t xml:space="preserve"> :</w:t>
      </w:r>
    </w:p>
    <w:p>
      <w:pPr>
        <w:pStyle w:val="ListBullet"/>
      </w:pPr>
      <w:r>
        <w:rPr>
          <w:b/>
        </w:rPr>
        <w:t>Valeurs par défaut intelligentes</w:t>
      </w:r>
      <w:r>
        <w:t xml:space="preserve"> — pré-remplir le pays, la devise</w:t>
      </w:r>
    </w:p>
    <w:p>
      <w:pPr>
        <w:pStyle w:val="ListBullet"/>
      </w:pPr>
      <w:r>
        <w:rPr>
          <w:b/>
        </w:rPr>
        <w:t>Regroupement</w:t>
      </w:r>
      <w:r>
        <w:t xml:space="preserve"> (</w:t>
      </w:r>
      <w:r>
        <w:rPr>
          <w:i/>
        </w:rPr>
        <w:t>chunking</w:t>
      </w:r>
      <w:r>
        <w:t>) — « 06 12 34 56 78 » plutôt que « 0612345678 » ;</w:t>
      </w:r>
    </w:p>
    <w:p>
      <w:r>
        <w:t xml:space="preserve">  « 4532 1234 5678 9012 » plutôt que 16 chiffres d'affilée</w:t>
      </w:r>
    </w:p>
    <w:p>
      <w:pPr>
        <w:pStyle w:val="ListBullet"/>
      </w:pPr>
      <w:r>
        <w:rPr>
          <w:b/>
        </w:rPr>
        <w:t>Patterns familiers</w:t>
      </w:r>
      <w:r>
        <w:t xml:space="preserve"> — logo en haut à gauche, compte en haut à droite</w:t>
      </w:r>
    </w:p>
    <w:p>
      <w:pPr>
        <w:pStyle w:val="ListBullet"/>
      </w:pPr>
      <w:r>
        <w:rPr>
          <w:b/>
        </w:rPr>
        <w:t>États de chargement</w:t>
      </w:r>
      <w:r>
        <w:t xml:space="preserve"> — une barre de progression rassure mieux qu'un rien</w:t>
      </w:r>
    </w:p>
    <w:p>
      <w:pPr>
        <w:pStyle w:val="ListBullet"/>
      </w:pPr>
      <w:r>
        <w:rPr>
          <w:b/>
        </w:rPr>
        <w:t>États vides utiles</w:t>
      </w:r>
      <w:r>
        <w:t xml:space="preserve"> — une page vide propose une action, pas du blanc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Synthèse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Pilier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En un mot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Clarté</w:t>
            </w:r>
          </w:p>
        </w:tc>
        <w:tc>
          <w:tcPr>
            <w:tcW w:type="dxa" w:w="4320"/>
          </w:tcPr>
          <w:p>
            <w:r/>
            <w:r>
              <w:t>Libellés verbe + objet, affordances, retour immédiat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Cohérence</w:t>
            </w:r>
          </w:p>
        </w:tc>
        <w:tc>
          <w:tcPr>
            <w:tcW w:type="dxa" w:w="4320"/>
          </w:tcPr>
          <w:p>
            <w:r/>
            <w:r>
              <w:t>Bibliothèque de composants, patterns répétés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Contraste</w:t>
            </w:r>
          </w:p>
        </w:tc>
        <w:tc>
          <w:tcPr>
            <w:tcW w:type="dxa" w:w="4320"/>
          </w:tcPr>
          <w:p>
            <w:r/>
            <w:r>
              <w:t>Un seul primaire, hiérarchie taille/graisse/couleur/espace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Confort</w:t>
            </w:r>
          </w:p>
        </w:tc>
        <w:tc>
          <w:tcPr>
            <w:tcW w:type="dxa" w:w="4320"/>
          </w:tcPr>
          <w:p>
            <w:r/>
            <w:r>
              <w:t>Défauts intelligents, regroupement, familiarité</w:t>
            </w:r>
          </w:p>
        </w:tc>
      </w:tr>
    </w:tbl>
    <w:p>
      <w:r>
        <w:rPr>
          <w:b/>
        </w:rPr>
        <w:t>Lecture</w:t>
      </w:r>
      <w:r>
        <w:t xml:space="preserve"> : </w:t>
      </w:r>
      <w:r>
        <w:rPr>
          <w:i/>
        </w:rPr>
        <w:t>Don't Make Me Think</w:t>
      </w:r>
      <w:r>
        <w:t xml:space="preserve">, Steve Krug. </w:t>
      </w:r>
      <w:r>
        <w:rPr>
          <w:b/>
        </w:rPr>
        <w:t>Pratique</w:t>
      </w:r>
      <w:r>
        <w:t xml:space="preserve"> : reprendre une page</w:t>
      </w:r>
    </w:p>
    <w:p>
      <w:r>
        <w:t>avec la checklist 4C.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📋 Journal des corrections — 2026-07-23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Problème d'origine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 xml:space="preserve">Slide 35 : « </w:t>
            </w:r>
            <w:r>
              <w:rPr>
                <w:rFonts w:ascii="Consolas" w:hAnsi="Consolas"/>
                <w:color w:val="B03030"/>
                <w:sz w:val="19"/>
              </w:rPr>
              <w:t>#55A1B4</w:t>
            </w:r>
            <w:r>
              <w:t xml:space="preserve"> sur blanc = 4,6:1 ✅ AA »</w:t>
            </w:r>
          </w:p>
        </w:tc>
        <w:tc>
          <w:tcPr>
            <w:tcW w:type="dxa" w:w="2880"/>
          </w:tcPr>
          <w:p>
            <w:r/>
            <w:r>
              <w:t xml:space="preserve">Corrigé en </w:t>
            </w:r>
            <w:r>
              <w:rPr>
                <w:b/>
              </w:rPr>
              <w:t>2,94:1 (échec)</w:t>
            </w:r>
            <w:r>
              <w:t xml:space="preserve"> ; </w:t>
            </w:r>
            <w:r>
              <w:rPr>
                <w:rFonts w:ascii="Consolas" w:hAnsi="Consolas"/>
                <w:color w:val="B03030"/>
                <w:sz w:val="19"/>
              </w:rPr>
              <w:t>#3D7786</w:t>
            </w:r>
            <w:r>
              <w:t xml:space="preserve"> (5,02:1) pour le texte. Même erreur qu'au module 1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Slide 43 : loi de Hick « 2→1 s, 10→3,5 s, 100→7 s »</w:t>
            </w:r>
          </w:p>
        </w:tc>
        <w:tc>
          <w:tcPr>
            <w:tcW w:type="dxa" w:w="2880"/>
          </w:tcPr>
          <w:p>
            <w:r/>
            <w:r>
              <w:t xml:space="preserve">Secondes fabriquées </w:t>
            </w:r>
            <w:r>
              <w:rPr>
                <w:b/>
              </w:rPr>
              <w:t>retirées</w:t>
            </w:r>
            <w:r>
              <w:t xml:space="preserve"> ; loi conservée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Slide 49 : « moins de 7 options » (Miller 7±2)</w:t>
            </w:r>
          </w:p>
        </w:tc>
        <w:tc>
          <w:tcPr>
            <w:tcW w:type="dxa" w:w="2880"/>
          </w:tcPr>
          <w:p>
            <w:r/>
            <w:r>
              <w:t xml:space="preserve">Corrigé en </w:t>
            </w:r>
            <w:r>
              <w:rPr>
                <w:b/>
              </w:rPr>
              <w:t>~4 chunks (Cowan, 2001)</w:t>
            </w:r>
            <w:r>
              <w:t xml:space="preserve"> ; cohérence avec le parcours Neuro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Slide 27 : « 87 composants documentés dans </w:t>
            </w:r>
            <w:r>
              <w:rPr>
                <w:b/>
              </w:rPr>
              <w:t>Storybook</w:t>
            </w:r>
            <w:r>
              <w:t xml:space="preserve"> »</w:t>
            </w:r>
          </w:p>
        </w:tc>
        <w:tc>
          <w:tcPr>
            <w:tcW w:type="dxa" w:w="2880"/>
          </w:tcPr>
          <w:p>
            <w:r/>
            <w:r>
              <w:t xml:space="preserve">Corrigé : pas de Storybook (showcase </w:t>
            </w:r>
            <w:r>
              <w:rPr>
                <w:rFonts w:ascii="Consolas" w:hAnsi="Consolas"/>
                <w:color w:val="B03030"/>
                <w:sz w:val="19"/>
              </w:rPr>
              <w:t>Components.tsx</w:t>
            </w:r>
            <w:r>
              <w:t xml:space="preserve">), </w:t>
            </w:r>
            <w:r>
              <w:rPr>
                <w:b/>
              </w:rPr>
              <w:t>&gt; 90 composants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Slide 29 : Airbnb « 200+ composants, 10 000+ écrans »</w:t>
            </w:r>
          </w:p>
        </w:tc>
        <w:tc>
          <w:tcPr>
            <w:tcW w:type="dxa" w:w="2880"/>
          </w:tcPr>
          <w:p>
            <w:r/>
            <w:r>
              <w:t>Adouci en « des centaines de composants »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Slide 41 : « Familiar = Fast, Novel = Slow — Jakob Nielsen » entre guillemets</w:t>
            </w:r>
          </w:p>
        </w:tc>
        <w:tc>
          <w:tcPr>
            <w:tcW w:type="dxa" w:w="2880"/>
          </w:tcPr>
          <w:p>
            <w:r/>
            <w:r>
              <w:t xml:space="preserve">Requalifié en </w:t>
            </w:r>
            <w:r>
              <w:rPr>
                <w:b/>
              </w:rPr>
              <w:t>paraphrase</w:t>
            </w:r>
            <w:r>
              <w:t xml:space="preserve"> de la loi de Jakob, sans guillemets stricts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Framework 4C présenté comme standard</w:t>
            </w:r>
          </w:p>
        </w:tc>
        <w:tc>
          <w:tcPr>
            <w:tcW w:type="dxa" w:w="2880"/>
          </w:tcPr>
          <w:p>
            <w:r/>
            <w:r>
              <w:t>Requalifié : cadre maison légitime, pas une norme industrie</w:t>
            </w:r>
          </w:p>
        </w:tc>
      </w:tr>
    </w:tbl>
    <w:p>
      <w:r>
        <w:rPr>
          <w:b/>
        </w:rPr>
        <w:t>Conservé</w:t>
      </w:r>
      <w:r>
        <w:t xml:space="preserve"> : toute la partie Clarté (libellés, affordances, retour, prévention</w:t>
      </w:r>
    </w:p>
    <w:p>
      <w:r>
        <w:t>d'erreur, divulgation progressive) · la Cohérence (types, bibliothèque de</w:t>
      </w:r>
    </w:p>
    <w:p>
      <w:r>
        <w:t>composants, design systems, actions destructives) · la hiérarchie des boutons ·</w:t>
      </w:r>
    </w:p>
    <w:p>
      <w:r>
        <w:t>les leviers de confort (défauts, regroupement, familiarité, états de chargement et</w:t>
      </w:r>
    </w:p>
    <w:p>
      <w:r>
        <w:t>vides) · les exemples Stripe, Coursera, Airbnb. Le fond était solide.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