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5 : USER RESEARCH &amp; CARTOGRAPHIE DE L'EMPATHIE</w:t>
      </w:r>
    </w:p>
    <w:p>
      <w:r>
        <w:rPr>
          <w:b/>
        </w:rPr>
        <w:t>Durée : 70 minutes</w:t>
      </w:r>
    </w:p>
    <w:p>
      <w:pPr>
        <w:pStyle w:val="IntenseQuote"/>
      </w:pPr>
      <w:r>
        <w:rPr>
          <w:b/>
        </w:rPr>
        <w:t>Module rédigé le 2026-07-24.</w:t>
      </w:r>
      <w:r>
        <w:t xml:space="preserve"> Ce module n'existait qu'à l'état de plan à</w:t>
      </w:r>
    </w:p>
    <w:p>
      <w:pPr>
        <w:pStyle w:val="IntenseQuote"/>
      </w:pPr>
      <w:r>
        <w:t>puces dans le parcours. Il est écrit ici en entier, sur le canon vérifiable de</w:t>
      </w:r>
    </w:p>
    <w:p>
      <w:pPr>
        <w:pStyle w:val="IntenseQuote"/>
      </w:pPr>
      <w:r>
        <w:t>la recherche utilisateur. Aucune statistique fabriquée n'a été reprise du plan</w:t>
      </w:r>
    </w:p>
    <w:p>
      <w:pPr>
        <w:pStyle w:val="IntenseQuote"/>
      </w:pPr>
      <w:r>
        <w:t>d'origine (voir la note de rédaction en fin de document). Sources avec DOI /</w:t>
      </w:r>
    </w:p>
    <w:p>
      <w:pPr>
        <w:pStyle w:val="IntenseQuote"/>
      </w:pPr>
      <w:r>
        <w:t>référence en fin de module.</w:t>
      </w:r>
    </w:p>
    <w:p>
      <w:r>
        <w:rPr>
          <w:b/>
        </w:rPr>
        <w:t>Objectifs</w:t>
      </w:r>
    </w:p>
    <w:p>
      <w:pPr>
        <w:pStyle w:val="ListBullet"/>
      </w:pPr>
      <w:r>
        <w:t>Conduire un entretien utilisateur et en tirer des enseignements exploitables</w:t>
      </w:r>
    </w:p>
    <w:p>
      <w:pPr>
        <w:pStyle w:val="ListBullet"/>
      </w:pPr>
      <w:r>
        <w:t>Construire une carte d'empathie (dit / pense / ressent / fait)</w:t>
      </w:r>
    </w:p>
    <w:p>
      <w:pPr>
        <w:pStyle w:val="ListBullet"/>
      </w:pPr>
      <w:r>
        <w:t>Développer des personas d'apprenants fondés sur des données, pas sur des suppositions</w:t>
      </w:r>
    </w:p>
    <w:p>
      <w:pPr>
        <w:pStyle w:val="ListBullet"/>
      </w:pPr>
      <w:r>
        <w:t>Formuler le « travail à accomplir » (</w:t>
      </w:r>
      <w:r>
        <w:rPr>
          <w:i/>
        </w:rPr>
        <w:t>Jobs-to-be-Done</w:t>
      </w:r>
      <w:r>
        <w:t>) d'un apprenant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Pourquoi commencer par la recherche</w:t>
      </w:r>
    </w:p>
    <w:p>
      <w:r>
        <w:t>On conçoit souvent pour l'utilisateur qu'on imagine — c'est-à-dire, le plus</w:t>
      </w:r>
    </w:p>
    <w:p>
      <w:r>
        <w:t>souvent, pour soi-même. La recherche utilisateur sert à **remplacer les</w:t>
      </w:r>
    </w:p>
    <w:p>
      <w:r>
        <w:t>suppositions par des observations**. Elle ne dit pas ce qu'il faut construire ;</w:t>
      </w:r>
    </w:p>
    <w:p>
      <w:r>
        <w:t>elle dit ce que les gens font, veulent et évitent réellement, pour que la</w:t>
      </w:r>
    </w:p>
    <w:p>
      <w:r>
        <w:t>conception s'appuie sur du réel.</w:t>
      </w:r>
    </w:p>
    <w:p>
      <w:r>
        <w:t xml:space="preserve">⚠️ </w:t>
      </w:r>
      <w:r>
        <w:rPr>
          <w:b/>
        </w:rPr>
        <w:t>Une mise au point d'emblée.</w:t>
      </w:r>
      <w:r>
        <w:t xml:space="preserve"> Vous lirez partout des chiffres du type « 85 %</w:t>
      </w:r>
    </w:p>
    <w:p>
      <w:r>
        <w:t>des échecs produit viennent d'une mauvaise compréhension des utilisateurs » ou</w:t>
      </w:r>
    </w:p>
    <w:p>
      <w:r>
        <w:t>« 1 € investi en UX en rapporte 100 ». Ils circulent, mais **leur provenance est</w:t>
      </w:r>
    </w:p>
    <w:p>
      <w:r>
        <w:t>rarement vérifiable**. Le point solide, lui, est simple et défendable : détecter</w:t>
      </w:r>
    </w:p>
    <w:p>
      <w:r>
        <w:t xml:space="preserve">un problème d'usage </w:t>
      </w:r>
      <w:r>
        <w:rPr>
          <w:b/>
        </w:rPr>
        <w:t>avant</w:t>
      </w:r>
      <w:r>
        <w:t xml:space="preserve"> de développer coûte beaucoup moins cher qu'après.</w:t>
      </w:r>
    </w:p>
    <w:p>
      <w:r>
        <w:t>C'est cela qu'on retient, pas un multiplicateur précis.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1 · Les méthodes de recherche</w:t>
      </w:r>
    </w:p>
    <w:p>
      <w:r>
        <w:t>On distingue deux grandes familles, complémentaires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 xml:space="preserve">Recherche </w:t>
            </w:r>
            <w:r>
              <w:rPr>
                <w:b/>
              </w:rPr>
              <w:t>qualitative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 xml:space="preserve">Recherche </w:t>
            </w:r>
            <w:r>
              <w:rPr>
                <w:b/>
              </w:rPr>
              <w:t>quantitative</w:t>
            </w:r>
          </w:p>
        </w:tc>
      </w:tr>
      <w:tr>
        <w:tc>
          <w:tcPr>
            <w:tcW w:type="dxa" w:w="2880"/>
          </w:tcPr>
          <w:p>
            <w:r/>
            <w:r>
              <w:t>Question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Pourquoi ? Comment ?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Combien ? À quelle fréquence ?</w:t>
            </w:r>
          </w:p>
        </w:tc>
      </w:tr>
      <w:tr>
        <w:tc>
          <w:tcPr>
            <w:tcW w:type="dxa" w:w="2880"/>
          </w:tcPr>
          <w:p>
            <w:r/>
            <w:r>
              <w:t>Méthodes</w:t>
            </w:r>
          </w:p>
        </w:tc>
        <w:tc>
          <w:tcPr>
            <w:tcW w:type="dxa" w:w="2880"/>
          </w:tcPr>
          <w:p>
            <w:r/>
            <w:r>
              <w:t>Entretiens, tests d'usage, observation</w:t>
            </w:r>
          </w:p>
        </w:tc>
        <w:tc>
          <w:tcPr>
            <w:tcW w:type="dxa" w:w="2880"/>
          </w:tcPr>
          <w:p>
            <w:r/>
            <w:r>
              <w:t>Questionnaires, données d'usage, analytics</w:t>
            </w:r>
          </w:p>
        </w:tc>
      </w:tr>
      <w:tr>
        <w:tc>
          <w:tcPr>
            <w:tcW w:type="dxa" w:w="2880"/>
          </w:tcPr>
          <w:p>
            <w:r/>
            <w:r>
              <w:t>Taille</w:t>
            </w:r>
          </w:p>
        </w:tc>
        <w:tc>
          <w:tcPr>
            <w:tcW w:type="dxa" w:w="2880"/>
          </w:tcPr>
          <w:p>
            <w:r/>
            <w:r>
              <w:t>Peu de participants (5-8)</w:t>
            </w:r>
          </w:p>
        </w:tc>
        <w:tc>
          <w:tcPr>
            <w:tcW w:type="dxa" w:w="2880"/>
          </w:tcPr>
          <w:p>
            <w:r/>
            <w:r>
              <w:t>Beaucoup (100+)</w:t>
            </w:r>
          </w:p>
        </w:tc>
      </w:tr>
      <w:tr>
        <w:tc>
          <w:tcPr>
            <w:tcW w:type="dxa" w:w="2880"/>
          </w:tcPr>
          <w:p>
            <w:r/>
            <w:r>
              <w:t>Apport</w:t>
            </w:r>
          </w:p>
        </w:tc>
        <w:tc>
          <w:tcPr>
            <w:tcW w:type="dxa" w:w="2880"/>
          </w:tcPr>
          <w:p>
            <w:r/>
            <w:r>
              <w:t>Comprendre les motivations et les blocages</w:t>
            </w:r>
          </w:p>
        </w:tc>
        <w:tc>
          <w:tcPr>
            <w:tcW w:type="dxa" w:w="2880"/>
          </w:tcPr>
          <w:p>
            <w:r/>
            <w:r>
              <w:t>Mesurer l'ampleur d'un phénomène</w:t>
            </w:r>
          </w:p>
        </w:tc>
      </w:tr>
    </w:tbl>
    <w:p>
      <w:r>
        <w:rPr>
          <w:b/>
        </w:rPr>
        <w:t>La règle de séquence</w:t>
      </w:r>
      <w:r>
        <w:t xml:space="preserve"> : le qualitatif </w:t>
      </w:r>
      <w:r>
        <w:rPr>
          <w:b/>
        </w:rPr>
        <w:t>avant</w:t>
      </w:r>
      <w:r>
        <w:t xml:space="preserve"> le quantitatif. On explore pour</w:t>
      </w:r>
    </w:p>
    <w:p>
      <w:r>
        <w:t>comprendre, puis on mesure pour quantifier ce qu'on a compris. Mesurer avant de</w:t>
      </w:r>
    </w:p>
    <w:p>
      <w:r>
        <w:t>comprendre, c'est compter sans savoir ce qu'on compte.</w:t>
      </w:r>
    </w:p>
    <w:p>
      <w:pPr>
        <w:pStyle w:val="Heading3"/>
      </w:pPr>
      <w:r>
        <w:t>L'entretien, la méthode de base</w:t>
      </w:r>
    </w:p>
    <w:p>
      <w:r>
        <w:t>Un bon entretien ne cherche pas à valider une idée — il cherche à comprendre une</w:t>
      </w:r>
    </w:p>
    <w:p>
      <w:r>
        <w:t>expérience. Trois principes (Portigal, 2013) :</w:t>
      </w:r>
    </w:p>
    <w:p>
      <w:pPr>
        <w:pStyle w:val="ListNumber"/>
      </w:pPr>
      <w:r>
        <w:rPr>
          <w:b/>
        </w:rPr>
        <w:t>Des questions ouvertes</w:t>
      </w:r>
      <w:r>
        <w:t>, sur le passé concret : « racontez-moi la dernière</w:t>
      </w:r>
    </w:p>
    <w:p>
      <w:r>
        <w:t xml:space="preserve">   fois que… » plutôt que « pensez-vous que… ». Le comportement passé est plus</w:t>
      </w:r>
    </w:p>
    <w:p>
      <w:r>
        <w:t xml:space="preserve">   fiable que l'opinion projetée.</w:t>
      </w:r>
    </w:p>
    <w:p>
      <w:pPr>
        <w:pStyle w:val="ListNumber"/>
      </w:pPr>
      <w:r>
        <w:rPr>
          <w:b/>
        </w:rPr>
        <w:t>Ne pas souffler la réponse.</w:t>
      </w:r>
      <w:r>
        <w:t xml:space="preserve"> « Qu'est-ce qui a été difficile ? » n'est pas</w:t>
      </w:r>
    </w:p>
    <w:p>
      <w:r>
        <w:t xml:space="preserve">   la même question que « est-ce que c'était trop compliqué ? ».</w:t>
      </w:r>
    </w:p>
    <w:p>
      <w:pPr>
        <w:pStyle w:val="ListNumber"/>
      </w:pPr>
      <w:r>
        <w:rPr>
          <w:b/>
        </w:rPr>
        <w:t>Le silence est un outil.</w:t>
      </w:r>
      <w:r>
        <w:t xml:space="preserve"> Après une réponse, se taire fait souvent émerger</w:t>
      </w:r>
    </w:p>
    <w:p>
      <w:r>
        <w:t xml:space="preserve">   l'essentiel.</w:t>
      </w:r>
    </w:p>
    <w:p>
      <w:r>
        <w:t xml:space="preserve">⚠️ </w:t>
      </w:r>
      <w:r>
        <w:rPr>
          <w:b/>
        </w:rPr>
        <w:t>Ce que les gens disent ≠ ce que les gens font.</w:t>
      </w:r>
      <w:r>
        <w:t xml:space="preserve"> C'est la limite majeure de</w:t>
      </w:r>
    </w:p>
    <w:p>
      <w:r>
        <w:t>l'entretien seul : on rationalise, on embellit, on oublie. D'où l'intérêt de</w:t>
      </w:r>
    </w:p>
    <w:p>
      <w:r>
        <w:t>croiser l'entretien avec de l'</w:t>
      </w:r>
      <w:r>
        <w:rPr>
          <w:b/>
        </w:rPr>
        <w:t>observation</w:t>
      </w:r>
      <w:r>
        <w:t xml:space="preserve"> (le module 7 sur les tests d'usage)</w:t>
      </w:r>
    </w:p>
    <w:p>
      <w:r>
        <w:t xml:space="preserve">et avec des </w:t>
      </w:r>
      <w:r>
        <w:rPr>
          <w:b/>
        </w:rPr>
        <w:t>données réelles</w:t>
      </w:r>
      <w:r>
        <w:t>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2 · La carte d'empathie</w:t>
      </w:r>
    </w:p>
    <w:p>
      <w:r>
        <w:t xml:space="preserve">La carte d'empathie (Dave Gray, </w:t>
      </w:r>
      <w:r>
        <w:rPr>
          <w:i/>
        </w:rPr>
        <w:t>Gamestorming</w:t>
      </w:r>
      <w:r>
        <w:t>, 2010) organise ce qu'on a</w:t>
      </w:r>
    </w:p>
    <w:p>
      <w:r>
        <w:t>recueilli sur une personne en quatre quadrants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Quadrant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Question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Dit</w:t>
            </w:r>
          </w:p>
        </w:tc>
        <w:tc>
          <w:tcPr>
            <w:tcW w:type="dxa" w:w="4320"/>
          </w:tcPr>
          <w:p>
            <w:r/>
            <w:r>
              <w:t>Ses mots, ses citations verbatim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Pense</w:t>
            </w:r>
          </w:p>
        </w:tc>
        <w:tc>
          <w:tcPr>
            <w:tcW w:type="dxa" w:w="4320"/>
          </w:tcPr>
          <w:p>
            <w:r/>
            <w:r>
              <w:t>Ce qui l'occupe et qu'elle n'exprime pas forcément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Fait</w:t>
            </w:r>
          </w:p>
        </w:tc>
        <w:tc>
          <w:tcPr>
            <w:tcW w:type="dxa" w:w="4320"/>
          </w:tcPr>
          <w:p>
            <w:r/>
            <w:r>
              <w:t>Ses actions observées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Ressent</w:t>
            </w:r>
          </w:p>
        </w:tc>
        <w:tc>
          <w:tcPr>
            <w:tcW w:type="dxa" w:w="4320"/>
          </w:tcPr>
          <w:p>
            <w:r/>
            <w:r>
              <w:t>Ses émotions, ses frustrations, ses envies</w:t>
            </w:r>
          </w:p>
        </w:tc>
      </w:tr>
    </w:tbl>
    <w:p>
      <w:r>
        <w:t xml:space="preserve">Son intérêt : rendre visibles les </w:t>
      </w:r>
      <w:r>
        <w:rPr>
          <w:b/>
        </w:rPr>
        <w:t>écarts</w:t>
      </w:r>
      <w:r>
        <w:t xml:space="preserve">. Quand ce qu'une personne </w:t>
      </w:r>
      <w:r>
        <w:rPr>
          <w:i/>
        </w:rPr>
        <w:t>dit</w:t>
      </w:r>
    </w:p>
    <w:p>
      <w:r>
        <w:t xml:space="preserve">contredit ce qu'elle </w:t>
      </w:r>
      <w:r>
        <w:rPr>
          <w:i/>
        </w:rPr>
        <w:t>fait</w:t>
      </w:r>
      <w:r>
        <w:t xml:space="preserve">, ou quand elle </w:t>
      </w:r>
      <w:r>
        <w:rPr>
          <w:i/>
        </w:rPr>
        <w:t>ressent</w:t>
      </w:r>
      <w:r>
        <w:t xml:space="preserve"> une frustration qu'elle ne</w:t>
      </w:r>
    </w:p>
    <w:p>
      <w:r>
        <w:rPr>
          <w:i/>
        </w:rPr>
        <w:t>dit</w:t>
      </w:r>
      <w:r>
        <w:t xml:space="preserve"> pas, c'est souvent là que se cache l'opportunité de conception.</w:t>
      </w:r>
    </w:p>
    <w:p>
      <w:r>
        <w:rPr>
          <w:b/>
        </w:rPr>
        <w:t>En contexte EdTech</w:t>
      </w:r>
      <w:r>
        <w:t xml:space="preserve"> : un apprenant </w:t>
      </w:r>
      <w:r>
        <w:rPr>
          <w:i/>
        </w:rPr>
        <w:t>dit</w:t>
      </w:r>
      <w:r>
        <w:t xml:space="preserve"> « je veux monter en compétences »,</w:t>
      </w:r>
    </w:p>
    <w:p>
      <w:r>
        <w:t xml:space="preserve">mais </w:t>
      </w:r>
      <w:r>
        <w:rPr>
          <w:i/>
        </w:rPr>
        <w:t>fait</w:t>
      </w:r>
      <w:r>
        <w:t xml:space="preserve"> trois connexions puis abandonne, et </w:t>
      </w:r>
      <w:r>
        <w:rPr>
          <w:i/>
        </w:rPr>
        <w:t>ressent</w:t>
      </w:r>
      <w:r>
        <w:t xml:space="preserve"> de la culpabilité plus</w:t>
      </w:r>
    </w:p>
    <w:p>
      <w:r>
        <w:t>que de l'ennui. Cet écart oriente une conception bien plus utile qu'une déclaration</w:t>
      </w:r>
    </w:p>
    <w:p>
      <w:r>
        <w:t>d'intention prise au pied de la lettre.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3 · Les personas</w:t>
      </w:r>
    </w:p>
    <w:p>
      <w:r>
        <w:t>Un persona (notion popularisée par Alan Cooper, 1999) est un **portrait synthétique</w:t>
      </w:r>
    </w:p>
    <w:p>
      <w:r>
        <w:t>d'un type d'utilisateur**, construit à partir de la recherche, pour donner un</w:t>
      </w:r>
    </w:p>
    <w:p>
      <w:r>
        <w:t>visage aux décisions de conception.</w:t>
      </w:r>
    </w:p>
    <w:p>
      <w:r>
        <w:rPr>
          <w:b/>
        </w:rPr>
        <w:t>Ce qu'un persona utile contient</w:t>
      </w:r>
      <w:r>
        <w:t xml:space="preserve"> :</w:t>
      </w:r>
    </w:p>
    <w:p>
      <w:pPr>
        <w:pStyle w:val="ListBullet"/>
      </w:pPr>
      <w:r>
        <w:t xml:space="preserve">un </w:t>
      </w:r>
      <w:r>
        <w:rPr>
          <w:b/>
        </w:rPr>
        <w:t>objectif</w:t>
      </w:r>
      <w:r>
        <w:t xml:space="preserve"> (ce que la personne cherche à accomplir)</w:t>
      </w:r>
    </w:p>
    <w:p>
      <w:pPr>
        <w:pStyle w:val="ListBullet"/>
      </w:pPr>
      <w:r>
        <w:t xml:space="preserve">un </w:t>
      </w:r>
      <w:r>
        <w:rPr>
          <w:b/>
        </w:rPr>
        <w:t>niveau</w:t>
      </w:r>
      <w:r>
        <w:t xml:space="preserve"> de départ et un </w:t>
      </w:r>
      <w:r>
        <w:rPr>
          <w:b/>
        </w:rPr>
        <w:t>contexte</w:t>
      </w:r>
      <w:r>
        <w:t xml:space="preserve"> d'usage</w:t>
      </w:r>
    </w:p>
    <w:p>
      <w:pPr>
        <w:pStyle w:val="ListBullet"/>
      </w:pPr>
      <w:r>
        <w:t xml:space="preserve">ses </w:t>
      </w:r>
      <w:r>
        <w:rPr>
          <w:b/>
        </w:rPr>
        <w:t>blocages</w:t>
      </w:r>
      <w:r>
        <w:t xml:space="preserve"> réels</w:t>
      </w:r>
    </w:p>
    <w:p>
      <w:pPr>
        <w:pStyle w:val="ListBullet"/>
      </w:pPr>
      <w:r>
        <w:t xml:space="preserve">une ou deux </w:t>
      </w:r>
      <w:r>
        <w:rPr>
          <w:b/>
        </w:rPr>
        <w:t>citations</w:t>
      </w:r>
      <w:r>
        <w:t xml:space="preserve"> issues d'entretiens</w:t>
      </w:r>
    </w:p>
    <w:p>
      <w:r>
        <w:rPr>
          <w:b/>
        </w:rPr>
        <w:t>Ce qu'un persona ne contient PAS</w:t>
      </w:r>
      <w:r>
        <w:t xml:space="preserve"> :</w:t>
      </w:r>
    </w:p>
    <w:p>
      <w:pPr>
        <w:pStyle w:val="ListBullet"/>
      </w:pPr>
      <w:r>
        <w:t xml:space="preserve">⚠️ </w:t>
      </w:r>
      <w:r>
        <w:rPr>
          <w:b/>
        </w:rPr>
        <w:t>un « style d'apprentissage »</w:t>
      </w:r>
      <w:r>
        <w:t xml:space="preserve"> (visuel / auditif / kinesthésique). C'est un</w:t>
      </w:r>
    </w:p>
    <w:p>
      <w:r>
        <w:t xml:space="preserve">  mythe réfuté (Pashler et al., 2008) : trier les gens par style n'améliore rien.</w:t>
      </w:r>
    </w:p>
    <w:p>
      <w:r>
        <w:t xml:space="preserve">  Un persona se fonde sur le niveau, l'objectif et le contexte — jamais sur un</w:t>
      </w:r>
    </w:p>
    <w:p>
      <w:r>
        <w:t xml:space="preserve">  canal sensoriel supposé.</w:t>
      </w:r>
    </w:p>
    <w:p>
      <w:pPr>
        <w:pStyle w:val="ListBullet"/>
      </w:pPr>
      <w:r>
        <w:t>des données démographiques décoratives sans lien avec la conception (l'âge et le</w:t>
      </w:r>
    </w:p>
    <w:p>
      <w:r>
        <w:t xml:space="preserve">  prénom ne servent à rien s'ils ne changent aucune décision).</w:t>
      </w:r>
    </w:p>
    <w:p>
      <w:r>
        <w:t xml:space="preserve">⚠️ </w:t>
      </w:r>
      <w:r>
        <w:rPr>
          <w:b/>
        </w:rPr>
        <w:t>Le persona n'est pas de la fiction.</w:t>
      </w:r>
      <w:r>
        <w:t xml:space="preserve"> S'il n'est pas adossé à de la recherche</w:t>
      </w:r>
    </w:p>
    <w:p>
      <w:r>
        <w:t>réelle, ce n'est qu'une projection de nos propres hypothèses avec une photo dessus.</w:t>
      </w:r>
    </w:p>
    <w:p>
      <w:r>
        <w:t>Un persona non sourcé est pire qu'aucun persona : il donne une fausse assurance.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4 · Le travail à accomplir (</w:t>
      </w:r>
      <w:r>
        <w:rPr>
          <w:i/>
        </w:rPr>
        <w:t>Jobs-to-be-Done</w:t>
      </w:r>
      <w:r>
        <w:t>)</w:t>
      </w:r>
    </w:p>
    <w:p>
      <w:r>
        <w:t>Clayton Christensen a formulé une idée qui déplace le regard :</w:t>
      </w:r>
    </w:p>
    <w:p>
      <w:pPr>
        <w:pStyle w:val="IntenseQuote"/>
      </w:pPr>
      <w:r>
        <w:t>*« Les gens n'achètent pas un produit, ils l'"embauchent" pour accomplir un</w:t>
      </w:r>
    </w:p>
    <w:p>
      <w:pPr>
        <w:pStyle w:val="IntenseQuote"/>
      </w:pPr>
      <w:r>
        <w:t>travail. »</w:t>
      </w:r>
      <w:r>
        <w:rPr>
          <w:i/>
        </w:rPr>
        <w:t xml:space="preserve"> (Christensen et al., </w:t>
      </w:r>
      <w:r>
        <w:t>Competing Against Luck*, 2016)</w:t>
      </w:r>
    </w:p>
    <w:p>
      <w:r>
        <w:t>On ne conçoit donc pas pour un profil démographique, mais pour un **travail à</w:t>
      </w:r>
    </w:p>
    <w:p>
      <w:r>
        <w:t>accomplir dans une situation donnée**. La formulation type :</w:t>
      </w:r>
    </w:p>
    <w:p>
      <w:pPr>
        <w:pStyle w:val="IntenseQuote"/>
      </w:pPr>
      <w:r>
        <w:rPr>
          <w:b/>
        </w:rPr>
        <w:t>Quand</w:t>
      </w:r>
      <w:r>
        <w:t xml:space="preserve"> [situation], </w:t>
      </w:r>
      <w:r>
        <w:rPr>
          <w:b/>
        </w:rPr>
        <w:t>je veux</w:t>
      </w:r>
      <w:r>
        <w:t xml:space="preserve"> [motivation], </w:t>
      </w:r>
      <w:r>
        <w:rPr>
          <w:b/>
        </w:rPr>
        <w:t>pour</w:t>
      </w:r>
      <w:r>
        <w:t xml:space="preserve"> [résultat attendu].</w:t>
      </w:r>
    </w:p>
    <w:p>
      <w:r>
        <w:rPr>
          <w:b/>
        </w:rPr>
        <w:t>En EdTech</w:t>
      </w:r>
      <w:r>
        <w:t xml:space="preserve"> : « Quand je change de poste et que je dois maîtriser un outil</w:t>
      </w:r>
    </w:p>
    <w:p>
      <w:r>
        <w:t>rapidement, je veux une formation courte et directement applicable, pour être</w:t>
      </w:r>
    </w:p>
    <w:p>
      <w:r>
        <w:t>opérationnel dès la semaine suivante. » Ce « travail » commande la conception — pas</w:t>
      </w:r>
    </w:p>
    <w:p>
      <w:r>
        <w:t>l'âge ou le secteur de l'apprenant.</w:t>
      </w:r>
    </w:p>
    <w:p>
      <w:r>
        <w:t xml:space="preserve">Son intérêt : il révèle la </w:t>
      </w:r>
      <w:r>
        <w:rPr>
          <w:b/>
        </w:rPr>
        <w:t>vraie concurrence</w:t>
      </w:r>
      <w:r>
        <w:t>. Le concurrent d'une formation</w:t>
      </w:r>
    </w:p>
    <w:p>
      <w:r>
        <w:t>n'est pas une autre formation, c'est peut-être un tutoriel vidéo gratuit, un</w:t>
      </w:r>
    </w:p>
    <w:p>
      <w:r>
        <w:t>collègue qu'on interroge, ou le fait de ne rien faire. On conçoit contre ça.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Exercice pratique (15 min)</w:t>
      </w:r>
    </w:p>
    <w:p>
      <w:r>
        <w:t>À partir d'un besoin réel de votre périmètre :</w:t>
      </w:r>
    </w:p>
    <w:p>
      <w:pPr>
        <w:pStyle w:val="ListNumber"/>
      </w:pPr>
      <w:r>
        <w:rPr>
          <w:b/>
        </w:rPr>
        <w:t>Rédigez trois questions d'entretien</w:t>
      </w:r>
      <w:r>
        <w:t xml:space="preserve"> ouvertes, tournées vers le passé</w:t>
      </w:r>
    </w:p>
    <w:p>
      <w:r>
        <w:t xml:space="preserve">   concret — pas vers l'opinion.</w:t>
      </w:r>
    </w:p>
    <w:p>
      <w:pPr>
        <w:pStyle w:val="ListNumber"/>
      </w:pPr>
      <w:r>
        <w:rPr>
          <w:b/>
        </w:rPr>
        <w:t>Formulez un "travail à accomplir"</w:t>
      </w:r>
      <w:r>
        <w:t xml:space="preserve"> au format « Quand… je veux… pour… ».</w:t>
      </w:r>
    </w:p>
    <w:p>
      <w:pPr>
        <w:pStyle w:val="ListNumber"/>
      </w:pPr>
      <w:r>
        <w:rPr>
          <w:b/>
        </w:rPr>
        <w:t>Identifiez la vraie concurrence</w:t>
      </w:r>
      <w:r>
        <w:t xml:space="preserve"> de ce travail : qu'est-ce que la personne</w:t>
      </w:r>
    </w:p>
    <w:p>
      <w:r>
        <w:t xml:space="preserve">   pourrait « embaucher » à la place de votre formation ?</w:t>
      </w:r>
    </w:p>
    <w:p>
      <w:r>
        <w:rPr>
          <w:b/>
        </w:rPr>
        <w:t>Correction attendue</w:t>
      </w:r>
      <w:r>
        <w:t xml:space="preserve"> : le piège le plus fréquent est la question fermée</w:t>
      </w:r>
    </w:p>
    <w:p>
      <w:r>
        <w:t>déguisée (« est-ce que vous trouvez ça utile ? ») et le « travail » formulé comme</w:t>
      </w:r>
    </w:p>
    <w:p>
      <w:r>
        <w:t>une fonctionnalité (« je veux un quiz ») plutôt que comme un résultat (« je veux</w:t>
      </w:r>
    </w:p>
    <w:p>
      <w:r>
        <w:t>vérifier que j'ai compris avant la réunion »).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Synthèse</w:t>
      </w:r>
    </w:p>
    <w:p>
      <w:pPr>
        <w:pStyle w:val="ListNumber"/>
      </w:pPr>
      <w:r>
        <w:t xml:space="preserve">✅ Le </w:t>
      </w:r>
      <w:r>
        <w:rPr>
          <w:b/>
        </w:rPr>
        <w:t>qualitatif avant le quantitatif</w:t>
      </w:r>
      <w:r>
        <w:t xml:space="preserve"> : comprendre, puis mesurer</w:t>
      </w:r>
    </w:p>
    <w:p>
      <w:pPr>
        <w:pStyle w:val="ListNumber"/>
      </w:pPr>
      <w:r>
        <w:t xml:space="preserve">✅ </w:t>
      </w:r>
      <w:r>
        <w:rPr>
          <w:b/>
        </w:rPr>
        <w:t>Ce qu'on dit ≠ ce qu'on fait</w:t>
      </w:r>
      <w:r>
        <w:t xml:space="preserve"> : croiser entretien, observation et données</w:t>
      </w:r>
    </w:p>
    <w:p>
      <w:pPr>
        <w:pStyle w:val="ListNumber"/>
      </w:pPr>
      <w:r>
        <w:t xml:space="preserve">✅ La </w:t>
      </w:r>
      <w:r>
        <w:rPr>
          <w:b/>
        </w:rPr>
        <w:t>carte d'empathie</w:t>
      </w:r>
      <w:r>
        <w:t xml:space="preserve"> révèle les écarts dit / pense / fait / ressent</w:t>
      </w:r>
    </w:p>
    <w:p>
      <w:pPr>
        <w:pStyle w:val="ListNumber"/>
      </w:pPr>
      <w:r>
        <w:t xml:space="preserve">✅ Un </w:t>
      </w:r>
      <w:r>
        <w:rPr>
          <w:b/>
        </w:rPr>
        <w:t>persona</w:t>
      </w:r>
      <w:r>
        <w:t xml:space="preserve"> se fonde sur la recherche — niveau, objectif, contexte — jamais sur un « style »</w:t>
      </w:r>
    </w:p>
    <w:p>
      <w:pPr>
        <w:pStyle w:val="ListNumber"/>
      </w:pPr>
      <w:r>
        <w:t xml:space="preserve">✅ Le </w:t>
      </w:r>
      <w:r>
        <w:rPr>
          <w:b/>
        </w:rPr>
        <w:t>travail à accomplir</w:t>
      </w:r>
      <w:r>
        <w:t xml:space="preserve"> déplace le regard du profil vers la situation, et révèle la vraie concurrence</w:t>
      </w:r>
    </w:p>
    <w:p>
      <w:pPr>
        <w:pStyle w:val="Heading3"/>
      </w:pPr>
      <w:r>
        <w:t>Les 3 mantras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Mantra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Comprendre avant de mesurer »</w:t>
            </w:r>
          </w:p>
        </w:tc>
        <w:tc>
          <w:tcPr>
            <w:tcW w:type="dxa" w:w="4320"/>
          </w:tcPr>
          <w:p>
            <w:r/>
            <w:r>
              <w:t>Le qualitatif ouvre, le quantitatif confirme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Observer plus qu'écouter »</w:t>
            </w:r>
          </w:p>
        </w:tc>
        <w:tc>
          <w:tcPr>
            <w:tcW w:type="dxa" w:w="4320"/>
          </w:tcPr>
          <w:p>
            <w:r/>
            <w:r>
              <w:t>Le comportement est plus fiable que l'opinion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Un persona sans recherche est une fiction »</w:t>
            </w:r>
          </w:p>
        </w:tc>
        <w:tc>
          <w:tcPr>
            <w:tcW w:type="dxa" w:w="4320"/>
          </w:tcPr>
          <w:p>
            <w:r/>
            <w:r>
              <w:t>Il projette nos hypothèses, il ne les corrige pas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2"/>
      </w:pPr>
      <w:r>
        <w:t>Sources</w:t>
      </w:r>
    </w:p>
    <w:p>
      <w:pPr>
        <w:pStyle w:val="ListBullet"/>
      </w:pPr>
      <w:r>
        <w:rPr>
          <w:b/>
        </w:rPr>
        <w:t>Gray, D., Brown, S., &amp; Macanufo, J. (2010).</w:t>
      </w:r>
      <w:r>
        <w:t xml:space="preserve"> </w:t>
      </w:r>
      <w:r>
        <w:rPr>
          <w:i/>
        </w:rPr>
        <w:t>Gamestorming.</w:t>
      </w:r>
      <w:r>
        <w:t xml:space="preserve"> O'Reilly. →</w:t>
      </w:r>
    </w:p>
    <w:p>
      <w:r>
        <w:t xml:space="preserve">  carte d'empathie (dit / pense / fait / ressent)</w:t>
      </w:r>
    </w:p>
    <w:p>
      <w:pPr>
        <w:pStyle w:val="ListBullet"/>
      </w:pPr>
      <w:r>
        <w:rPr>
          <w:b/>
        </w:rPr>
        <w:t>Christensen, C. M., Hall, T., Dillon, K., &amp; Duncan, D. S. (2016).</w:t>
      </w:r>
    </w:p>
    <w:p>
      <w:r>
        <w:t xml:space="preserve">  </w:t>
      </w:r>
      <w:r>
        <w:rPr>
          <w:i/>
        </w:rPr>
        <w:t>Competing Against Luck: The Story of Innovation and Customer Choice.</w:t>
      </w:r>
      <w:r>
        <w:t xml:space="preserve"> Harper</w:t>
      </w:r>
    </w:p>
    <w:p>
      <w:r>
        <w:t xml:space="preserve">  Business. → Jobs-to-be-Done</w:t>
      </w:r>
    </w:p>
    <w:p>
      <w:pPr>
        <w:pStyle w:val="ListBullet"/>
      </w:pPr>
      <w:r>
        <w:rPr>
          <w:b/>
        </w:rPr>
        <w:t>Christensen, C. M., Cook, S., &amp; Hall, T. (2005).</w:t>
      </w:r>
      <w:r>
        <w:t xml:space="preserve"> Marketing Malpractice: The</w:t>
      </w:r>
    </w:p>
    <w:p>
      <w:r>
        <w:t xml:space="preserve">  Cause and the Cure. </w:t>
      </w:r>
      <w:r>
        <w:rPr>
          <w:i/>
        </w:rPr>
        <w:t>Harvard Business Review</w:t>
      </w:r>
      <w:r>
        <w:t>, 83(12). → JTBD, formulation</w:t>
      </w:r>
    </w:p>
    <w:p>
      <w:pPr>
        <w:pStyle w:val="ListBullet"/>
      </w:pPr>
      <w:r>
        <w:rPr>
          <w:b/>
        </w:rPr>
        <w:t>Cooper, A. (1999).</w:t>
      </w:r>
      <w:r>
        <w:t xml:space="preserve"> </w:t>
      </w:r>
      <w:r>
        <w:rPr>
          <w:i/>
        </w:rPr>
        <w:t>The Inmates Are Running the Asylum.</w:t>
      </w:r>
      <w:r>
        <w:t xml:space="preserve"> Sams. → origine des</w:t>
      </w:r>
    </w:p>
    <w:p>
      <w:r>
        <w:t xml:space="preserve">  personas</w:t>
      </w:r>
    </w:p>
    <w:p>
      <w:pPr>
        <w:pStyle w:val="ListBullet"/>
      </w:pPr>
      <w:r>
        <w:rPr>
          <w:b/>
        </w:rPr>
        <w:t>Portigal, S. (2013).</w:t>
      </w:r>
      <w:r>
        <w:t xml:space="preserve"> *Interviewing Users: How to Uncover Compelling</w:t>
      </w:r>
    </w:p>
    <w:p>
      <w:r>
        <w:t xml:space="preserve">  Insights.* Rosenfeld Media. → méthode d'entretien</w:t>
      </w:r>
    </w:p>
    <w:p>
      <w:pPr>
        <w:pStyle w:val="ListBullet"/>
      </w:pPr>
      <w:r>
        <w:rPr>
          <w:b/>
        </w:rPr>
        <w:t>Pashler, H., McDaniel, M., Rohrer, D., &amp; Bjork, R. (2008).</w:t>
      </w:r>
      <w:r>
        <w:t xml:space="preserve"> Learning Styles:</w:t>
      </w:r>
    </w:p>
    <w:p>
      <w:r>
        <w:t xml:space="preserve">  Concepts and Evidence. </w:t>
      </w:r>
      <w:r>
        <w:rPr>
          <w:i/>
        </w:rPr>
        <w:t>Psychological Science in the Public Interest</w:t>
      </w:r>
      <w:r>
        <w:t>, 9(3).</w:t>
      </w:r>
    </w:p>
    <w:p>
      <w:r>
        <w:t xml:space="preserve">  DOI 10.1111/j.1539-6053.2009.01038.x → réfutation des styles (personas)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📝 Note de rédaction — 2026-07-24</w:t>
      </w:r>
    </w:p>
    <w:p>
      <w:r>
        <w:t xml:space="preserve">Module </w:t>
      </w:r>
      <w:r>
        <w:rPr>
          <w:b/>
        </w:rPr>
        <w:t>écrit</w:t>
      </w:r>
      <w:r>
        <w:t xml:space="preserve"> à partir du plan à puces existant (objectifs + « Key Topics »).</w:t>
      </w:r>
    </w:p>
    <w:p>
      <w:r>
        <w:t>Contenu produit sur le canon vérifiable de la recherche utilisateur.</w:t>
      </w:r>
    </w:p>
    <w:p>
      <w:r>
        <w:rPr>
          <w:b/>
        </w:rPr>
        <w:t>Cadrages fabriqués du plan d'origine, volontairement écartés</w:t>
      </w:r>
      <w:r>
        <w:t xml:space="preserve"> :</w:t>
      </w:r>
    </w:p>
    <w:p>
      <w:pPr>
        <w:pStyle w:val="ListBullet"/>
      </w:pPr>
      <w:r>
        <w:t>« 85 % des échecs produit = mauvaise compréhension des utilisateurs (study</w:t>
      </w:r>
    </w:p>
    <w:p>
      <w:r>
        <w:t xml:space="preserve">  2026) » — non sourçable ; remplacé par l'argument défendable (détecter tôt coûte</w:t>
      </w:r>
    </w:p>
    <w:p>
      <w:r>
        <w:t xml:space="preserve">  moins cher)</w:t>
      </w:r>
    </w:p>
    <w:p>
      <w:pPr>
        <w:pStyle w:val="ListBullet"/>
      </w:pPr>
      <w:r>
        <w:t>« ROI recherche = 1 € → 100-10 000 € économisés » — figure ancienne et</w:t>
      </w:r>
    </w:p>
    <w:p>
      <w:r>
        <w:t xml:space="preserve">  difficile à sourcer ; mentionnée avec réserve, non présentée comme un fait</w:t>
      </w:r>
    </w:p>
    <w:p>
      <w:r>
        <w:rPr>
          <w:b/>
        </w:rPr>
        <w:t>Écarté par cohérence de parcours</w:t>
      </w:r>
      <w:r>
        <w:t xml:space="preserve"> : aucun « style d'apprentissage » dans les</w:t>
      </w:r>
    </w:p>
    <w:p>
      <w:r>
        <w:t>personas (module 7 UX/UI, module Neuro).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