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 : LEARNING EXPERIENCE DESIGN (LXD)</w:t>
      </w:r>
    </w:p>
    <w:p>
      <w:r>
        <w:rPr>
          <w:b/>
        </w:rPr>
        <w:t>Durée : ~70 minutes · le pont avec le parcours Neuro-Éducation</w:t>
      </w:r>
    </w:p>
    <w:p>
      <w:pPr>
        <w:pStyle w:val="IntenseQuote"/>
      </w:pPr>
      <w:r>
        <w:rPr>
          <w:b/>
        </w:rPr>
        <w:t>Version corrigée du 2026-07-23.</w:t>
      </w:r>
      <w:r>
        <w:t xml:space="preserve"> La caution scientifique de ce module est la</w:t>
      </w:r>
    </w:p>
    <w:p>
      <w:pPr>
        <w:pStyle w:val="IntenseQuote"/>
      </w:pPr>
      <w:r>
        <w:t>meilleure de tout le corpus — il rassemble les principes d'apprentissage les</w:t>
      </w:r>
    </w:p>
    <w:p>
      <w:pPr>
        <w:pStyle w:val="IntenseQuote"/>
      </w:pPr>
      <w:r>
        <w:t>mieux établis. Mais un mythe débunké s'y était réintroduit, et quelques chiffres</w:t>
      </w:r>
    </w:p>
    <w:p>
      <w:pPr>
        <w:pStyle w:val="IntenseQuote"/>
      </w:pPr>
      <w:r>
        <w:t>illustratifs étaient présentés comme des faits. Corrections ci-dessous. Journal</w:t>
      </w:r>
    </w:p>
    <w:p>
      <w:pPr>
        <w:pStyle w:val="IntenseQuote"/>
      </w:pPr>
      <w:r>
        <w:t>en fin de document.</w:t>
      </w:r>
    </w:p>
    <w:p>
      <w:pPr>
        <w:pStyle w:val="IntenseQuote"/>
      </w:pPr>
    </w:p>
    <w:p>
      <w:pPr>
        <w:pStyle w:val="IntenseQuote"/>
      </w:pPr>
      <w:r>
        <w:t xml:space="preserve">⚠️ </w:t>
      </w:r>
      <w:r>
        <w:rPr>
          <w:b/>
        </w:rPr>
        <w:t>C'est le module-pont avec le parcours Neuro</w:t>
      </w:r>
      <w:r>
        <w:t xml:space="preserve"> : la purge des mythes doit</w:t>
      </w:r>
    </w:p>
    <w:p>
      <w:pPr>
        <w:pStyle w:val="IntenseQuote"/>
      </w:pPr>
      <w:r>
        <w:t xml:space="preserve">être </w:t>
      </w:r>
      <w:r>
        <w:rPr>
          <w:b/>
        </w:rPr>
        <w:t>cohérente entre les deux parcours</w:t>
      </w:r>
      <w:r>
        <w:t xml:space="preserve"> (voir Neuro M3 · Attention).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🔴 À retirer d'urgence : le mythe du poisson rouge</w:t>
      </w:r>
    </w:p>
    <w:p>
      <w:r>
        <w:rPr>
          <w:b/>
        </w:rPr>
        <w:t>Slide 4 et script vidéo [0:45-2:30]</w:t>
      </w:r>
      <w:r>
        <w:t xml:space="preserve"> affichaient :</w:t>
      </w:r>
    </w:p>
    <w:p>
      <w:pPr>
        <w:pStyle w:val="IntenseQuote"/>
      </w:pPr>
      <w:r>
        <w:t>« Attention span — 2000 : 12 s ; 2024 : 8 s, moins qu'un poisson rouge (9 s). »</w:t>
      </w:r>
    </w:p>
    <w:p>
      <w:pPr>
        <w:pStyle w:val="IntenseQuote"/>
      </w:pPr>
      <w:r>
        <w:t>« Votre apprenant a 8 secondes d'attention, moins qu'un poisson rouge. »</w:t>
      </w:r>
    </w:p>
    <w:p>
      <w:r>
        <w:rPr>
          <w:b/>
        </w:rPr>
        <w:t>À SUPPRIMER, dans la slide ET dans le script vidéo.</w:t>
      </w:r>
      <w:r>
        <w:t xml:space="preserve"> C'est un mythe</w:t>
      </w:r>
    </w:p>
    <w:p>
      <w:r>
        <w:t>intégralement débunké :</w:t>
      </w:r>
    </w:p>
    <w:p>
      <w:pPr>
        <w:pStyle w:val="ListBullet"/>
      </w:pPr>
      <w:r>
        <w:t>source d'origine : Statistic Brain, repris par Microsoft (2015), **qui n'a</w:t>
      </w:r>
    </w:p>
    <w:p>
      <w:r>
        <w:t xml:space="preserve">  jamais pu la fournir**</w:t>
      </w:r>
    </w:p>
    <w:p>
      <w:pPr>
        <w:pStyle w:val="ListBullet"/>
      </w:pPr>
      <w:r>
        <w:t>enquête BBC (2017) : aucune base scientifique ; Microsoft a retiré le rapport</w:t>
      </w:r>
    </w:p>
    <w:p>
      <w:pPr>
        <w:pStyle w:val="ListBullet"/>
      </w:pPr>
      <w:r>
        <w:t>les chercheurs de l'attention (Vogel, U. Chicago) : la capacité attentionnelle</w:t>
      </w:r>
    </w:p>
    <w:p>
      <w:r>
        <w:t xml:space="preserve">  est « remarquablement stable depuis des décennies »</w:t>
      </w:r>
    </w:p>
    <w:p>
      <w:pPr>
        <w:pStyle w:val="ListBullet"/>
      </w:pPr>
      <w:r>
        <w:t xml:space="preserve">il n'existe </w:t>
      </w:r>
      <w:r>
        <w:rPr>
          <w:b/>
        </w:rPr>
        <w:t>aucune</w:t>
      </w:r>
      <w:r>
        <w:t xml:space="preserve"> preuve d'un « attention span de poisson rouge »</w:t>
      </w:r>
    </w:p>
    <w:p>
      <w:r>
        <w:t xml:space="preserve">Le principe pédagogique (segmenter, varier les formats) tient </w:t>
      </w:r>
      <w:r>
        <w:rPr>
          <w:b/>
        </w:rPr>
        <w:t>sans</w:t>
      </w:r>
      <w:r>
        <w:t xml:space="preserve"> ce chiffre.</w:t>
      </w:r>
    </w:p>
    <w:p>
      <w:r>
        <w:rPr>
          <w:b/>
        </w:rPr>
        <w:t>Slide 4 / script</w:t>
      </w:r>
      <w:r>
        <w:t xml:space="preserve"> — « 10-15 minutes de concentration maximale » : à reformuler</w:t>
      </w:r>
    </w:p>
    <w:p>
      <w:r>
        <w:t>en « varier les formats et segmenter pour soutenir l'attention », **sans chiffrer</w:t>
      </w:r>
    </w:p>
    <w:p>
      <w:r>
        <w:t>un seuil universel**. La « règle des 10 minutes » est faiblement étayée.</w:t>
      </w:r>
    </w:p>
    <w:p>
      <w:pPr>
        <w:pStyle w:val="IntenseQuote"/>
      </w:pPr>
      <w:r>
        <w:t xml:space="preserve">⚠️ </w:t>
      </w:r>
      <w:r>
        <w:rPr>
          <w:b/>
        </w:rPr>
        <w:t>C'est exactement le même mythe que Neuro M3.</w:t>
      </w:r>
      <w:r>
        <w:t xml:space="preserve"> Si l'un des deux parcours le</w:t>
      </w:r>
    </w:p>
    <w:p>
      <w:pPr>
        <w:pStyle w:val="IntenseQuote"/>
      </w:pPr>
      <w:r>
        <w:t>corrige et pas l'autre, l'incohérence saute aux yeux. Purger les deux.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✅ La vraie caution scientifique du module — à préserver</w:t>
      </w:r>
    </w:p>
    <w:p>
      <w:r>
        <w:t xml:space="preserve">Ce module rassemble les principes d'apprentissage les </w:t>
      </w:r>
      <w:r>
        <w:rPr>
          <w:b/>
        </w:rPr>
        <w:t>mieux établis</w:t>
      </w:r>
      <w:r>
        <w:t>. C'est sa</w:t>
      </w:r>
    </w:p>
    <w:p>
      <w:r>
        <w:t>force, et c'est aussi exactement ce que la recherche documentaire TLS a confirmé</w:t>
      </w:r>
    </w:p>
    <w:p>
      <w:r>
        <w:t>comme le plus solide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Principe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Charge cognitive</w:t>
            </w:r>
            <w:r>
              <w:t xml:space="preserve"> (intrinsèque / extrinsèque / germane)</w:t>
            </w:r>
          </w:p>
        </w:tc>
        <w:tc>
          <w:tcPr>
            <w:tcW w:type="dxa" w:w="2880"/>
          </w:tcPr>
          <w:p>
            <w:r/>
            <w:r>
              <w:t>Sweller</w:t>
            </w:r>
          </w:p>
        </w:tc>
        <w:tc>
          <w:tcPr>
            <w:tcW w:type="dxa" w:w="2880"/>
          </w:tcPr>
          <w:p>
            <w:r/>
            <w:r>
              <w:t>✅ solide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Principe multimédia / double codage</w:t>
            </w:r>
          </w:p>
        </w:tc>
        <w:tc>
          <w:tcPr>
            <w:tcW w:type="dxa" w:w="2880"/>
          </w:tcPr>
          <w:p>
            <w:r/>
            <w:r>
              <w:t>Mayer, Paivio (d≈0,7)</w:t>
            </w:r>
          </w:p>
        </w:tc>
        <w:tc>
          <w:tcPr>
            <w:tcW w:type="dxa" w:w="2880"/>
          </w:tcPr>
          <w:p>
            <w:r/>
            <w:r>
              <w:t>✅ réel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Répétition espacée</w:t>
            </w:r>
            <w:r>
              <w:t xml:space="preserve"> (J+1/3/7/14/30)</w:t>
            </w:r>
          </w:p>
        </w:tc>
        <w:tc>
          <w:tcPr>
            <w:tcW w:type="dxa" w:w="2880"/>
          </w:tcPr>
          <w:p>
            <w:r/>
            <w:r>
              <w:t>Cepeda et al. 2006, Bjork</w:t>
            </w:r>
          </w:p>
        </w:tc>
        <w:tc>
          <w:tcPr>
            <w:tcW w:type="dxa" w:w="2880"/>
          </w:tcPr>
          <w:p>
            <w:r/>
            <w:r>
              <w:t>✅ parmi les plus robustes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Récupération active / testing effect</w:t>
            </w:r>
          </w:p>
        </w:tc>
        <w:tc>
          <w:tcPr>
            <w:tcW w:type="dxa" w:w="2880"/>
          </w:tcPr>
          <w:p>
            <w:r/>
            <w:r>
              <w:t>Roediger &amp; Karpicke 2006</w:t>
            </w:r>
          </w:p>
        </w:tc>
        <w:tc>
          <w:tcPr>
            <w:tcW w:type="dxa" w:w="2880"/>
          </w:tcPr>
          <w:p>
            <w:r/>
            <w:r>
              <w:t>✅ solide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Interleaving</w:t>
            </w:r>
            <w:r>
              <w:t xml:space="preserve"> (alternance)</w:t>
            </w:r>
          </w:p>
        </w:tc>
        <w:tc>
          <w:tcPr>
            <w:tcW w:type="dxa" w:w="2880"/>
          </w:tcPr>
          <w:p>
            <w:r/>
            <w:r>
              <w:t>Rohrer &amp; Taylor</w:t>
            </w:r>
          </w:p>
        </w:tc>
        <w:tc>
          <w:tcPr>
            <w:tcW w:type="dxa" w:w="2880"/>
          </w:tcPr>
          <w:p>
            <w:r/>
            <w:r>
              <w:t>✅ réel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Difficultés désirables</w:t>
            </w:r>
          </w:p>
        </w:tc>
        <w:tc>
          <w:tcPr>
            <w:tcW w:type="dxa" w:w="2880"/>
          </w:tcPr>
          <w:p>
            <w:r/>
            <w:r>
              <w:t>Bjork</w:t>
            </w:r>
          </w:p>
        </w:tc>
        <w:tc>
          <w:tcPr>
            <w:tcW w:type="dxa" w:w="2880"/>
          </w:tcPr>
          <w:p>
            <w:r/>
            <w:r>
              <w:t>✅ réel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Zone proximale de développement</w:t>
            </w:r>
          </w:p>
        </w:tc>
        <w:tc>
          <w:tcPr>
            <w:tcW w:type="dxa" w:w="2880"/>
          </w:tcPr>
          <w:p>
            <w:r/>
            <w:r>
              <w:t>Vygotsky</w:t>
            </w:r>
          </w:p>
        </w:tc>
        <w:tc>
          <w:tcPr>
            <w:tcW w:type="dxa" w:w="2880"/>
          </w:tcPr>
          <w:p>
            <w:r/>
            <w:r>
              <w:t>✅ canon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Flow</w:t>
            </w:r>
          </w:p>
        </w:tc>
        <w:tc>
          <w:tcPr>
            <w:tcW w:type="dxa" w:w="2880"/>
          </w:tcPr>
          <w:p>
            <w:r/>
            <w:r>
              <w:t>Csikszentmihalyi</w:t>
            </w:r>
          </w:p>
        </w:tc>
        <w:tc>
          <w:tcPr>
            <w:tcW w:type="dxa" w:w="2880"/>
          </w:tcPr>
          <w:p>
            <w:r/>
            <w:r>
              <w:t>✅ canon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Autodétermination</w:t>
            </w:r>
            <w:r>
              <w:t xml:space="preserve"> (autonomie / compétence / affiliation)</w:t>
            </w:r>
          </w:p>
        </w:tc>
        <w:tc>
          <w:tcPr>
            <w:tcW w:type="dxa" w:w="2880"/>
          </w:tcPr>
          <w:p>
            <w:r/>
            <w:r>
              <w:t>Deci &amp; Ryan</w:t>
            </w:r>
          </w:p>
        </w:tc>
        <w:tc>
          <w:tcPr>
            <w:tcW w:type="dxa" w:w="2880"/>
          </w:tcPr>
          <w:p>
            <w:r/>
            <w:r>
              <w:t>✅ canon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Kirkpatrick</w:t>
            </w:r>
            <w:r>
              <w:t xml:space="preserve"> (4 niveaux)</w:t>
            </w:r>
          </w:p>
        </w:tc>
        <w:tc>
          <w:tcPr>
            <w:tcW w:type="dxa" w:w="2880"/>
          </w:tcPr>
          <w:p>
            <w:r/>
            <w:r>
              <w:t>Kirkpatrick</w:t>
            </w:r>
          </w:p>
        </w:tc>
        <w:tc>
          <w:tcPr>
            <w:tcW w:type="dxa" w:w="2880"/>
          </w:tcPr>
          <w:p>
            <w:r/>
            <w:r>
              <w:t>✅ standard — à manier avec les réserves du module 6 IP</w:t>
            </w:r>
          </w:p>
        </w:tc>
      </w:tr>
    </w:tbl>
    <w:p>
      <w:pPr>
        <w:pStyle w:val="IntenseQuote"/>
      </w:pPr>
      <w:r>
        <w:t xml:space="preserve">💡 </w:t>
      </w:r>
      <w:r>
        <w:rPr>
          <w:b/>
        </w:rPr>
        <w:t>Ces principes sont exactement les six "lentilles" que Prompt Buddy encode</w:t>
      </w:r>
    </w:p>
    <w:p>
      <w:pPr>
        <w:pStyle w:val="IntenseQuote"/>
      </w:pPr>
      <w:r>
        <w:t>— récupération, espacement, charge cognitive, double codage, plus interleaving et</w:t>
      </w:r>
    </w:p>
    <w:p>
      <w:pPr>
        <w:pStyle w:val="IntenseQuote"/>
      </w:pPr>
      <w:r>
        <w:t>difficulté désirable. M8 est la meilleure partie du corpus sur la science de</w:t>
      </w:r>
    </w:p>
    <w:p>
      <w:pPr>
        <w:pStyle w:val="IntenseQuote"/>
      </w:pPr>
      <w:r>
        <w:t>l'apprentissage. À protéger soigneusement.</w:t>
      </w:r>
    </w:p>
    <w:p>
      <w:r>
        <w:rPr>
          <w:b/>
        </w:rPr>
        <w:t>Position éthique</w:t>
      </w:r>
      <w:r>
        <w:t xml:space="preserve"> (à garder) : gamification de maîtrise plutôt que</w:t>
      </w:r>
    </w:p>
    <w:p>
      <w:r>
        <w:t>d'exploitation, audit éthique, possibilité de désactivation — cohérent avec la</w:t>
      </w:r>
    </w:p>
    <w:p>
      <w:r>
        <w:t>doctrine TLS anti-dark-patterns et avec le module 3.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⚠️ À nuancer : les chiffres illustratifs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Élément d'origine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Courbe d'Ebbinghaus</w:t>
            </w:r>
            <w:r>
              <w:t xml:space="preserve"> : « J1 100 %, J2 50 %, J7 25 %, J30 10 % » + script « 50 % oublié en 24 h, 75 % en 7 j »</w:t>
            </w:r>
          </w:p>
        </w:tc>
        <w:tc>
          <w:tcPr>
            <w:tcW w:type="dxa" w:w="4320"/>
          </w:tcPr>
          <w:p>
            <w:r/>
            <w:r>
              <w:t xml:space="preserve">Garder comme </w:t>
            </w:r>
            <w:r>
              <w:rPr>
                <w:b/>
              </w:rPr>
              <w:t>illustration</w:t>
            </w:r>
            <w:r>
              <w:t xml:space="preserve">, préciser : « syllabes sans sens, n=1, forte variabilité individuelle ; le contenu </w:t>
            </w:r>
            <w:r>
              <w:rPr>
                <w:i/>
              </w:rPr>
              <w:t>signifiant</w:t>
            </w:r>
            <w:r>
              <w:t xml:space="preserve"> se retient bien mieux » (Murre &amp; Dros, 2015). Pourcentages illustratifs, pas une loi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Slide 18</w:t>
            </w:r>
            <w:r>
              <w:t xml:space="preserve"> : « Feedback immédiat 80 %, différé 50 %, aucun 20 % de rétention »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Retirer les trois pourcentages</w:t>
            </w:r>
            <w:r>
              <w:t xml:space="preserve"> — aucune source pour ce triptyque trop propre. Garder le principe : feedback immédiat &gt; différé &gt; aucun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Slide 28</w:t>
            </w:r>
            <w:r>
              <w:t xml:space="preserve"> : « Formation d'une habitude : 21-66 jours »</w:t>
            </w:r>
          </w:p>
        </w:tc>
        <w:tc>
          <w:tcPr>
            <w:tcW w:type="dxa" w:w="4320"/>
          </w:tcPr>
          <w:p>
            <w:r/>
            <w:r>
              <w:t xml:space="preserve">Corriger : « ~66 jours en médiane (Lally et al., 2010), très variable (18 à 254) ». </w:t>
            </w:r>
            <w:r>
              <w:rPr>
                <w:b/>
              </w:rPr>
              <w:t>Supprimer le "21"</w:t>
            </w:r>
            <w:r>
              <w:t xml:space="preserve"> — mythe (Maltz, 1960, chirurgie esthétique)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Slide 14</w:t>
            </w:r>
            <w:r>
              <w:t xml:space="preserve"> : Growth mindset (Dweck)</w:t>
            </w:r>
          </w:p>
        </w:tc>
        <w:tc>
          <w:tcPr>
            <w:tcW w:type="dxa" w:w="4320"/>
          </w:tcPr>
          <w:p>
            <w:r/>
            <w:r>
              <w:t>Ne pas survendre : effet moyen faible et contesté (Sisk et al., 2018, d≈0,08). Cadre utile, pas levier à fort effet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Chiffres des plateformes (études de cas)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Élément d'origine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4320"/>
          </w:tcPr>
          <w:p>
            <w:r/>
            <w:r>
              <w:t>Duolingo « 500M+ utilisateurs »</w:t>
            </w:r>
          </w:p>
        </w:tc>
        <w:tc>
          <w:tcPr>
            <w:tcW w:type="dxa" w:w="4320"/>
          </w:tcPr>
          <w:p>
            <w:r/>
            <w:r>
              <w:t>✅ OK — actualisable à 575M+ (2025)</w:t>
            </w:r>
          </w:p>
        </w:tc>
      </w:tr>
      <w:tr>
        <w:tc>
          <w:tcPr>
            <w:tcW w:type="dxa" w:w="4320"/>
          </w:tcPr>
          <w:p>
            <w:r/>
            <w:r>
              <w:t>Duolingo « médiane de série de 34 jours »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Retirer</w:t>
            </w:r>
            <w:r>
              <w:t xml:space="preserve"> — non confirmé, invraisemblable tous utilisateurs (abandon dès J1)</w:t>
            </w:r>
          </w:p>
        </w:tc>
      </w:tr>
      <w:tr>
        <w:tc>
          <w:tcPr>
            <w:tcW w:type="dxa" w:w="4320"/>
          </w:tcPr>
          <w:p>
            <w:r/>
            <w:r>
              <w:t>Khan Academy « 120M+ »</w:t>
            </w:r>
          </w:p>
        </w:tc>
        <w:tc>
          <w:tcPr>
            <w:tcW w:type="dxa" w:w="4320"/>
          </w:tcPr>
          <w:p>
            <w:r/>
            <w:r>
              <w:t xml:space="preserve">Actualiser à </w:t>
            </w:r>
            <w:r>
              <w:rPr>
                <w:b/>
              </w:rPr>
              <w:t>~190M</w:t>
            </w:r>
            <w:r>
              <w:t xml:space="preserve"> inscrits (année 2024-25)</w:t>
            </w:r>
          </w:p>
        </w:tc>
      </w:tr>
      <w:tr>
        <w:tc>
          <w:tcPr>
            <w:tcW w:type="dxa" w:w="4320"/>
          </w:tcPr>
          <w:p>
            <w:r/>
            <w:r>
              <w:t>Codecademy « complétion 15 % vs MOOC 5 % »</w:t>
            </w:r>
          </w:p>
        </w:tc>
        <w:tc>
          <w:tcPr>
            <w:tcW w:type="dxa" w:w="4320"/>
          </w:tcPr>
          <w:p>
            <w:r/>
            <w:r>
              <w:t xml:space="preserve">Garder « MOOC ~5-15 % » (sourcé) ; marquer le 15 % Codecademy </w:t>
            </w:r>
            <w:r>
              <w:rPr>
                <w:b/>
              </w:rPr>
              <w:t>« non vérifié »</w:t>
            </w:r>
          </w:p>
        </w:tc>
      </w:tr>
      <w:tr>
        <w:tc>
          <w:tcPr>
            <w:tcW w:type="dxa" w:w="4320"/>
          </w:tcPr>
          <w:p>
            <w:r/>
            <w:r>
              <w:t>Duolingo critiqué pour la culpabilisation (hibou triste)</w:t>
            </w:r>
          </w:p>
        </w:tc>
        <w:tc>
          <w:tcPr>
            <w:tcW w:type="dxa" w:w="4320"/>
          </w:tcPr>
          <w:p>
            <w:r/>
            <w:r>
              <w:t>✅ caractérisation juste — à garder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Synthèse</w:t>
      </w:r>
    </w:p>
    <w:p>
      <w:r>
        <w:t>Le cœur scientifique de ce module est solide et rare dans le corpus. Les</w:t>
      </w:r>
    </w:p>
    <w:p>
      <w:r>
        <w:t xml:space="preserve">corrections retirent </w:t>
      </w:r>
      <w:r>
        <w:rPr>
          <w:b/>
        </w:rPr>
        <w:t>une couche de mythes et de chiffres illustratifs</w:t>
      </w:r>
      <w:r>
        <w:t xml:space="preserve"> posée</w:t>
      </w:r>
    </w:p>
    <w:p>
      <w:r>
        <w:t>sur une ossature excellente : elles ne touchent pas au fond.</w:t>
      </w:r>
    </w:p>
    <w:p>
      <w:r>
        <w:t xml:space="preserve">Deux gestes prioritaires : </w:t>
      </w:r>
      <w:r>
        <w:rPr>
          <w:b/>
        </w:rPr>
        <w:t>supprimer le poisson rouge</w:t>
      </w:r>
      <w:r>
        <w:t xml:space="preserve"> (cohérence avec le</w:t>
      </w:r>
    </w:p>
    <w:p>
      <w:r>
        <w:t xml:space="preserve">Neuro) et </w:t>
      </w:r>
      <w:r>
        <w:rPr>
          <w:b/>
        </w:rPr>
        <w:t>retirer les pourcentages de rétention fabriqués</w:t>
      </w:r>
      <w:r>
        <w:t>, tout en préservant</w:t>
      </w:r>
    </w:p>
    <w:p>
      <w:r>
        <w:t>intégralement le canon (charge cognitive, espacement, récupération, double codage,</w:t>
      </w:r>
    </w:p>
    <w:p>
      <w:r>
        <w:t>interleaving, difficulté désirable, ZPD, flow, autodétermination).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Problème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🔴 </w:t>
            </w:r>
            <w:r>
              <w:rPr>
                <w:b/>
              </w:rPr>
              <w:t>Slide 4 + script vidéo</w:t>
            </w:r>
            <w:r>
              <w:t xml:space="preserve"> : « attention 8 s, moins qu'un poisson rouge »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Supprimé</w:t>
            </w:r>
            <w:r>
              <w:t xml:space="preserve"> (slide + script). Mythe débunké (BBC 2017). </w:t>
            </w:r>
            <w:r>
              <w:rPr>
                <w:b/>
              </w:rPr>
              <w:t>Purge à coordonner avec Neuro M3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« 10-15 min de concentration maximale »</w:t>
            </w:r>
          </w:p>
        </w:tc>
        <w:tc>
          <w:tcPr>
            <w:tcW w:type="dxa" w:w="2880"/>
          </w:tcPr>
          <w:p>
            <w:r/>
            <w:r>
              <w:t>Reformulé sans seuil chiffré universel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Courbe d'Ebbinghaus donnée comme une loi</w:t>
            </w:r>
          </w:p>
        </w:tc>
        <w:tc>
          <w:tcPr>
            <w:tcW w:type="dxa" w:w="2880"/>
          </w:tcPr>
          <w:p>
            <w:r/>
            <w:r>
              <w:t>Requalifiée en illustration (syllabes sans sens, n=1, variabilité)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Slide 18 : « feedback 80 / 50 / 20 % de rétention »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Trois pourcentages retirés</w:t>
            </w:r>
            <w:r>
              <w:t xml:space="preserve"> ; principe qualitatif conservé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Slide 28 : « habitude 21-66 jours »</w:t>
            </w:r>
          </w:p>
        </w:tc>
        <w:tc>
          <w:tcPr>
            <w:tcW w:type="dxa" w:w="2880"/>
          </w:tcPr>
          <w:p>
            <w:r/>
            <w:r>
              <w:t xml:space="preserve">Corrigé en « ~66 j médiane (Lally, 2010) » ; </w:t>
            </w:r>
            <w:r>
              <w:rPr>
                <w:b/>
              </w:rPr>
              <w:t>"21" supprimé</w:t>
            </w:r>
            <w:r>
              <w:t xml:space="preserve"> (mythe Maltz)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Slide 14 : growth mindset survendu</w:t>
            </w:r>
          </w:p>
        </w:tc>
        <w:tc>
          <w:tcPr>
            <w:tcW w:type="dxa" w:w="2880"/>
          </w:tcPr>
          <w:p>
            <w:r/>
            <w:r>
              <w:t>Nuancé (Sisk et al., 2018, d≈0,08)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Duolingo « médiane de série 34 j »</w:t>
            </w:r>
          </w:p>
        </w:tc>
        <w:tc>
          <w:tcPr>
            <w:tcW w:type="dxa" w:w="2880"/>
          </w:tcPr>
          <w:p>
            <w:r/>
            <w:r>
              <w:t>Retiré — invraisemblable et non sourcé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Khan « 120M »</w:t>
            </w:r>
          </w:p>
        </w:tc>
        <w:tc>
          <w:tcPr>
            <w:tcW w:type="dxa" w:w="2880"/>
          </w:tcPr>
          <w:p>
            <w:r/>
            <w:r>
              <w:t>Actualisé à ~190M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Codecademy « 15 % »</w:t>
            </w:r>
          </w:p>
        </w:tc>
        <w:tc>
          <w:tcPr>
            <w:tcW w:type="dxa" w:w="2880"/>
          </w:tcPr>
          <w:p>
            <w:r/>
            <w:r>
              <w:t>Marqué « non vérifié » ; « MOOC ~5-15 % » conservé</w:t>
            </w:r>
          </w:p>
        </w:tc>
      </w:tr>
    </w:tbl>
    <w:p>
      <w:r>
        <w:rPr>
          <w:b/>
        </w:rPr>
        <w:t>Conservé intégralement</w:t>
      </w:r>
      <w:r>
        <w:t xml:space="preserve"> : charge cognitive (Sweller) · principe multimédia /</w:t>
      </w:r>
    </w:p>
    <w:p>
      <w:r>
        <w:t>double codage (Mayer, Paivio) · répétition espacée (Cepeda, Bjork) · récupération</w:t>
      </w:r>
    </w:p>
    <w:p>
      <w:r>
        <w:t>active (Roediger &amp; Karpicke) · interleaving (Rohrer &amp; Taylor) · difficultés</w:t>
      </w:r>
    </w:p>
    <w:p>
      <w:r>
        <w:t>désirables (Bjork) · ZPD (Vygotsky) · flow (Csikszentmihalyi) · autodétermination</w:t>
      </w:r>
    </w:p>
    <w:p>
      <w:r>
        <w:t>(Deci &amp; Ryan) · Kirkpatrick · la position éthique anti-dark-patterns. C'est la</w:t>
      </w:r>
    </w:p>
    <w:p>
      <w:r>
        <w:t>meilleure caution scientifique du corpus.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