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10 : PRIORISATION &amp; FEUILLE DE ROUTE</w:t>
      </w:r>
    </w:p>
    <w:p>
      <w:r>
        <w:rPr>
          <w:b/>
        </w:rPr>
        <w:t>Durée : 65 minutes</w:t>
      </w:r>
    </w:p>
    <w:p>
      <w:pPr>
        <w:pStyle w:val="IntenseQuote"/>
      </w:pPr>
      <w:r>
        <w:rPr>
          <w:b/>
        </w:rPr>
        <w:t>Module rédigé le 2026-07-24.</w:t>
      </w:r>
      <w:r>
        <w:t xml:space="preserve"> Ce module n'existait qu'à l'état de liste</w:t>
      </w:r>
    </w:p>
    <w:p>
      <w:pPr>
        <w:pStyle w:val="IntenseQuote"/>
      </w:pPr>
      <w:r>
        <w:t>« Key Topics ». Il est écrit ici en entier. Les frameworks de priorisation ont</w:t>
      </w:r>
    </w:p>
    <w:p>
      <w:pPr>
        <w:pStyle w:val="IntenseQuote"/>
      </w:pPr>
      <w:r>
        <w:t xml:space="preserve">été </w:t>
      </w:r>
      <w:r>
        <w:rPr>
          <w:b/>
        </w:rPr>
        <w:t>vérifiés par recherche web</w:t>
      </w:r>
      <w:r>
        <w:t xml:space="preserve"> (attributions et dates). Sources en fin de</w:t>
      </w:r>
    </w:p>
    <w:p>
      <w:pPr>
        <w:pStyle w:val="IntenseQuote"/>
      </w:pPr>
      <w:r>
        <w:t>module.</w:t>
      </w:r>
    </w:p>
    <w:p>
      <w:r>
        <w:rPr>
          <w:b/>
        </w:rPr>
        <w:t>Objectifs</w:t>
      </w:r>
    </w:p>
    <w:p>
      <w:pPr>
        <w:pStyle w:val="ListBullet"/>
      </w:pPr>
      <w:r>
        <w:t>Prioriser des initiatives avec des méthodes explicites (RICE, MoSCoW, Kano)</w:t>
      </w:r>
    </w:p>
    <w:p>
      <w:pPr>
        <w:pStyle w:val="ListBullet"/>
      </w:pPr>
      <w:r>
        <w:t>Distinguer ce qui satisfait de ce qui enchante (Kano)</w:t>
      </w:r>
    </w:p>
    <w:p>
      <w:pPr>
        <w:pStyle w:val="ListBullet"/>
      </w:pPr>
      <w:r>
        <w:t>Construire une feuille de route défendable</w:t>
      </w:r>
    </w:p>
    <w:p>
      <w:pPr>
        <w:pStyle w:val="ListBullet"/>
      </w:pPr>
      <w:r>
        <w:t>Intégrer les contraintes propres à l'EdTech</w:t>
      </w:r>
    </w:p>
    <w:p>
      <w:pPr>
        <w:jc w:val="center"/>
      </w:pPr>
      <w:r>
        <w:t>________________________________________</w:t>
      </w:r>
    </w:p>
    <w:p>
      <w:pPr>
        <w:pStyle w:val="Heading2"/>
      </w:pPr>
      <w:r>
        <w:t>Pourquoi une méthode de priorisation</w:t>
      </w:r>
    </w:p>
    <w:p>
      <w:r>
        <w:t>Une équipe produit a toujours plus d'idées que de moyens. Sans méthode, c'est</w:t>
      </w:r>
    </w:p>
    <w:p>
      <w:r>
        <w:t>l'avis le plus fort — pas le plus juste — qui l'emporte. Les frameworks de</w:t>
      </w:r>
    </w:p>
    <w:p>
      <w:r>
        <w:t>priorisation ont un objectif commun : **remplacer le débat d'opinion par un</w:t>
      </w:r>
    </w:p>
    <w:p>
      <w:r>
        <w:t>raisonnement explicite et comparable**. Ils ne décident pas à votre place ; ils</w:t>
      </w:r>
    </w:p>
    <w:p>
      <w:r>
        <w:t>rendent la décision discutable et traçable.</w:t>
      </w:r>
    </w:p>
    <w:p>
      <w:pPr>
        <w:jc w:val="center"/>
      </w:pPr>
      <w:r>
        <w:t>________________________________________</w:t>
      </w:r>
    </w:p>
    <w:p>
      <w:pPr>
        <w:pStyle w:val="Heading2"/>
      </w:pPr>
      <w:r>
        <w:t>PARTIE 1 · RICE — un score comparable</w:t>
      </w:r>
    </w:p>
    <w:p>
      <w:r>
        <w:t xml:space="preserve">Le modèle </w:t>
      </w:r>
      <w:r>
        <w:rPr>
          <w:b/>
        </w:rPr>
        <w:t>RICE</w:t>
      </w:r>
      <w:r>
        <w:t xml:space="preserve"> a été créé par Sean McBride, product manager chez **Intercom,</w:t>
      </w:r>
    </w:p>
    <w:p>
      <w:r>
        <w:t>en 2018**, précisément pour sortir les débats de priorisation du « ressenti ».</w:t>
      </w:r>
    </w:p>
    <w:p>
      <w:r>
        <w:t>Chaque initiative reçoit un score à partir de quatre facteurs 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Facteur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Question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Reach</w:t>
            </w:r>
            <w:r>
              <w:t xml:space="preserve"> (portée)</w:t>
            </w:r>
          </w:p>
        </w:tc>
        <w:tc>
          <w:tcPr>
            <w:tcW w:type="dxa" w:w="4320"/>
          </w:tcPr>
          <w:p>
            <w:r/>
            <w:r>
              <w:t>Combien de personnes touchées sur une période donnée ?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Impact</w:t>
            </w:r>
          </w:p>
        </w:tc>
        <w:tc>
          <w:tcPr>
            <w:tcW w:type="dxa" w:w="4320"/>
          </w:tcPr>
          <w:p>
            <w:r/>
            <w:r>
              <w:t>Quel effet sur celles qui sont touchées ?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Confidence</w:t>
            </w:r>
            <w:r>
              <w:t xml:space="preserve"> (confiance)</w:t>
            </w:r>
          </w:p>
        </w:tc>
        <w:tc>
          <w:tcPr>
            <w:tcW w:type="dxa" w:w="4320"/>
          </w:tcPr>
          <w:p>
            <w:r/>
            <w:r>
              <w:t>À quel point mes estimations sont-elles étayées ?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Effort</w:t>
            </w:r>
          </w:p>
        </w:tc>
        <w:tc>
          <w:tcPr>
            <w:tcW w:type="dxa" w:w="4320"/>
          </w:tcPr>
          <w:p>
            <w:r/>
            <w:r>
              <w:t>Combien de ressources cela demande-t-il ?</w:t>
            </w:r>
          </w:p>
        </w:tc>
      </w:tr>
    </w:tbl>
    <w:p>
      <w:r>
        <w:rPr>
          <w:b/>
        </w:rPr>
        <w:t>RICE = (Reach × Impact × Confidence) ÷ Effort</w:t>
      </w:r>
    </w:p>
    <w:p>
      <w:r>
        <w:rPr>
          <w:b/>
        </w:rPr>
        <w:t>L'apport le plus fin de RICE, c'est la Confiance</w:t>
      </w:r>
      <w:r>
        <w:t xml:space="preserve"> : elle force à signaler quelles</w:t>
      </w:r>
    </w:p>
    <w:p>
      <w:r>
        <w:t>estimations reposent sur des données et lesquelles sont des paris. Une idée</w:t>
      </w:r>
    </w:p>
    <w:p>
      <w:r>
        <w:t>séduisante mais peu étayée voit son score baisser — ce qui est sain.</w:t>
      </w:r>
    </w:p>
    <w:p>
      <w:r>
        <w:t xml:space="preserve">⚠️ </w:t>
      </w:r>
      <w:r>
        <w:rPr>
          <w:b/>
        </w:rPr>
        <w:t>Un score n'est pas une décision.</w:t>
      </w:r>
      <w:r>
        <w:t xml:space="preserve"> RICE ordonne des initiatives comparables ;</w:t>
      </w:r>
    </w:p>
    <w:p>
      <w:r>
        <w:t>il ne remplace pas le jugement, surtout quand les chiffres d'entrée sont eux-mêmes</w:t>
      </w:r>
    </w:p>
    <w:p>
      <w:r>
        <w:t>des estimations. C'est une aide à la conversation, pas un oracle.</w:t>
      </w:r>
    </w:p>
    <w:p>
      <w:pPr>
        <w:jc w:val="center"/>
      </w:pPr>
      <w:r>
        <w:t>________________________________________</w:t>
      </w:r>
    </w:p>
    <w:p>
      <w:pPr>
        <w:pStyle w:val="Heading2"/>
      </w:pPr>
      <w:r>
        <w:t>PARTIE 2 · MoSCoW — le tri par nécessité</w:t>
      </w:r>
    </w:p>
    <w:p>
      <w:r>
        <w:t xml:space="preserve">La méthode </w:t>
      </w:r>
      <w:r>
        <w:rPr>
          <w:b/>
        </w:rPr>
        <w:t>MoSCoW</w:t>
      </w:r>
      <w:r>
        <w:t xml:space="preserve"> (Dai Clegg, formalisée dans le cadre DSDM) classe les</w:t>
      </w:r>
    </w:p>
    <w:p>
      <w:r>
        <w:t>éléments en quatre niveaux d'exigence 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Niveau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Sens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Must</w:t>
            </w:r>
            <w:r>
              <w:t xml:space="preserve"> (doit)</w:t>
            </w:r>
          </w:p>
        </w:tc>
        <w:tc>
          <w:tcPr>
            <w:tcW w:type="dxa" w:w="4320"/>
          </w:tcPr>
          <w:p>
            <w:r/>
            <w:r>
              <w:t>Indispensable — sans lui, la livraison échoue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Should</w:t>
            </w:r>
            <w:r>
              <w:t xml:space="preserve"> (devrait)</w:t>
            </w:r>
          </w:p>
        </w:tc>
        <w:tc>
          <w:tcPr>
            <w:tcW w:type="dxa" w:w="4320"/>
          </w:tcPr>
          <w:p>
            <w:r/>
            <w:r>
              <w:t>Important mais non vital pour cette livraison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Could</w:t>
            </w:r>
            <w:r>
              <w:t xml:space="preserve"> (pourrait)</w:t>
            </w:r>
          </w:p>
        </w:tc>
        <w:tc>
          <w:tcPr>
            <w:tcW w:type="dxa" w:w="4320"/>
          </w:tcPr>
          <w:p>
            <w:r/>
            <w:r>
              <w:t>Souhaitable si le temps le permet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Won't</w:t>
            </w:r>
            <w:r>
              <w:t xml:space="preserve"> (pas cette fois)</w:t>
            </w:r>
          </w:p>
        </w:tc>
        <w:tc>
          <w:tcPr>
            <w:tcW w:type="dxa" w:w="4320"/>
          </w:tcPr>
          <w:p>
            <w:r/>
            <w:r>
              <w:t>Explicitement écarté pour cette version</w:t>
            </w:r>
          </w:p>
        </w:tc>
      </w:tr>
    </w:tbl>
    <w:p>
      <w:r>
        <w:t xml:space="preserve">Sa force est le </w:t>
      </w:r>
      <w:r>
        <w:rPr>
          <w:b/>
        </w:rPr>
        <w:t>« Won't »</w:t>
      </w:r>
      <w:r>
        <w:t xml:space="preserve"> : décider explicitement ce qu'on ne fait </w:t>
      </w:r>
      <w:r>
        <w:rPr>
          <w:i/>
        </w:rPr>
        <w:t>pas</w:t>
      </w:r>
    </w:p>
    <w:p>
      <w:r>
        <w:t>maintenant est aussi important que décider ce qu'on fait. Une liste de priorités</w:t>
      </w:r>
    </w:p>
    <w:p>
      <w:r>
        <w:t>où tout est « Must » n'est pas une priorisation.</w:t>
      </w:r>
    </w:p>
    <w:p>
      <w:pPr>
        <w:jc w:val="center"/>
      </w:pPr>
      <w:r>
        <w:t>________________________________________</w:t>
      </w:r>
    </w:p>
    <w:p>
      <w:pPr>
        <w:pStyle w:val="Heading2"/>
      </w:pPr>
      <w:r>
        <w:t>PARTIE 3 · Kano — satisfaire ou enchanter</w:t>
      </w:r>
    </w:p>
    <w:p>
      <w:r>
        <w:t xml:space="preserve">Le </w:t>
      </w:r>
      <w:r>
        <w:rPr>
          <w:b/>
        </w:rPr>
        <w:t>modèle de Kano</w:t>
      </w:r>
      <w:r>
        <w:t xml:space="preserve"> (Noriaki Kano, </w:t>
      </w:r>
      <w:r>
        <w:rPr>
          <w:b/>
        </w:rPr>
        <w:t>1984</w:t>
      </w:r>
      <w:r>
        <w:t>, *Attractive Quality and Must-Be</w:t>
      </w:r>
    </w:p>
    <w:p>
      <w:r>
        <w:t>Quality*) distingue des types de caractéristiques selon leur effet sur la</w:t>
      </w:r>
    </w:p>
    <w:p>
      <w:r>
        <w:t>satisfaction 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Effet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Basiques</w:t>
            </w:r>
            <w:r>
              <w:t xml:space="preserve"> (</w:t>
            </w:r>
            <w:r>
              <w:rPr>
                <w:i/>
              </w:rPr>
              <w:t>must-be</w:t>
            </w:r>
            <w:r>
              <w:t>)</w:t>
            </w:r>
          </w:p>
        </w:tc>
        <w:tc>
          <w:tcPr>
            <w:tcW w:type="dxa" w:w="4320"/>
          </w:tcPr>
          <w:p>
            <w:r/>
            <w:r>
              <w:t>Leur absence provoque le rejet ; leur présence ne réjouit pas — c'est attendu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De performance</w:t>
            </w:r>
          </w:p>
        </w:tc>
        <w:tc>
          <w:tcPr>
            <w:tcW w:type="dxa" w:w="4320"/>
          </w:tcPr>
          <w:p>
            <w:r/>
            <w:r>
              <w:t>Plus il y en a, plus la satisfaction monte, proportionnellement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Attractives</w:t>
            </w:r>
            <w:r>
              <w:t xml:space="preserve"> (</w:t>
            </w:r>
            <w:r>
              <w:rPr>
                <w:i/>
              </w:rPr>
              <w:t>delighters</w:t>
            </w:r>
            <w:r>
              <w:t>)</w:t>
            </w:r>
          </w:p>
        </w:tc>
        <w:tc>
          <w:tcPr>
            <w:tcW w:type="dxa" w:w="4320"/>
          </w:tcPr>
          <w:p>
            <w:r/>
            <w:r>
              <w:t>Leur présence enchante ; leur absence ne manque pas — elles surprennent</w:t>
            </w:r>
          </w:p>
        </w:tc>
      </w:tr>
    </w:tbl>
    <w:p>
      <w:r>
        <w:rPr>
          <w:b/>
        </w:rPr>
        <w:t>L'enseignement pour l'EdTech</w:t>
      </w:r>
      <w:r>
        <w:t xml:space="preserve"> : on ne peut pas </w:t>
      </w:r>
      <w:r>
        <w:rPr>
          <w:i/>
        </w:rPr>
        <w:t>tout</w:t>
      </w:r>
      <w:r>
        <w:t xml:space="preserve"> rendre « attractif ». Il</w:t>
      </w:r>
    </w:p>
    <w:p>
      <w:r>
        <w:t xml:space="preserve">faut d'abord garantir les </w:t>
      </w:r>
      <w:r>
        <w:rPr>
          <w:b/>
        </w:rPr>
        <w:t>basiques</w:t>
      </w:r>
      <w:r>
        <w:t xml:space="preserve"> (un lecteur qui marche, une progression</w:t>
      </w:r>
    </w:p>
    <w:p>
      <w:r>
        <w:t>sauvegardée) — leur absence ruine tout le reste — avant d'investir dans les</w:t>
      </w:r>
    </w:p>
    <w:p>
      <w:r>
        <w:t xml:space="preserve">enchantements. Et les caractéristiques attractives </w:t>
      </w:r>
      <w:r>
        <w:rPr>
          <w:b/>
        </w:rPr>
        <w:t>se banalisent</w:t>
      </w:r>
      <w:r>
        <w:t xml:space="preserve"> avec le</w:t>
      </w:r>
    </w:p>
    <w:p>
      <w:r>
        <w:t>temps : l'enchantement d'hier devient le basique de demain.</w:t>
      </w:r>
    </w:p>
    <w:p>
      <w:pPr>
        <w:jc w:val="center"/>
      </w:pPr>
      <w:r>
        <w:t>________________________________________</w:t>
      </w:r>
    </w:p>
    <w:p>
      <w:pPr>
        <w:pStyle w:val="Heading2"/>
      </w:pPr>
      <w:r>
        <w:t>PARTIE 4 · Les contraintes propres à l'EdTech</w:t>
      </w:r>
    </w:p>
    <w:p>
      <w:r>
        <w:t>Une feuille de route EdTech intègre des contraintes que d'autres produits n'ont</w:t>
      </w:r>
    </w:p>
    <w:p>
      <w:r>
        <w:t>pas :</w:t>
      </w:r>
    </w:p>
    <w:p>
      <w:pPr>
        <w:pStyle w:val="ListBullet"/>
      </w:pPr>
      <w:r>
        <w:rPr>
          <w:b/>
        </w:rPr>
        <w:t>Le calendrier pédagogique</w:t>
      </w:r>
      <w:r>
        <w:t xml:space="preserve"> : les rythmes d'apprentissage (rentrées, sessions,</w:t>
      </w:r>
    </w:p>
    <w:p>
      <w:r>
        <w:t xml:space="preserve">  échéances) contraignent les fenêtres de livraison bien plus que pour un produit</w:t>
      </w:r>
    </w:p>
    <w:p>
      <w:r>
        <w:t xml:space="preserve">  grand public.</w:t>
      </w:r>
    </w:p>
    <w:p>
      <w:pPr>
        <w:pStyle w:val="ListBullet"/>
      </w:pPr>
      <w:r>
        <w:rPr>
          <w:b/>
        </w:rPr>
        <w:t>La protection des données des apprenants</w:t>
      </w:r>
      <w:r>
        <w:t xml:space="preserve"> : le </w:t>
      </w:r>
      <w:r>
        <w:rPr>
          <w:b/>
        </w:rPr>
        <w:t>RGPD</w:t>
      </w:r>
      <w:r>
        <w:t xml:space="preserve"> (Europe) et, en</w:t>
      </w:r>
    </w:p>
    <w:p>
      <w:r>
        <w:t xml:space="preserve">  contexte scolaire américain, le </w:t>
      </w:r>
      <w:r>
        <w:rPr>
          <w:b/>
        </w:rPr>
        <w:t>FERPA</w:t>
      </w:r>
      <w:r>
        <w:t xml:space="preserve"> encadrent strictement les données</w:t>
      </w:r>
    </w:p>
    <w:p>
      <w:r>
        <w:t xml:space="preserve">  d'apprenants. Une fonctionnalité qui les ignore n'est pas priorisable, quel que</w:t>
      </w:r>
    </w:p>
    <w:p>
      <w:r>
        <w:t xml:space="preserve">  soit son score RICE.</w:t>
      </w:r>
    </w:p>
    <w:p>
      <w:pPr>
        <w:pStyle w:val="ListBullet"/>
      </w:pPr>
      <w:r>
        <w:rPr>
          <w:b/>
        </w:rPr>
        <w:t>La validité pédagogique</w:t>
      </w:r>
      <w:r>
        <w:t xml:space="preserve"> : une fonctionnalité peut augmenter l'engagement et</w:t>
      </w:r>
    </w:p>
    <w:p>
      <w:r>
        <w:t xml:space="preserve">  </w:t>
      </w:r>
      <w:r>
        <w:rPr>
          <w:i/>
        </w:rPr>
        <w:t>nuire</w:t>
      </w:r>
      <w:r>
        <w:t xml:space="preserve"> à l'apprentissage (module 9). La feuille de route doit protéger</w:t>
      </w:r>
    </w:p>
    <w:p>
      <w:r>
        <w:t xml:space="preserve">  l'efficacité pédagogique, pas seulement les métriques d'usage.</w:t>
      </w:r>
    </w:p>
    <w:p>
      <w:r>
        <w:t xml:space="preserve">💡 </w:t>
      </w:r>
      <w:r>
        <w:rPr>
          <w:b/>
        </w:rPr>
        <w:t>Ces contraintes sont des filtres, pas des scores.</w:t>
      </w:r>
      <w:r>
        <w:t xml:space="preserve"> Elles s'appliquent</w:t>
      </w:r>
    </w:p>
    <w:p>
      <w:r>
        <w:rPr>
          <w:i/>
        </w:rPr>
        <w:t>avant</w:t>
      </w:r>
      <w:r>
        <w:t xml:space="preserve"> la priorisation : une initiative qui viole le RGPD ou la validité</w:t>
      </w:r>
    </w:p>
    <w:p>
      <w:r>
        <w:t>pédagogique est écartée d'emblée, pas classée.</w:t>
      </w:r>
    </w:p>
    <w:p>
      <w:pPr>
        <w:jc w:val="center"/>
      </w:pPr>
      <w:r>
        <w:t>________________________________________</w:t>
      </w:r>
    </w:p>
    <w:p>
      <w:pPr>
        <w:pStyle w:val="Heading2"/>
      </w:pPr>
      <w:r>
        <w:t>Exercice pratique (15 min)</w:t>
      </w:r>
    </w:p>
    <w:p>
      <w:r>
        <w:t>Sur trois initiatives de votre périmètre :</w:t>
      </w:r>
    </w:p>
    <w:p>
      <w:pPr>
        <w:pStyle w:val="ListNumber"/>
      </w:pPr>
      <w:r>
        <w:rPr>
          <w:b/>
        </w:rPr>
        <w:t>Classez-les en MoSCoW</w:t>
      </w:r>
      <w:r>
        <w:t xml:space="preserve"> — et forcez-vous à mettre au moins une en « Won't ».</w:t>
      </w:r>
    </w:p>
    <w:p>
      <w:pPr>
        <w:pStyle w:val="ListNumber"/>
      </w:pPr>
      <w:r>
        <w:rPr>
          <w:b/>
        </w:rPr>
        <w:t>Qualifiez chacune selon Kano</w:t>
      </w:r>
      <w:r>
        <w:t xml:space="preserve"> — basique, performance, ou attractive ?</w:t>
      </w:r>
    </w:p>
    <w:p>
      <w:pPr>
        <w:pStyle w:val="ListNumber"/>
      </w:pPr>
      <w:r>
        <w:rPr>
          <w:b/>
        </w:rPr>
        <w:t>Passez le filtre EdTech</w:t>
      </w:r>
      <w:r>
        <w:t xml:space="preserve"> : y en a-t-il une qui augmenterait l'engagement au</w:t>
      </w:r>
    </w:p>
    <w:p>
      <w:r>
        <w:t xml:space="preserve">   détriment de l'apprentissage, ou qui touche aux données d'apprenants ?</w:t>
      </w:r>
    </w:p>
    <w:p>
      <w:r>
        <w:rPr>
          <w:b/>
        </w:rPr>
        <w:t>Correction attendue</w:t>
      </w:r>
      <w:r>
        <w:t xml:space="preserve"> : le piège n°1 est de tout classer « Must ». Le piège</w:t>
      </w:r>
    </w:p>
    <w:p>
      <w:r>
        <w:t>n°2 est d'investir dans une caractéristique « attractive » alors qu'un « basique »</w:t>
      </w:r>
    </w:p>
    <w:p>
      <w:r>
        <w:t>est encore défaillant.</w:t>
      </w:r>
    </w:p>
    <w:p>
      <w:pPr>
        <w:jc w:val="center"/>
      </w:pPr>
      <w:r>
        <w:t>________________________________________</w:t>
      </w:r>
    </w:p>
    <w:p>
      <w:pPr>
        <w:pStyle w:val="Heading2"/>
      </w:pPr>
      <w:r>
        <w:t>Synthèse</w:t>
      </w:r>
    </w:p>
    <w:p>
      <w:pPr>
        <w:pStyle w:val="ListNumber"/>
      </w:pPr>
      <w:r>
        <w:t xml:space="preserve">✅ Les frameworks </w:t>
      </w:r>
      <w:r>
        <w:rPr>
          <w:b/>
        </w:rPr>
        <w:t>remplacent l'opinion par un raisonnement comparable</w:t>
      </w:r>
    </w:p>
    <w:p>
      <w:pPr>
        <w:pStyle w:val="ListNumber"/>
      </w:pPr>
      <w:r>
        <w:t xml:space="preserve">✅ </w:t>
      </w:r>
      <w:r>
        <w:rPr>
          <w:b/>
        </w:rPr>
        <w:t>RICE</w:t>
      </w:r>
      <w:r>
        <w:t xml:space="preserve"> : un score, dont la Confiance signale les paris (McBride, Intercom, 2018)</w:t>
      </w:r>
    </w:p>
    <w:p>
      <w:pPr>
        <w:pStyle w:val="ListNumber"/>
      </w:pPr>
      <w:r>
        <w:t xml:space="preserve">✅ </w:t>
      </w:r>
      <w:r>
        <w:rPr>
          <w:b/>
        </w:rPr>
        <w:t>MoSCoW</w:t>
      </w:r>
      <w:r>
        <w:t xml:space="preserve"> : la force est le « Won't » explicite</w:t>
      </w:r>
    </w:p>
    <w:p>
      <w:pPr>
        <w:pStyle w:val="ListNumber"/>
      </w:pPr>
      <w:r>
        <w:t xml:space="preserve">✅ </w:t>
      </w:r>
      <w:r>
        <w:rPr>
          <w:b/>
        </w:rPr>
        <w:t>Kano</w:t>
      </w:r>
      <w:r>
        <w:t xml:space="preserve"> : garantir les basiques avant d'enchanter ; l'attractif se banalise</w:t>
      </w:r>
    </w:p>
    <w:p>
      <w:pPr>
        <w:pStyle w:val="ListNumber"/>
      </w:pPr>
      <w:r>
        <w:t xml:space="preserve">✅ Les </w:t>
      </w:r>
      <w:r>
        <w:rPr>
          <w:b/>
        </w:rPr>
        <w:t>contraintes EdTech</w:t>
      </w:r>
      <w:r>
        <w:t xml:space="preserve"> (calendrier, RGPD/FERPA, validité pédagogique) sont des filtres appliqués avant la priorisation</w:t>
      </w:r>
    </w:p>
    <w:p>
      <w:pPr>
        <w:pStyle w:val="Heading3"/>
      </w:pPr>
      <w:r>
        <w:t>Les 3 mantras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Mantra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Sens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« Un score n'est pas une décision »</w:t>
            </w:r>
          </w:p>
        </w:tc>
        <w:tc>
          <w:tcPr>
            <w:tcW w:type="dxa" w:w="4320"/>
          </w:tcPr>
          <w:p>
            <w:r/>
            <w:r>
              <w:t>RICE aide la conversation, il ne la remplace pas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« Décider ce qu'on ne fait pas »</w:t>
            </w:r>
          </w:p>
        </w:tc>
        <w:tc>
          <w:tcPr>
            <w:tcW w:type="dxa" w:w="4320"/>
          </w:tcPr>
          <w:p>
            <w:r/>
            <w:r>
              <w:t>Le "Won't" de MoSCoW est le vrai geste de priorisation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« Les basiques avant les enchantements »</w:t>
            </w:r>
          </w:p>
        </w:tc>
        <w:tc>
          <w:tcPr>
            <w:tcW w:type="dxa" w:w="4320"/>
          </w:tcPr>
          <w:p>
            <w:r/>
            <w:r>
              <w:t>Un delighter ne sauve pas un must-be défaillant</w:t>
            </w:r>
          </w:p>
        </w:tc>
      </w:tr>
    </w:tbl>
    <w:p>
      <w:pPr>
        <w:jc w:val="center"/>
      </w:pPr>
      <w:r>
        <w:t>________________________________________</w:t>
      </w:r>
    </w:p>
    <w:p>
      <w:pPr>
        <w:pStyle w:val="Heading2"/>
      </w:pPr>
      <w:r>
        <w:t>Sources</w:t>
      </w:r>
    </w:p>
    <w:p>
      <w:pPr>
        <w:pStyle w:val="ListBullet"/>
      </w:pPr>
      <w:r>
        <w:rPr>
          <w:b/>
        </w:rPr>
        <w:t>McBride, S. / Intercom (2018).</w:t>
      </w:r>
      <w:r>
        <w:t xml:space="preserve"> *RICE: Simple prioritization for product</w:t>
      </w:r>
    </w:p>
    <w:p>
      <w:r>
        <w:t xml:space="preserve">  managers.</w:t>
      </w:r>
      <w:r>
        <w:rPr>
          <w:i/>
        </w:rPr>
        <w:t xml:space="preserve"> intercom.com/blog → origine et formule de RICE </w:t>
      </w:r>
      <w:r>
        <w:t>(attribution vérifiée)*</w:t>
      </w:r>
    </w:p>
    <w:p>
      <w:pPr>
        <w:pStyle w:val="ListBullet"/>
      </w:pPr>
      <w:r>
        <w:rPr>
          <w:b/>
        </w:rPr>
        <w:t>Clegg, D., &amp; Barker, R. (1994).</w:t>
      </w:r>
      <w:r>
        <w:t xml:space="preserve"> </w:t>
      </w:r>
      <w:r>
        <w:rPr>
          <w:i/>
        </w:rPr>
        <w:t>Case Method Fast-Track: A RAD Approach.</w:t>
      </w:r>
    </w:p>
    <w:p>
      <w:r>
        <w:t xml:space="preserve">  Addison-Wesley → méthode MoSCoW (cadre DSDM)</w:t>
      </w:r>
    </w:p>
    <w:p>
      <w:pPr>
        <w:pStyle w:val="ListBullet"/>
      </w:pPr>
      <w:r>
        <w:rPr>
          <w:b/>
        </w:rPr>
        <w:t>Kano, N. (1984).</w:t>
      </w:r>
      <w:r>
        <w:t xml:space="preserve"> Attractive Quality and Must-Be Quality. *Journal of the</w:t>
      </w:r>
    </w:p>
    <w:p>
      <w:r>
        <w:t xml:space="preserve">  Japanese Society for Quality Control*, 14(2), 39-48 → le modèle de Kano</w:t>
      </w:r>
    </w:p>
    <w:p>
      <w:r>
        <w:t xml:space="preserve">  </w:t>
      </w:r>
      <w:r>
        <w:rPr>
          <w:i/>
        </w:rPr>
        <w:t>(attribution et année vérifiées)</w:t>
      </w:r>
    </w:p>
    <w:p>
      <w:pPr>
        <w:pStyle w:val="ListBullet"/>
      </w:pPr>
      <w:r>
        <w:rPr>
          <w:b/>
        </w:rPr>
        <w:t>Règlement (UE) 2016/679 (RGPD)</w:t>
      </w:r>
      <w:r>
        <w:t xml:space="preserve"> — protection des données ; </w:t>
      </w:r>
      <w:r>
        <w:rPr>
          <w:b/>
        </w:rPr>
        <w:t>FERPA</w:t>
      </w:r>
      <w:r>
        <w:t xml:space="preserve"> (Family</w:t>
      </w:r>
    </w:p>
    <w:p>
      <w:r>
        <w:t xml:space="preserve">  Educational Rights and Privacy Act, États-Unis) — données scolaires</w:t>
      </w:r>
    </w:p>
    <w:p>
      <w:pPr>
        <w:jc w:val="center"/>
      </w:pPr>
      <w:r>
        <w:t>________________________________________</w:t>
      </w:r>
    </w:p>
    <w:p>
      <w:pPr>
        <w:pStyle w:val="Heading2"/>
      </w:pPr>
      <w:r>
        <w:t>📝 Note de rédaction — 2026-07-24</w:t>
      </w:r>
    </w:p>
    <w:p>
      <w:r>
        <w:t xml:space="preserve">Module </w:t>
      </w:r>
      <w:r>
        <w:rPr>
          <w:b/>
        </w:rPr>
        <w:t>écrit</w:t>
      </w:r>
      <w:r>
        <w:t xml:space="preserve"> à partir de la liste « Key Topics ». Les quatre frameworks</w:t>
      </w:r>
    </w:p>
    <w:p>
      <w:r>
        <w:t xml:space="preserve">nommés ont été </w:t>
      </w:r>
      <w:r>
        <w:rPr>
          <w:b/>
        </w:rPr>
        <w:t>vérifiés par recherche web</w:t>
      </w:r>
      <w:r>
        <w:t xml:space="preserve"> avant rédaction : RICE (Sean</w:t>
      </w:r>
    </w:p>
    <w:p>
      <w:r>
        <w:t>McBride, Intercom, 2018) et Kano (Noriaki Kano, 1984, *Attractive Quality and</w:t>
      </w:r>
    </w:p>
    <w:p>
      <w:r>
        <w:t>Must-be Quality*) confirmés ; MoSCoW attribué à Dai Clegg (cadre DSDM). Le</w:t>
      </w:r>
    </w:p>
    <w:p>
      <w:r>
        <w:t>fact-check certifié UX/UI (§8) les marquait déjà comme canon correct.</w:t>
      </w:r>
    </w:p>
    <w:p>
      <w:r>
        <w:rPr>
          <w:b/>
        </w:rPr>
        <w:t>Ajout par cohérence de parcours</w:t>
      </w:r>
      <w:r>
        <w:t xml:space="preserve"> : la contrainte « validité pédagogique » comme</w:t>
      </w:r>
    </w:p>
    <w:p>
      <w:r>
        <w:t>filtre de priorisation — un produit d'apprentissage ne priorise pas une</w:t>
      </w:r>
    </w:p>
    <w:p>
      <w:r>
        <w:t>fonctionnalité qui nuit à l'apprentissage, même bien notée (lien module 9 et</w:t>
      </w:r>
    </w:p>
    <w:p>
      <w:r>
        <w:t>doctrine TLS anti-dark-patterns).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