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 frameworks d'ingénierie pédagogique face à la preuve</w:t>
      </w:r>
    </w:p>
    <w:p>
      <w:r>
        <w:rPr>
          <w:b/>
        </w:rPr>
        <w:t>Rapport de recherche documentaire — 23 juillet 2026</w:t>
      </w:r>
    </w:p>
    <w:p>
      <w:r>
        <w:t>105 agents · 1 564 recherches et lectures de sources · 8 affirmations confirmées,</w:t>
      </w:r>
    </w:p>
    <w:p>
      <w:r>
        <w:rPr>
          <w:b/>
        </w:rPr>
        <w:t>17 rejetées à la vérification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Le verdict, en une phrase</w:t>
      </w:r>
    </w:p>
    <w:p>
      <w:r>
        <w:t>**Sur les six frameworks d'ingénierie pédagogique encodés dans</w:t>
      </w:r>
    </w:p>
    <w:p>
      <w:r>
        <w:rPr>
          <w:rFonts w:ascii="Consolas" w:hAnsi="Consolas"/>
          <w:color w:val="B03030"/>
          <w:sz w:val="19"/>
        </w:rPr>
        <w:t>config/prompt-buddy.config.mjs</w:t>
      </w:r>
      <w:r>
        <w:t>, aucun n'est un cadre validé expérimentalement</w:t>
      </w:r>
    </w:p>
    <w:p>
      <w:r>
        <w:t>en tant que cadre.**</w:t>
      </w:r>
    </w:p>
    <w:p>
      <w:r>
        <w:t>Ce n'est pas une raison de les retirer. C'est une raison de **changer ce que</w:t>
      </w:r>
    </w:p>
    <w:p>
      <w:r>
        <w:t>l'outil en dit**.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Framework par framework</w:t>
      </w:r>
    </w:p>
    <w:p>
      <w:pPr>
        <w:pStyle w:val="Heading3"/>
      </w:pPr>
      <w:r>
        <w:t>ADDIE — « étiquette parapluie, pas d'objet stable à tester »</w:t>
      </w:r>
    </w:p>
    <w:p>
      <w:r>
        <w:t>Ce n'est ni un modèle d'ingénierie pédagogique ni un cadre validable : c'est une</w:t>
      </w:r>
    </w:p>
    <w:p>
      <w:r>
        <w:rPr>
          <w:b/>
        </w:rPr>
        <w:t>étiquette rétrospective, sans auteur unique, transmise par tradition orale</w:t>
      </w:r>
      <w:r>
        <w:t>,</w:t>
      </w:r>
    </w:p>
    <w:p>
      <w:r>
        <w:t>qui désigne la famille des modèles de conception systématique.</w:t>
      </w:r>
    </w:p>
    <w:p>
      <w:r>
        <w:t>Molenda (2003) a cherché le document fondateur du « modèle ADDIE ». Il n'en a</w:t>
      </w:r>
    </w:p>
    <w:p>
      <w:r>
        <w:t>trouvé aucun. Son article a été republié comme « classique » en 2015.</w:t>
      </w:r>
    </w:p>
    <w:p>
      <w:pPr>
        <w:pStyle w:val="IntenseQuote"/>
      </w:pPr>
      <w:r>
        <w:t xml:space="preserve">⚠️ Ce résultat </w:t>
      </w:r>
      <w:r>
        <w:rPr>
          <w:b/>
        </w:rPr>
        <w:t>précise</w:t>
      </w:r>
      <w:r>
        <w:t xml:space="preserve"> ce que le document de corrections sourcées TLS</w:t>
      </w:r>
    </w:p>
    <w:p>
      <w:pPr>
        <w:pStyle w:val="IntenseQuote"/>
      </w:pPr>
      <w:r>
        <w:t>indiquait (IPISD, Branson, Florida State University, 1975). L'IPISD est bien</w:t>
      </w:r>
    </w:p>
    <w:p>
      <w:pPr>
        <w:pStyle w:val="IntenseQuote"/>
      </w:pPr>
      <w:r>
        <w:t>l'ancêtre le plus souvent cité — mais il n'est pas « ADDIE », et le sigle n'a</w:t>
      </w:r>
    </w:p>
    <w:p>
      <w:pPr>
        <w:pStyle w:val="IntenseQuote"/>
      </w:pPr>
      <w:r>
        <w:t>pas de spécification d'origine.</w:t>
      </w:r>
    </w:p>
    <w:p>
      <w:r>
        <w:rPr>
          <w:b/>
        </w:rPr>
        <w:t>Confiance : élevée</w:t>
      </w:r>
      <w:r>
        <w:t xml:space="preserve"> · vote 3-0</w:t>
      </w:r>
    </w:p>
    <w:p>
      <w:pPr>
        <w:pStyle w:val="Heading3"/>
      </w:pPr>
      <w:r>
        <w:t>Kirkpatrick — « modèle de pratique sans base expérimentale, usage à borner »</w:t>
      </w:r>
    </w:p>
    <w:p>
      <w:r>
        <w:t>Modèle importé de la formation industrielle, à portée restreinte, **dont la</w:t>
      </w:r>
    </w:p>
    <w:p>
      <w:r>
        <w:t>hiérarchie causale n'est pas validée empiriquement**. Ce n'est pas un cadre</w:t>
      </w:r>
    </w:p>
    <w:p>
      <w:r>
        <w:t>d'évaluation validé pour l'éducation.</w:t>
      </w:r>
    </w:p>
    <w:p>
      <w:r>
        <w:t xml:space="preserve">Source majeure que je n'avais pas : </w:t>
      </w:r>
      <w:r>
        <w:rPr>
          <w:b/>
        </w:rPr>
        <w:t>Yardley &amp; Dornan (2012)</w:t>
      </w:r>
      <w:r>
        <w:t>, *Medical</w:t>
      </w:r>
    </w:p>
    <w:p>
      <w:r>
        <w:t>Education* — une critique argumentée de l'usage de Kirkpatrick comme hiérarchie</w:t>
      </w:r>
    </w:p>
    <w:p>
      <w:r>
        <w:t>de preuve. Complétée par Allen, Hay &amp; Palermo (2022) et par la méta-analyse</w:t>
      </w:r>
    </w:p>
    <w:p>
      <w:r>
        <w:t xml:space="preserve">d'Alliger </w:t>
      </w:r>
      <w:r>
        <w:rPr>
          <w:i/>
        </w:rPr>
        <w:t>et al.</w:t>
      </w:r>
      <w:r>
        <w:t xml:space="preserve"> (1997), déjà utilisée dans le module 6 corrigé.</w:t>
      </w:r>
    </w:p>
    <w:p>
      <w:r>
        <w:rPr>
          <w:b/>
        </w:rPr>
        <w:t>Confiance : élevée</w:t>
      </w:r>
      <w:r>
        <w:t xml:space="preserve"> · vote 3-0</w:t>
      </w:r>
    </w:p>
    <w:p>
      <w:pPr>
        <w:pStyle w:val="Heading3"/>
      </w:pPr>
      <w:r>
        <w:t>Merrill — « synthèse de théories, validation ultérieure limitée »</w:t>
      </w:r>
    </w:p>
    <w:p>
      <w:r>
        <w:t xml:space="preserve">Les </w:t>
      </w:r>
      <w:r>
        <w:rPr>
          <w:i/>
        </w:rPr>
        <w:t>First Principles</w:t>
      </w:r>
      <w:r>
        <w:t xml:space="preserve"> ne sont pas dérivés d'une expérimentation. Merrill l'écrit</w:t>
      </w:r>
    </w:p>
    <w:p>
      <w:r>
        <w:t>lui-même dans l'article de 2002 :</w:t>
      </w:r>
    </w:p>
    <w:p>
      <w:pPr>
        <w:pStyle w:val="IntenseQuote"/>
      </w:pPr>
      <w:r>
        <w:t>« This paper is a preliminary report. »</w:t>
      </w:r>
    </w:p>
    <w:p>
      <w:pPr>
        <w:pStyle w:val="IntenseQuote"/>
      </w:pPr>
      <w:r>
        <w:t>« There is no attempt in this paper to identify the empirical support for these</w:t>
      </w:r>
    </w:p>
    <w:p>
      <w:pPr>
        <w:pStyle w:val="IntenseQuote"/>
      </w:pPr>
      <w:r>
        <w:t>principles. »</w:t>
      </w:r>
    </w:p>
    <w:p>
      <w:r>
        <w:t>Il inscrit « identifier le support empirique de chaque principe » au programme</w:t>
      </w:r>
    </w:p>
    <w:p>
      <w:r>
        <w:t xml:space="preserve">de travail </w:t>
      </w:r>
      <w:r>
        <w:rPr>
          <w:b/>
        </w:rPr>
        <w:t>à venir</w:t>
      </w:r>
      <w:r>
        <w:t>.</w:t>
      </w:r>
    </w:p>
    <w:p>
      <w:r>
        <w:t xml:space="preserve">⚠️ </w:t>
      </w:r>
      <w:r>
        <w:rPr>
          <w:b/>
        </w:rPr>
        <w:t>Piège de versionnage pour la config</w:t>
      </w:r>
      <w:r>
        <w:t xml:space="preserve"> : la formulation encodée — Problème,</w:t>
      </w:r>
    </w:p>
    <w:p>
      <w:r>
        <w:t>Activation, Démonstration, Application, Intégration — correspond bien à l'article</w:t>
      </w:r>
    </w:p>
    <w:p>
      <w:r>
        <w:t xml:space="preserve">princeps de 2002, mais </w:t>
      </w:r>
      <w:r>
        <w:rPr>
          <w:b/>
        </w:rPr>
        <w:t>ce n'est pas la dernière formulation de Merrill</w:t>
      </w:r>
    </w:p>
    <w:p>
      <w:r>
        <w:t>(reformulations 2009, 2013, 2022, centrées « tâche »). Et les cinq items ne sont</w:t>
      </w:r>
    </w:p>
    <w:p>
      <w:r>
        <w:t>pas de même rang.</w:t>
      </w:r>
    </w:p>
    <w:p>
      <w:r>
        <w:rPr>
          <w:b/>
        </w:rPr>
        <w:t>Confiance : élevée</w:t>
      </w:r>
      <w:r>
        <w:t xml:space="preserve"> · vote 3-0</w:t>
      </w:r>
    </w:p>
    <w:p>
      <w:pPr>
        <w:pStyle w:val="Heading3"/>
      </w:pPr>
      <w:r>
        <w:t>Gagné — « soutenu partiellement, base probante étroite et fragile »</w:t>
      </w:r>
    </w:p>
    <w:p>
      <w:r>
        <w:t>Une première méta-analyse existe (Frontiers in Medicine, 2025). Mais :</w:t>
      </w:r>
    </w:p>
    <w:p>
      <w:pPr>
        <w:pStyle w:val="ListBullet"/>
      </w:pPr>
      <w:r>
        <w:t xml:space="preserve">corpus limité à </w:t>
      </w:r>
      <w:r>
        <w:rPr>
          <w:b/>
        </w:rPr>
        <w:t>la formation aux professions de santé</w:t>
      </w:r>
      <w:r>
        <w:t>, 10 études sur 11</w:t>
      </w:r>
    </w:p>
    <w:p>
      <w:r>
        <w:t xml:space="preserve">  concentrées géographiquement</w:t>
      </w:r>
    </w:p>
    <w:p>
      <w:pPr>
        <w:pStyle w:val="ListBullet"/>
      </w:pPr>
      <w:r>
        <w:t>qualité méthodologique faible sur l'ensemble du corpus</w:t>
      </w:r>
    </w:p>
    <w:p>
      <w:pPr>
        <w:pStyle w:val="ListBullet"/>
      </w:pPr>
      <w:r>
        <w:rPr>
          <w:b/>
        </w:rPr>
        <w:t>hétérogénéité extrême</w:t>
      </w:r>
      <w:r>
        <w:t xml:space="preserve"> — I² de 95 % et 90 %, très au-dessus du seuil de</w:t>
      </w:r>
    </w:p>
    <w:p>
      <w:r>
        <w:t xml:space="preserve">  75 % que le manuel Cochrane qualifie déjà de « considérable »</w:t>
      </w:r>
    </w:p>
    <w:p>
      <w:r>
        <w:rPr>
          <w:b/>
        </w:rPr>
        <w:t>Conséquence directe</w:t>
      </w:r>
      <w:r>
        <w:t xml:space="preserve"> : les valeurs d'effet de 1,5 à 1,8 qui circulent **ne</w:t>
      </w:r>
    </w:p>
    <w:p>
      <w:r>
        <w:t>doivent jamais être citées comme « la » taille d'effet de Gagné**. L'effet poolé</w:t>
      </w:r>
    </w:p>
    <w:p>
      <w:r>
        <w:t>n'est pas interprétable comme une valeur unique.</w:t>
      </w:r>
    </w:p>
    <w:p>
      <w:r>
        <w:rPr>
          <w:b/>
        </w:rPr>
        <w:t>Confiance : élevée</w:t>
      </w:r>
      <w:r>
        <w:t xml:space="preserve"> · vote 3-0</w:t>
      </w:r>
    </w:p>
    <w:p>
      <w:r>
        <w:rPr>
          <w:i/>
        </w:rPr>
        <w:t>(La lecture positive de la même méta-analyse a été rejetée 0-3. À ne pas recycler.)</w:t>
      </w:r>
    </w:p>
    <w:p>
      <w:pPr>
        <w:pStyle w:val="Heading3"/>
      </w:pPr>
      <w:r>
        <w:t>Bloom révisée — « soutenu partiellement, mode d'emploi à corriger »</w:t>
      </w:r>
    </w:p>
    <w:p>
      <w:r>
        <w:t xml:space="preserve">Utilisable, </w:t>
      </w:r>
      <w:r>
        <w:rPr>
          <w:b/>
        </w:rPr>
        <w:t>mais l'usage dominant est fragilisé</w:t>
      </w:r>
      <w:r>
        <w:t xml:space="preserve"> : les listes de verbes par</w:t>
      </w:r>
    </w:p>
    <w:p>
      <w:r>
        <w:t>niveau, pour rédiger les objectifs et calibrer les quiz.</w:t>
      </w:r>
    </w:p>
    <w:p>
      <w:r>
        <w:t xml:space="preserve">Larsen </w:t>
      </w:r>
      <w:r>
        <w:rPr>
          <w:i/>
        </w:rPr>
        <w:t>et al.</w:t>
      </w:r>
      <w:r>
        <w:t xml:space="preserve"> (2022) suggèrent de mobiliser </w:t>
      </w:r>
      <w:r>
        <w:rPr>
          <w:b/>
        </w:rPr>
        <w:t>les deux dimensions</w:t>
      </w:r>
      <w:r>
        <w:t xml:space="preserve"> de la</w:t>
      </w:r>
    </w:p>
    <w:p>
      <w:r>
        <w:t>taxonomie — type de connaissance × processus cognitif — et jugent les verbes</w:t>
      </w:r>
    </w:p>
    <w:p>
      <w:r>
        <w:t>seuls insuffisants.</w:t>
      </w:r>
    </w:p>
    <w:p>
      <w:pPr>
        <w:pStyle w:val="IntenseQuote"/>
      </w:pPr>
      <w:r>
        <w:t xml:space="preserve">⚠️ </w:t>
      </w:r>
      <w:r>
        <w:rPr>
          <w:b/>
        </w:rPr>
        <w:t>Ceci corrige mon propre travail.</w:t>
      </w:r>
      <w:r>
        <w:t xml:space="preserve"> Le module 4 corrigé est construit autour</w:t>
      </w:r>
    </w:p>
    <w:p>
      <w:pPr>
        <w:pStyle w:val="IntenseQuote"/>
      </w:pPr>
      <w:r>
        <w:t>d'une liste de verbes par niveau. Ce n'est pas faux, mais c'est incomplet : il</w:t>
      </w:r>
    </w:p>
    <w:p>
      <w:pPr>
        <w:pStyle w:val="IntenseQuote"/>
      </w:pPr>
      <w:r>
        <w:t>faut y ajouter la mise en garde bidimensionnelle. Voir « ce qu'il reste à faire ».</w:t>
      </w:r>
    </w:p>
    <w:p>
      <w:r>
        <w:t xml:space="preserve">⚠️ </w:t>
      </w:r>
      <w:r>
        <w:rPr>
          <w:b/>
        </w:rPr>
        <w:t>Précision de modalité</w:t>
      </w:r>
      <w:r>
        <w:t xml:space="preserve"> : les auteurs écrivent « we suggest », pas « il est</w:t>
      </w:r>
    </w:p>
    <w:p>
      <w:r>
        <w:t>interdit de ». Les lectures fortes — « réfutation empirique », « invalidation des</w:t>
      </w:r>
    </w:p>
    <w:p>
      <w:r>
        <w:t xml:space="preserve">listes de verbes » — ont été </w:t>
      </w:r>
      <w:r>
        <w:rPr>
          <w:b/>
        </w:rPr>
        <w:t>rejetées 0-3</w:t>
      </w:r>
      <w:r>
        <w:t xml:space="preserve"> et ne doivent pas être écrites.</w:t>
      </w:r>
    </w:p>
    <w:p>
      <w:r>
        <w:rPr>
          <w:b/>
        </w:rPr>
        <w:t>Confiance : moyenne</w:t>
      </w:r>
      <w:r>
        <w:t xml:space="preserve"> · vote 3-0 sur la recommandation des auteurs</w:t>
      </w:r>
    </w:p>
    <w:p>
      <w:pPr>
        <w:pStyle w:val="Heading3"/>
      </w:pPr>
      <w:r>
        <w:t>EDRACT — « structure maison, à assumer comme telle »</w:t>
      </w:r>
    </w:p>
    <w:p>
      <w:r>
        <w:t>Aucune base probante propre n'a été trouvée.</w:t>
      </w:r>
    </w:p>
    <w:p>
      <w:r>
        <w:t xml:space="preserve">Les vérificateurs ont examiné une </w:t>
      </w:r>
      <w:r>
        <w:rPr>
          <w:b/>
        </w:rPr>
        <w:t>route de secours</w:t>
      </w:r>
      <w:r>
        <w:t xml:space="preserve"> : ancrer EDRACT par</w:t>
      </w:r>
    </w:p>
    <w:p>
      <w:r>
        <w:t>analogie avec le modèle 5E, qui dispose, lui, d'une méta-analyse. **Cette route a</w:t>
      </w:r>
    </w:p>
    <w:p>
      <w:r>
        <w:t>été rejetée** — quatre tentatives de transfert votées 0-3 (trois d'entre elles) et</w:t>
      </w:r>
    </w:p>
    <w:p>
      <w:r>
        <w:t>1-2.</w:t>
      </w:r>
    </w:p>
    <w:p>
      <w:r>
        <w:t>Le détail est instructif pour vous : même le 5E ne tient pas ce qu'on lui prête.</w:t>
      </w:r>
    </w:p>
    <w:p>
      <w:r>
        <w:t>Il n'a jamais été comparé empiriquement au modèle en trois phases dont il dérive,</w:t>
      </w:r>
    </w:p>
    <w:p>
      <w:r>
        <w:t>il a été diffusé dix-neuf ans avant sa première étude, et il n'est pas démontré</w:t>
      </w:r>
    </w:p>
    <w:p>
      <w:r>
        <w:t>supérieur aux autres méthodes actives — **c'est le caractère actif de</w:t>
      </w:r>
    </w:p>
    <w:p>
      <w:r>
        <w:t>l'enseignement qui porte l'effet, pas le nombre de phases**.</w:t>
      </w:r>
    </w:p>
    <w:p>
      <w:r>
        <w:rPr>
          <w:b/>
        </w:rPr>
        <w:t>Confiance : faible</w:t>
      </w:r>
      <w:r>
        <w:t xml:space="preserve"> — aucune affirmation positive n'a survécu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Ce que ça change pour Prompt Buddy</w:t>
      </w:r>
    </w:p>
    <w:p>
      <w:r>
        <w:t xml:space="preserve">La valeur de ces cadres est </w:t>
      </w:r>
      <w:r>
        <w:rPr>
          <w:b/>
        </w:rPr>
        <w:t>organisationnelle et communicationnelle</w:t>
      </w:r>
      <w:r>
        <w:t xml:space="preserve"> : ce sont</w:t>
      </w:r>
    </w:p>
    <w:p>
      <w:r>
        <w:t>des listes de contrôle de conception qui empêchent d'oublier une étape, et un</w:t>
      </w:r>
    </w:p>
    <w:p>
      <w:r>
        <w:t>langage commun avec un commanditaire. Elle n'est pas probante.</w:t>
      </w:r>
    </w:p>
    <w:p>
      <w:r>
        <w:rPr>
          <w:b/>
        </w:rPr>
        <w:t>Trois pistes concrètes</w:t>
      </w:r>
      <w:r>
        <w:t>, par ordre de coût :</w:t>
      </w:r>
    </w:p>
    <w:p>
      <w:r>
        <w:rPr>
          <w:b/>
        </w:rPr>
        <w:t>1. Ajouter un champ `evidence` aux entrées de `FRAMEWORKS`.</w:t>
      </w:r>
    </w:p>
    <w:p>
      <w:r>
        <w:t xml:space="preserve">Par exemple </w:t>
      </w:r>
      <w:r>
        <w:rPr>
          <w:rFonts w:ascii="Consolas" w:hAnsi="Consolas"/>
          <w:color w:val="B03030"/>
          <w:sz w:val="19"/>
        </w:rPr>
        <w:t>evidence: 'pratique' | 'partiel' | 'soutenu'</w:t>
      </w:r>
      <w:r>
        <w:t>, affiché dans</w:t>
      </w:r>
    </w:p>
    <w:p>
      <w:r>
        <w:t>l'interface. C'est de la config pure — aucun rebuild, cohérent avec la règle n°1.</w:t>
      </w:r>
    </w:p>
    <w:p>
      <w:r>
        <w:t>Ça rendrait visible, au moment du choix, ce que le cadre vaut.</w:t>
      </w:r>
    </w:p>
    <w:p>
      <w:r>
        <w:rPr>
          <w:b/>
        </w:rPr>
        <w:t>2. Corriger le `guidance` de Merrill</w:t>
      </w:r>
      <w:r>
        <w:t xml:space="preserve"> pour lever l'ambiguïté de version, ou</w:t>
      </w:r>
    </w:p>
    <w:p>
      <w:r>
        <w:t>assumer explicitement l'alignement sur l'article de 2002.</w:t>
      </w:r>
    </w:p>
    <w:p>
      <w:r>
        <w:rPr>
          <w:b/>
        </w:rPr>
        <w:t>3. Assumer EDRACT comme structure maison</w:t>
      </w:r>
      <w:r>
        <w:t xml:space="preserve"> dans son </w:t>
      </w:r>
      <w:r>
        <w:rPr>
          <w:rFonts w:ascii="Consolas" w:hAnsi="Consolas"/>
          <w:color w:val="B03030"/>
          <w:sz w:val="19"/>
        </w:rPr>
        <w:t>explain</w:t>
      </w:r>
      <w:r>
        <w:t xml:space="preserve"> — c'est la</w:t>
      </w:r>
    </w:p>
    <w:p>
      <w:r>
        <w:t>structure signature TLS, elle n'a pas à se prétendre autre chose.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⚠️ Ce que cette recherche n'a PAS produit</w:t>
      </w:r>
    </w:p>
    <w:p>
      <w:r>
        <w:t>C'est la limite la plus importante de ce rapport, et elle est explicite.</w:t>
      </w:r>
    </w:p>
    <w:p>
      <w:r>
        <w:t xml:space="preserve">Le brief comportait trois questions. </w:t>
      </w:r>
      <w:r>
        <w:rPr>
          <w:b/>
        </w:rPr>
        <w:t>Une seule a été couverte.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Résultat</w:t>
            </w:r>
          </w:p>
        </w:tc>
      </w:tr>
      <w:tr>
        <w:tc>
          <w:tcPr>
            <w:tcW w:type="dxa" w:w="4320"/>
          </w:tcPr>
          <w:p>
            <w:r/>
            <w:r>
              <w:t>1 · Validité des 6 frameworks</w:t>
            </w:r>
          </w:p>
        </w:tc>
        <w:tc>
          <w:tcPr>
            <w:tcW w:type="dxa" w:w="4320"/>
          </w:tcPr>
          <w:p>
            <w:r/>
            <w:r>
              <w:t>✅ Traitée, 8 affirmations confirmées</w:t>
            </w:r>
          </w:p>
        </w:tc>
      </w:tr>
      <w:tr>
        <w:tc>
          <w:tcPr>
            <w:tcW w:type="dxa" w:w="4320"/>
          </w:tcPr>
          <w:p>
            <w:r/>
            <w:r>
              <w:t>2 · Cadres manquants (4C/ID, UDL, backward design, SAM, LTEM)</w:t>
            </w:r>
          </w:p>
        </w:tc>
        <w:tc>
          <w:tcPr>
            <w:tcW w:type="dxa" w:w="4320"/>
          </w:tcPr>
          <w:p>
            <w:r/>
            <w:r>
              <w:t xml:space="preserve">❌ </w:t>
            </w:r>
            <w:r>
              <w:rPr>
                <w:b/>
              </w:rPr>
              <w:t>Zéro affirmation survivante</w:t>
            </w:r>
          </w:p>
        </w:tc>
      </w:tr>
      <w:tr>
        <w:tc>
          <w:tcPr>
            <w:tcW w:type="dxa" w:w="4320"/>
          </w:tcPr>
          <w:p>
            <w:r/>
            <w:r>
              <w:t>3 · Tailles d'effet des 6 lentilles sciences cognitives</w:t>
            </w:r>
          </w:p>
        </w:tc>
        <w:tc>
          <w:tcPr>
            <w:tcW w:type="dxa" w:w="4320"/>
          </w:tcPr>
          <w:p>
            <w:r/>
            <w:r>
              <w:t xml:space="preserve">❌ </w:t>
            </w:r>
            <w:r>
              <w:rPr>
                <w:b/>
              </w:rPr>
              <w:t>Zéro affirmation survivante, aucune taille d'effet vérifiée</w:t>
            </w:r>
          </w:p>
        </w:tc>
      </w:tr>
    </w:tbl>
    <w:p>
      <w:r>
        <w:rPr>
          <w:b/>
        </w:rPr>
        <w:t>Je ne comblerai pas ces deux trous de mémoire.</w:t>
      </w:r>
      <w:r>
        <w:t xml:space="preserve"> C'est précisément sur les</w:t>
      </w:r>
    </w:p>
    <w:p>
      <w:r>
        <w:t>lentilles — récupération active, espacement, charge cognitive — que la</w:t>
      </w:r>
    </w:p>
    <w:p>
      <w:r>
        <w:t xml:space="preserve">littérature méta-analytique est la plus fournie et </w:t>
      </w:r>
      <w:r>
        <w:rPr>
          <w:b/>
        </w:rPr>
        <w:t>la plus facile à mal citer</w:t>
      </w:r>
      <w:r>
        <w:t>.</w:t>
      </w:r>
    </w:p>
    <w:p>
      <w:r>
        <w:t xml:space="preserve">Les marqueurs </w:t>
      </w:r>
      <w:r>
        <w:rPr>
          <w:rFonts w:ascii="Consolas" w:hAnsi="Consolas"/>
          <w:color w:val="B03030"/>
          <w:sz w:val="19"/>
        </w:rPr>
        <w:t>[à sourcer]</w:t>
      </w:r>
      <w:r>
        <w:t xml:space="preserve"> des modules 3 et 5 restent donc en place.</w:t>
      </w:r>
    </w:p>
    <w:p>
      <w:r>
        <w:rPr>
          <w:b/>
        </w:rPr>
        <w:t>Deux autres réserves à ne pas effacer</w:t>
      </w:r>
      <w:r>
        <w:t xml:space="preserve"> :</w:t>
      </w:r>
    </w:p>
    <w:p>
      <w:pPr>
        <w:pStyle w:val="ListBullet"/>
      </w:pPr>
      <w:r>
        <w:rPr>
          <w:b/>
        </w:rPr>
        <w:t>Périmètres disciplinaires.</w:t>
      </w:r>
      <w:r>
        <w:t xml:space="preserve"> Trois des cinq sources centrales viennent de</w:t>
      </w:r>
    </w:p>
    <w:p>
      <w:r>
        <w:t xml:space="preserve">  domaines étroits : Yardley &amp; Dornan porte sur l'éducation </w:t>
      </w:r>
      <w:r>
        <w:rPr>
          <w:i/>
        </w:rPr>
        <w:t>médicale</w:t>
      </w:r>
      <w:r>
        <w:t>, la</w:t>
      </w:r>
    </w:p>
    <w:p>
      <w:r>
        <w:t xml:space="preserve">  méta-analyse Gagné sur les </w:t>
      </w:r>
      <w:r>
        <w:rPr>
          <w:i/>
        </w:rPr>
        <w:t>professions de santé</w:t>
      </w:r>
      <w:r>
        <w:t>, l'étude Bloom sur un corpus</w:t>
      </w:r>
    </w:p>
    <w:p>
      <w:r>
        <w:t xml:space="preserve">  de </w:t>
      </w:r>
      <w:r>
        <w:rPr>
          <w:i/>
        </w:rPr>
        <w:t>biologie universitaire</w:t>
      </w:r>
      <w:r>
        <w:t>. L'extrapolation à la formation professionnelle</w:t>
      </w:r>
    </w:p>
    <w:p>
      <w:r>
        <w:t xml:space="preserve">  française est défendable, mais doit s'écrire comme une extrapolation.</w:t>
      </w:r>
    </w:p>
    <w:p>
      <w:pPr>
        <w:pStyle w:val="ListBullet"/>
      </w:pPr>
      <w:r>
        <w:rPr>
          <w:b/>
        </w:rPr>
        <w:t>Accès aux textes.</w:t>
      </w:r>
      <w:r>
        <w:t xml:space="preserve"> Trois sources majeures sont sous péage — Yardley &amp;</w:t>
      </w:r>
    </w:p>
    <w:p>
      <w:r>
        <w:t xml:space="preserve">  Dornan, Molenda 2003, et la version typographiée de Merrill 2002. La</w:t>
      </w:r>
    </w:p>
    <w:p>
      <w:r>
        <w:t xml:space="preserve">  vérification s'est faite par résumés officiels et indexeurs institutionnels.</w:t>
      </w:r>
    </w:p>
    <w:p>
      <w:r>
        <w:t xml:space="preserve">  Pour Merrill, par le manuscrit soumis hébergé par l'auteur, **dont le libellé</w:t>
      </w:r>
    </w:p>
    <w:p>
      <w:r>
        <w:t xml:space="preserve">  diffère de la version publiée**.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Bibliographie vérifiée</w:t>
      </w:r>
    </w:p>
    <w:p>
      <w:r>
        <w:t>Toutes ces références ont été contrôlées via Crossref, OpenAlex, PubMed, ERIC ou</w:t>
      </w:r>
    </w:p>
    <w:p>
      <w:r>
        <w:t>Semantic Scholar. Elles sont réutilisables telles quelles.</w:t>
      </w:r>
    </w:p>
    <w:p>
      <w:pPr>
        <w:pStyle w:val="Heading3"/>
      </w:pPr>
      <w:r>
        <w:t>Méta-analyses et revues systématiques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Référence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 rapporte à</w:t>
            </w:r>
          </w:p>
        </w:tc>
      </w:tr>
      <w:tr>
        <w:tc>
          <w:tcPr>
            <w:tcW w:type="dxa" w:w="4320"/>
          </w:tcPr>
          <w:p>
            <w:r/>
            <w:r>
              <w:t xml:space="preserve">Frontiers in Medicine (2025) — DOI </w:t>
            </w:r>
            <w:r>
              <w:rPr>
                <w:b/>
              </w:rPr>
              <w:t>10.3389/fmed.2025.1522830</w:t>
            </w:r>
            <w:r>
              <w:t xml:space="preserve"> · PMC12011725</w:t>
            </w:r>
          </w:p>
        </w:tc>
        <w:tc>
          <w:tcPr>
            <w:tcW w:type="dxa" w:w="4320"/>
          </w:tcPr>
          <w:p>
            <w:r/>
            <w:r>
              <w:t>Gagné — première méta-analyse</w:t>
            </w:r>
          </w:p>
        </w:tc>
      </w:tr>
      <w:tr>
        <w:tc>
          <w:tcPr>
            <w:tcW w:type="dxa" w:w="4320"/>
          </w:tcPr>
          <w:p>
            <w:r/>
            <w:r>
              <w:t xml:space="preserve">Larsen, T. M., Endo, B. H., Yee, A. T., Do, T., &amp; Lo, S. M. (2022). </w:t>
            </w:r>
            <w:r>
              <w:rPr>
                <w:i/>
              </w:rPr>
              <w:t>Probing Internal Assumptions of the Revised Bloom's Taxonomy</w:t>
            </w:r>
            <w:r>
              <w:t xml:space="preserve"> — PubMed </w:t>
            </w:r>
            <w:r>
              <w:rPr>
                <w:b/>
              </w:rPr>
              <w:t>36112622</w:t>
            </w:r>
            <w:r>
              <w:t xml:space="preserve"> · DOI </w:t>
            </w:r>
            <w:r>
              <w:rPr>
                <w:b/>
              </w:rPr>
              <w:t>10.1187/cbe.20-08-0170</w:t>
            </w:r>
          </w:p>
        </w:tc>
        <w:tc>
          <w:tcPr>
            <w:tcW w:type="dxa" w:w="4320"/>
          </w:tcPr>
          <w:p>
            <w:r/>
            <w:r>
              <w:t>Bloom révisée</w:t>
            </w:r>
          </w:p>
        </w:tc>
      </w:tr>
      <w:tr>
        <w:tc>
          <w:tcPr>
            <w:tcW w:type="dxa" w:w="4320"/>
          </w:tcPr>
          <w:p>
            <w:r/>
            <w:r>
              <w:t xml:space="preserve">Alliger, G. M., Tannenbaum, S. I., Bennett, W., Traver, H., &amp; Shotland, A. (1997). </w:t>
            </w:r>
            <w:r>
              <w:rPr>
                <w:i/>
              </w:rPr>
              <w:t>Personnel Psychology</w:t>
            </w:r>
            <w:r>
              <w:t xml:space="preserve"> — DOI </w:t>
            </w:r>
            <w:r>
              <w:rPr>
                <w:b/>
              </w:rPr>
              <w:t>10.1111/j.1744-6570.1997.tb00911.x</w:t>
            </w:r>
          </w:p>
        </w:tc>
        <w:tc>
          <w:tcPr>
            <w:tcW w:type="dxa" w:w="4320"/>
          </w:tcPr>
          <w:p>
            <w:r/>
            <w:r>
              <w:t>Kirkpatrick — relations entre niveaux</w:t>
            </w:r>
          </w:p>
        </w:tc>
      </w:tr>
      <w:tr>
        <w:tc>
          <w:tcPr>
            <w:tcW w:type="dxa" w:w="4320"/>
          </w:tcPr>
          <w:p>
            <w:r/>
            <w:r>
              <w:t xml:space="preserve">Méta-analyse du modèle 5E — DOI </w:t>
            </w:r>
            <w:r>
              <w:rPr>
                <w:b/>
              </w:rPr>
              <w:t>10.1177/23328584241269866</w:t>
            </w:r>
          </w:p>
        </w:tc>
        <w:tc>
          <w:tcPr>
            <w:tcW w:type="dxa" w:w="4320"/>
          </w:tcPr>
          <w:p>
            <w:r/>
            <w:r>
              <w:t xml:space="preserve">5E — route de transfert vers EDRACT, </w:t>
            </w:r>
            <w:r>
              <w:rPr>
                <w:b/>
              </w:rPr>
              <w:t>rejetée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Revue sur le 5E — DOI </w:t>
            </w:r>
            <w:r>
              <w:rPr>
                <w:b/>
              </w:rPr>
              <w:t>10.1007/s10763-023-10357-y</w:t>
            </w:r>
          </w:p>
        </w:tc>
        <w:tc>
          <w:tcPr>
            <w:tcW w:type="dxa" w:w="4320"/>
          </w:tcPr>
          <w:p>
            <w:r/>
            <w:r>
              <w:t>5E — même statut</w:t>
            </w:r>
          </w:p>
        </w:tc>
      </w:tr>
      <w:tr>
        <w:tc>
          <w:tcPr>
            <w:tcW w:type="dxa" w:w="4320"/>
          </w:tcPr>
          <w:p>
            <w:r/>
            <w:r>
              <w:t xml:space="preserve">DOI </w:t>
            </w:r>
            <w:r>
              <w:rPr>
                <w:b/>
              </w:rPr>
              <w:t>10.3102/0034654316689306</w:t>
            </w:r>
            <w:r>
              <w:t xml:space="preserve"> · DOI </w:t>
            </w:r>
            <w:r>
              <w:rPr>
                <w:b/>
              </w:rPr>
              <w:t>10.1007/s10648-023-09745-1</w:t>
            </w:r>
            <w:r>
              <w:t xml:space="preserve"> · DOI </w:t>
            </w:r>
            <w:r>
              <w:rPr>
                <w:b/>
              </w:rPr>
              <w:t>10.3389/feduc.2021.581216</w:t>
            </w:r>
          </w:p>
        </w:tc>
        <w:tc>
          <w:tcPr>
            <w:tcW w:type="dxa" w:w="4320"/>
          </w:tcPr>
          <w:p>
            <w:r/>
            <w:r>
              <w:t>Sources périphériques collectées, non exploitées dans ce cycle</w:t>
            </w:r>
          </w:p>
        </w:tc>
      </w:tr>
      <w:tr>
        <w:tc>
          <w:tcPr>
            <w:tcW w:type="dxa" w:w="4320"/>
          </w:tcPr>
          <w:p>
            <w:r/>
            <w:r>
              <w:t>Brunmair &amp; Richter — méta-analyse (Université de Wurtzbourg)</w:t>
            </w:r>
          </w:p>
        </w:tc>
        <w:tc>
          <w:tcPr>
            <w:tcW w:type="dxa" w:w="4320"/>
          </w:tcPr>
          <w:p>
            <w:r/>
            <w:r>
              <w:t xml:space="preserve">Interleaving — </w:t>
            </w:r>
            <w:r>
              <w:rPr>
                <w:b/>
              </w:rPr>
              <w:t>non exploitée</w:t>
            </w:r>
          </w:p>
        </w:tc>
      </w:tr>
    </w:tbl>
    <w:p>
      <w:pPr>
        <w:pStyle w:val="Heading3"/>
      </w:pPr>
      <w:r>
        <w:t>Sources institutionnelles et officielles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Référence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 rapporte 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What Works Clearinghouse</w:t>
            </w:r>
            <w:r>
              <w:t xml:space="preserve"> (Institute of Education Sciences) — Practice Guide 20072004</w:t>
            </w:r>
          </w:p>
        </w:tc>
        <w:tc>
          <w:tcPr>
            <w:tcW w:type="dxa" w:w="4320"/>
          </w:tcPr>
          <w:p>
            <w:r/>
            <w:r>
              <w:t>Non exploitée dans ce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Education Endowment Foundation</w:t>
            </w:r>
            <w:r>
              <w:t xml:space="preserve"> — Teaching and Learning Toolkit, volet </w:t>
            </w:r>
            <w:r>
              <w:rPr>
                <w:i/>
              </w:rPr>
              <w:t>Feedback</w:t>
            </w:r>
          </w:p>
        </w:tc>
        <w:tc>
          <w:tcPr>
            <w:tcW w:type="dxa" w:w="4320"/>
          </w:tcPr>
          <w:p>
            <w:r/>
            <w:r>
              <w:t xml:space="preserve">Lentille « feedback » — </w:t>
            </w:r>
            <w:r>
              <w:rPr>
                <w:b/>
              </w:rPr>
              <w:t>non exploitée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Deans for Impact</w:t>
            </w:r>
            <w:r>
              <w:t xml:space="preserve"> — </w:t>
            </w:r>
            <w:r>
              <w:rPr>
                <w:i/>
              </w:rPr>
              <w:t>The Science of Learning</w:t>
            </w:r>
          </w:p>
        </w:tc>
        <w:tc>
          <w:tcPr>
            <w:tcW w:type="dxa" w:w="4320"/>
          </w:tcPr>
          <w:p>
            <w:r/>
            <w:r>
              <w:t xml:space="preserve">Lentilles — </w:t>
            </w:r>
            <w:r>
              <w:rPr>
                <w:b/>
              </w:rPr>
              <w:t>non exploitée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Cochrane Handbook for Systematic Reviews of Interventions</w:t>
            </w:r>
          </w:p>
        </w:tc>
        <w:tc>
          <w:tcPr>
            <w:tcW w:type="dxa" w:w="4320"/>
          </w:tcPr>
          <w:p>
            <w:r/>
            <w:r>
              <w:t>Seuils d'hétérogénéité I²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ERIC EJ657839</w:t>
            </w:r>
            <w:r>
              <w:t xml:space="preserve"> (Institute of Education Sciences)</w:t>
            </w:r>
          </w:p>
        </w:tc>
        <w:tc>
          <w:tcPr>
            <w:tcW w:type="dxa" w:w="4320"/>
          </w:tcPr>
          <w:p>
            <w:r/>
            <w:r>
              <w:t>Merrill</w:t>
            </w:r>
          </w:p>
        </w:tc>
      </w:tr>
    </w:tbl>
    <w:p>
      <w:pPr>
        <w:pStyle w:val="Heading3"/>
      </w:pPr>
      <w:r>
        <w:t>Ouvrages et articles de référence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Référence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 rapporte à</w:t>
            </w:r>
          </w:p>
        </w:tc>
      </w:tr>
      <w:tr>
        <w:tc>
          <w:tcPr>
            <w:tcW w:type="dxa" w:w="4320"/>
          </w:tcPr>
          <w:p>
            <w:r/>
            <w:r>
              <w:t xml:space="preserve">Merrill, M. D. (2002). </w:t>
            </w:r>
            <w:r>
              <w:rPr>
                <w:i/>
              </w:rPr>
              <w:t>First Principles of Instruction</w:t>
            </w:r>
            <w:r>
              <w:t xml:space="preserve">. ETR&amp;D 50(3), 43-59 — DOI </w:t>
            </w:r>
            <w:r>
              <w:rPr>
                <w:b/>
              </w:rPr>
              <w:t>10.1007/BF02505024</w:t>
            </w:r>
            <w:r>
              <w:t xml:space="preserve"> (2 066 citations OpenAlex)</w:t>
            </w:r>
          </w:p>
        </w:tc>
        <w:tc>
          <w:tcPr>
            <w:tcW w:type="dxa" w:w="4320"/>
          </w:tcPr>
          <w:p>
            <w:r/>
            <w:r>
              <w:t>Merrill — article princeps</w:t>
            </w:r>
          </w:p>
        </w:tc>
      </w:tr>
      <w:tr>
        <w:tc>
          <w:tcPr>
            <w:tcW w:type="dxa" w:w="4320"/>
          </w:tcPr>
          <w:p>
            <w:r/>
            <w:r>
              <w:t xml:space="preserve">Merrill (2009) — DOI </w:t>
            </w:r>
            <w:r>
              <w:rPr>
                <w:b/>
              </w:rPr>
              <w:t>10.4324/9780203872130-9</w:t>
            </w:r>
            <w:r>
              <w:t xml:space="preserve"> · </w:t>
            </w:r>
            <w:r>
              <w:rPr>
                <w:i/>
              </w:rPr>
              <w:t>First Principles Revisited</w:t>
            </w:r>
            <w:r>
              <w:t xml:space="preserve"> (2022) — DOI </w:t>
            </w:r>
            <w:r>
              <w:rPr>
                <w:b/>
              </w:rPr>
              <w:t>10.1007/978-3-030-28745-0_56</w:t>
            </w:r>
          </w:p>
        </w:tc>
        <w:tc>
          <w:tcPr>
            <w:tcW w:type="dxa" w:w="4320"/>
          </w:tcPr>
          <w:p>
            <w:r/>
            <w:r>
              <w:t>Merrill — reformulations ultérieures</w:t>
            </w:r>
          </w:p>
        </w:tc>
      </w:tr>
      <w:tr>
        <w:tc>
          <w:tcPr>
            <w:tcW w:type="dxa" w:w="4320"/>
          </w:tcPr>
          <w:p>
            <w:r/>
            <w:r>
              <w:t xml:space="preserve">Molenda, M. (2003). </w:t>
            </w:r>
            <w:r>
              <w:rPr>
                <w:i/>
              </w:rPr>
              <w:t>In search of the elusive ADDIE model</w:t>
            </w:r>
            <w:r>
              <w:t xml:space="preserve">. Performance Improvement 42(5) — DOI </w:t>
            </w:r>
            <w:r>
              <w:rPr>
                <w:b/>
              </w:rPr>
              <w:t>10.1002/pfi.4930420508</w:t>
            </w:r>
            <w:r>
              <w:t xml:space="preserve"> · republication 2015 DOI </w:t>
            </w:r>
            <w:r>
              <w:rPr>
                <w:b/>
              </w:rPr>
              <w:t>10.1002/pfi.21461</w:t>
            </w:r>
          </w:p>
        </w:tc>
        <w:tc>
          <w:tcPr>
            <w:tcW w:type="dxa" w:w="4320"/>
          </w:tcPr>
          <w:p>
            <w:r/>
            <w:r>
              <w:t>ADDIE</w:t>
            </w:r>
          </w:p>
        </w:tc>
      </w:tr>
      <w:tr>
        <w:tc>
          <w:tcPr>
            <w:tcW w:type="dxa" w:w="4320"/>
          </w:tcPr>
          <w:p>
            <w:r/>
            <w:r>
              <w:t xml:space="preserve">Branch, R. M. (2009). </w:t>
            </w:r>
            <w:r>
              <w:rPr>
                <w:i/>
              </w:rPr>
              <w:t>Instructional Design: The ADDIE Approach</w:t>
            </w:r>
            <w:r>
              <w:t xml:space="preserve">. Springer — DOI </w:t>
            </w:r>
            <w:r>
              <w:rPr>
                <w:b/>
              </w:rPr>
              <w:t>10.1007/978-0-387-09506-6</w:t>
            </w:r>
            <w:r>
              <w:t xml:space="preserve"> (2 927 citations)</w:t>
            </w:r>
          </w:p>
        </w:tc>
        <w:tc>
          <w:tcPr>
            <w:tcW w:type="dxa" w:w="4320"/>
          </w:tcPr>
          <w:p>
            <w:r/>
            <w:r>
              <w:t>ADDIE</w:t>
            </w:r>
          </w:p>
        </w:tc>
      </w:tr>
      <w:tr>
        <w:tc>
          <w:tcPr>
            <w:tcW w:type="dxa" w:w="4320"/>
          </w:tcPr>
          <w:p>
            <w:r/>
            <w:r>
              <w:t xml:space="preserve">Molenda, M. (2022). </w:t>
            </w:r>
            <w:r>
              <w:rPr>
                <w:i/>
              </w:rPr>
              <w:t>History and Development of Instructional Design and Technology</w:t>
            </w:r>
            <w:r>
              <w:t xml:space="preserve">. Springer — DOI </w:t>
            </w:r>
            <w:r>
              <w:rPr>
                <w:b/>
              </w:rPr>
              <w:t>10.1007/978-981-19-2080-6_4</w:t>
            </w:r>
          </w:p>
        </w:tc>
        <w:tc>
          <w:tcPr>
            <w:tcW w:type="dxa" w:w="4320"/>
          </w:tcPr>
          <w:p>
            <w:r/>
            <w:r>
              <w:t>ADDIE — histoire du domaine</w:t>
            </w:r>
          </w:p>
        </w:tc>
      </w:tr>
      <w:tr>
        <w:tc>
          <w:tcPr>
            <w:tcW w:type="dxa" w:w="4320"/>
          </w:tcPr>
          <w:p>
            <w:r/>
            <w:r>
              <w:t xml:space="preserve">Yardley, S., &amp; Dornan, T. (2012). </w:t>
            </w:r>
            <w:r>
              <w:rPr>
                <w:i/>
              </w:rPr>
              <w:t>Kirkpatrick's levels and education 'evidence'</w:t>
            </w:r>
            <w:r>
              <w:t xml:space="preserve">. Medical Education 46(1), 97-106 — DOI </w:t>
            </w:r>
            <w:r>
              <w:rPr>
                <w:b/>
              </w:rPr>
              <w:t>10.1111/j.1365-2923.2011.04076.x</w:t>
            </w:r>
          </w:p>
        </w:tc>
        <w:tc>
          <w:tcPr>
            <w:tcW w:type="dxa" w:w="4320"/>
          </w:tcPr>
          <w:p>
            <w:r/>
            <w:r>
              <w:t>Kirkpatrick — critique centrale</w:t>
            </w:r>
          </w:p>
        </w:tc>
      </w:tr>
      <w:tr>
        <w:tc>
          <w:tcPr>
            <w:tcW w:type="dxa" w:w="4320"/>
          </w:tcPr>
          <w:p>
            <w:r/>
            <w:r>
              <w:t xml:space="preserve">Allen, Hay &amp; Palermo (2022). Medical Education — DOI </w:t>
            </w:r>
            <w:r>
              <w:rPr>
                <w:b/>
              </w:rPr>
              <w:t>10.1111/medu.14654</w:t>
            </w:r>
          </w:p>
        </w:tc>
        <w:tc>
          <w:tcPr>
            <w:tcW w:type="dxa" w:w="4320"/>
          </w:tcPr>
          <w:p>
            <w:r/>
            <w:r>
              <w:t>Kirkpatrick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Reeves et al. — BEME Guide No. 39 — DOI </w:t>
            </w:r>
            <w:r>
              <w:rPr>
                <w:b/>
              </w:rPr>
              <w:t>10.3109/0142159x.2016.1173663</w:t>
            </w:r>
          </w:p>
        </w:tc>
        <w:tc>
          <w:tcPr>
            <w:tcW w:type="dxa" w:w="4320"/>
          </w:tcPr>
          <w:p>
            <w:r/>
            <w:r>
              <w:t xml:space="preserve">Kirkpatrick — </w:t>
            </w:r>
            <w:r>
              <w:rPr>
                <w:i/>
              </w:rPr>
              <w:t>diffusion</w:t>
            </w:r>
            <w:r>
              <w:t>, pas validité</w:t>
            </w:r>
          </w:p>
        </w:tc>
      </w:tr>
      <w:tr>
        <w:tc>
          <w:tcPr>
            <w:tcW w:type="dxa" w:w="4320"/>
          </w:tcPr>
          <w:p>
            <w:r/>
            <w:r>
              <w:t xml:space="preserve">Anderson, L. W., &amp; Krathwohl, D. R. (2001). </w:t>
            </w:r>
            <w:r>
              <w:rPr>
                <w:i/>
              </w:rPr>
              <w:t>A Taxonomy for Learning, Teaching, and Assessing</w:t>
            </w:r>
            <w:r>
              <w:t>. Longman</w:t>
            </w:r>
          </w:p>
        </w:tc>
        <w:tc>
          <w:tcPr>
            <w:tcW w:type="dxa" w:w="4320"/>
          </w:tcPr>
          <w:p>
            <w:r/>
            <w:r>
              <w:t>Bloom — architecture bidimensionnelle</w:t>
            </w:r>
          </w:p>
        </w:tc>
      </w:tr>
      <w:tr>
        <w:tc>
          <w:tcPr>
            <w:tcW w:type="dxa" w:w="4320"/>
          </w:tcPr>
          <w:p>
            <w:r/>
            <w:r>
              <w:t xml:space="preserve">Dessus, P. (2014). </w:t>
            </w:r>
            <w:r>
              <w:rPr>
                <w:i/>
              </w:rPr>
              <w:t>Distances et médiations des savoirs</w:t>
            </w:r>
            <w:r>
              <w:t xml:space="preserve">, n° 5 — DOI </w:t>
            </w:r>
            <w:r>
              <w:rPr>
                <w:b/>
              </w:rPr>
              <w:t>10.4000/dms.524</w:t>
            </w:r>
          </w:p>
        </w:tc>
        <w:tc>
          <w:tcPr>
            <w:tcW w:type="dxa" w:w="4320"/>
          </w:tcPr>
          <w:p>
            <w:r/>
            <w:r>
              <w:t>Merrill — traduction francophone à comité de lecture</w:t>
            </w:r>
          </w:p>
        </w:tc>
      </w:tr>
      <w:tr>
        <w:tc>
          <w:tcPr>
            <w:tcW w:type="dxa" w:w="4320"/>
          </w:tcPr>
          <w:p>
            <w:r/>
            <w:r>
              <w:t>Le Louarn &amp; Pottiez (2010), actes AGRH</w:t>
            </w:r>
          </w:p>
        </w:tc>
        <w:tc>
          <w:tcPr>
            <w:tcW w:type="dxa" w:w="4320"/>
          </w:tcPr>
          <w:p>
            <w:r/>
            <w:r>
              <w:t>Kirkpatrick — source francophone</w:t>
            </w:r>
          </w:p>
        </w:tc>
      </w:tr>
      <w:tr>
        <w:tc>
          <w:tcPr>
            <w:tcW w:type="dxa" w:w="4320"/>
          </w:tcPr>
          <w:p>
            <w:r/>
            <w:r>
              <w:t xml:space="preserve">Gardner (Utah State University) — DOI </w:t>
            </w:r>
            <w:r>
              <w:rPr>
                <w:b/>
              </w:rPr>
              <w:t>10.26076/5f14-c0a3</w:t>
            </w:r>
          </w:p>
        </w:tc>
        <w:tc>
          <w:tcPr>
            <w:tcW w:type="dxa" w:w="4320"/>
          </w:tcPr>
          <w:p>
            <w:r/>
            <w:r>
              <w:t>Merrill — test empirique isolé</w:t>
            </w:r>
          </w:p>
        </w:tc>
      </w:tr>
      <w:tr>
        <w:tc>
          <w:tcPr>
            <w:tcW w:type="dxa" w:w="4320"/>
          </w:tcPr>
          <w:p>
            <w:r/>
            <w:r>
              <w:t xml:space="preserve">Vaudrey et al. (2024). Medical Science Educator — DOI </w:t>
            </w:r>
            <w:r>
              <w:rPr>
                <w:b/>
              </w:rPr>
              <w:t>10.1007/s40670-024-02267-7</w:t>
            </w:r>
          </w:p>
        </w:tc>
        <w:tc>
          <w:tcPr>
            <w:tcW w:type="dxa" w:w="4320"/>
          </w:tcPr>
          <w:p>
            <w:r/>
            <w:r>
              <w:t xml:space="preserve">Merrill — étude qualitative, </w:t>
            </w:r>
            <w:r>
              <w:rPr>
                <w:b/>
              </w:rPr>
              <w:t>ne mesure aucun acquis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Ce qu'il reste à faire</w:t>
      </w:r>
    </w:p>
    <w:p>
      <w:pPr>
        <w:pStyle w:val="ListNumber"/>
      </w:pPr>
      <w:r>
        <w:rPr>
          <w:b/>
        </w:rPr>
        <w:t>Reprendre le module 4</w:t>
      </w:r>
      <w:r>
        <w:t xml:space="preserve"> pour ajouter la mise en garde bidimensionnelle sur</w:t>
      </w:r>
    </w:p>
    <w:p>
      <w:r>
        <w:t xml:space="preserve">   les verbes de Bloom (Larsen </w:t>
      </w:r>
      <w:r>
        <w:rPr>
          <w:i/>
        </w:rPr>
        <w:t>et al.</w:t>
      </w:r>
      <w:r>
        <w:t>, 2022), en respectant la modalité des</w:t>
      </w:r>
    </w:p>
    <w:p>
      <w:r>
        <w:t xml:space="preserve">   auteurs — « suggèrent », pas « interdisent ».</w:t>
      </w:r>
    </w:p>
    <w:p>
      <w:pPr>
        <w:pStyle w:val="ListNumber"/>
      </w:pPr>
      <w:r>
        <w:rPr>
          <w:b/>
        </w:rPr>
        <w:t>Compléter les références de Kirkpatrick</w:t>
      </w:r>
      <w:r>
        <w:t xml:space="preserve"> dans le module 6 avec Yardley &amp;</w:t>
      </w:r>
    </w:p>
    <w:p>
      <w:r>
        <w:t xml:space="preserve">   Dornan (2012), qui est la critique la plus solide et que je n'avais pas.</w:t>
      </w:r>
    </w:p>
    <w:p>
      <w:pPr>
        <w:pStyle w:val="ListNumber"/>
      </w:pPr>
      <w:r>
        <w:rPr>
          <w:b/>
        </w:rPr>
        <w:t>Lancer un second cycle de recherche</w:t>
      </w:r>
      <w:r>
        <w:t xml:space="preserve"> sur les deux questions non traitées :</w:t>
      </w:r>
    </w:p>
    <w:p>
      <w:r>
        <w:t xml:space="preserve">   les tailles d'effet des six lentilles, et les cadres absents — 4C/ID en</w:t>
      </w:r>
    </w:p>
    <w:p>
      <w:r>
        <w:t xml:space="preserve">   priorité, seul candidat sérieux d'un cadre adossé à une théorie testée.</w:t>
      </w:r>
    </w:p>
    <w:p>
      <w:pPr>
        <w:pStyle w:val="ListNumber"/>
      </w:pPr>
      <w:r>
        <w:rPr>
          <w:b/>
        </w:rPr>
        <w:t>Décider</w:t>
      </w:r>
      <w:r>
        <w:t xml:space="preserve"> si </w:t>
      </w:r>
      <w:r>
        <w:rPr>
          <w:rFonts w:ascii="Consolas" w:hAnsi="Consolas"/>
          <w:color w:val="B03030"/>
          <w:sz w:val="19"/>
        </w:rPr>
        <w:t>FRAMEWORKS</w:t>
      </w:r>
      <w:r>
        <w:t xml:space="preserve"> gagne un champ </w:t>
      </w:r>
      <w:r>
        <w:rPr>
          <w:rFonts w:ascii="Consolas" w:hAnsi="Consolas"/>
          <w:color w:val="B03030"/>
          <w:sz w:val="19"/>
        </w:rPr>
        <w:t>evidence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