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GeoRace_Architecture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architecture-mvp"/>
    <w:p>
      <w:pPr>
        <w:pStyle w:val="Heading1"/>
      </w:pPr>
      <w:r>
        <w:t xml:space="preserve">Architecture MVP</w:t>
      </w:r>
    </w:p>
    <w:p>
      <w:pPr>
        <w:pStyle w:val="CaptionedFigure"/>
      </w:pPr>
      <w:r>
        <w:drawing>
          <wp:inline>
            <wp:extent cx="5334000" cy="169408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ssets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numPr>
          <w:ilvl w:val="0"/>
          <w:numId w:val="1001"/>
        </w:numPr>
        <w:pStyle w:val="Compact"/>
      </w:pPr>
      <w:r>
        <w:t xml:space="preserve">WebSocket pour positions haute fréquence</w:t>
      </w:r>
    </w:p>
    <w:p>
      <w:pPr>
        <w:numPr>
          <w:ilvl w:val="0"/>
          <w:numId w:val="1001"/>
        </w:numPr>
        <w:pStyle w:val="Compact"/>
      </w:pPr>
      <w:r>
        <w:t xml:space="preserve">PostGIS pour géospatial</w:t>
      </w:r>
    </w:p>
    <w:p>
      <w:pPr>
        <w:numPr>
          <w:ilvl w:val="0"/>
          <w:numId w:val="1001"/>
        </w:numPr>
        <w:pStyle w:val="Compact"/>
      </w:pPr>
      <w:r>
        <w:t xml:space="preserve">Kubernetes auto-scaling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GeoRace_Architecture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